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0D878EF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0967A6">
        <w:t>3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0967A6">
        <w:t>COMSET</w:t>
      </w:r>
      <w:r w:rsidR="00AF4D42">
        <w:t xml:space="preserve"> Command</w:t>
      </w:r>
      <w:r w:rsidR="00E258B1">
        <w:t xml:space="preserve"> </w:t>
      </w:r>
    </w:p>
    <w:p w14:paraId="72923FD2" w14:textId="590A3B32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6E449C">
        <w:t>COMSET</w:t>
      </w:r>
      <w:r w:rsidR="00AF4D42">
        <w:t xml:space="preserve"> command code 0x6</w:t>
      </w:r>
      <w:r w:rsidR="006E449C">
        <w:t>E</w:t>
      </w:r>
      <w:r w:rsidR="000E0347">
        <w:t xml:space="preserve"> </w:t>
      </w:r>
      <w:r w:rsidR="003F19EA">
        <w:t xml:space="preserve">(Table </w:t>
      </w:r>
      <w:r w:rsidR="00374AEC">
        <w:t>2</w:t>
      </w:r>
      <w:r w:rsidR="006E449C">
        <w:t>2</w:t>
      </w:r>
      <w:r w:rsidR="00374AEC">
        <w:t>)</w:t>
      </w:r>
      <w:r w:rsidR="003F19EA">
        <w:t xml:space="preserve"> </w:t>
      </w:r>
      <w:r w:rsidR="000E0347">
        <w:t xml:space="preserve">and </w:t>
      </w:r>
      <w:r w:rsidR="00AF4D42">
        <w:t>the proper processing of the</w:t>
      </w:r>
      <w:r w:rsidR="001D0E38">
        <w:t xml:space="preserve"> command by the PD </w:t>
      </w:r>
      <w:r w:rsidR="006E449C">
        <w:t>and that its communication settings (speed and address) have been set accordingly.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020E8AD5" w:rsidR="003F3F26" w:rsidRDefault="003F3F26" w:rsidP="003F3F26">
      <w:pPr>
        <w:pStyle w:val="Standard"/>
      </w:pPr>
      <w:r w:rsidRPr="003F3F26">
        <w:t>PD</w:t>
      </w:r>
      <w:r w:rsidR="003F19EA">
        <w:t xml:space="preserve"> process</w:t>
      </w:r>
      <w:r w:rsidR="00374AEC">
        <w:t>es</w:t>
      </w:r>
      <w:r w:rsidR="003F19EA">
        <w:t xml:space="preserve"> </w:t>
      </w:r>
      <w:r w:rsidR="006E449C">
        <w:t>COMSET</w:t>
      </w:r>
      <w:r w:rsidR="003F19EA">
        <w:t xml:space="preserve"> command and</w:t>
      </w:r>
      <w:r w:rsidR="001D0E38">
        <w:t xml:space="preserve"> </w:t>
      </w:r>
      <w:r w:rsidR="006E449C">
        <w:t xml:space="preserve">sets its communication parameters accordingly </w:t>
      </w:r>
      <w:r w:rsidR="00374AEC">
        <w:t>(Table 21).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700FEAD2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6E449C">
        <w:t>COMSET</w:t>
      </w:r>
      <w:r w:rsidR="00AF4D42">
        <w:t xml:space="preserve"> command and </w:t>
      </w:r>
      <w:r w:rsidR="003F19EA">
        <w:t xml:space="preserve">code values (Table </w:t>
      </w:r>
      <w:r w:rsidR="006E449C">
        <w:t>21</w:t>
      </w:r>
      <w:r w:rsidR="003F19EA">
        <w:t>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2518DF03" w:rsidR="003F3F26" w:rsidRDefault="003F3F26" w:rsidP="003F3F26">
      <w:r>
        <w:t xml:space="preserve">Used by ACU to </w:t>
      </w:r>
      <w:r w:rsidR="006E449C">
        <w:t>set communication parameters with PDs.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0967A6" w14:paraId="438DB89C" w14:textId="77777777" w:rsidTr="00D55769">
        <w:tc>
          <w:tcPr>
            <w:tcW w:w="4981" w:type="dxa"/>
          </w:tcPr>
          <w:p w14:paraId="4B196D7F" w14:textId="77777777" w:rsidR="000967A6" w:rsidRDefault="000967A6" w:rsidP="000967A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6752EBB0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56B9B57A" w14:textId="77777777" w:rsidTr="00D55769">
        <w:tc>
          <w:tcPr>
            <w:tcW w:w="4981" w:type="dxa"/>
          </w:tcPr>
          <w:p w14:paraId="2EF00C85" w14:textId="77777777" w:rsidR="000967A6" w:rsidRDefault="000967A6" w:rsidP="000967A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7CE63D7F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574A63C4" w14:textId="77777777" w:rsidTr="00D55769">
        <w:tc>
          <w:tcPr>
            <w:tcW w:w="4981" w:type="dxa"/>
          </w:tcPr>
          <w:p w14:paraId="2D73DFF0" w14:textId="77777777" w:rsidR="000967A6" w:rsidRDefault="000967A6" w:rsidP="000967A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4656E15E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322820FC" w14:textId="77777777" w:rsidTr="00D55769">
        <w:tc>
          <w:tcPr>
            <w:tcW w:w="4981" w:type="dxa"/>
          </w:tcPr>
          <w:p w14:paraId="5BE23AAE" w14:textId="77777777" w:rsidR="000967A6" w:rsidRDefault="000967A6" w:rsidP="000967A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32E87F24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243D9FE8" w14:textId="77777777" w:rsidTr="00D55769">
        <w:tc>
          <w:tcPr>
            <w:tcW w:w="4981" w:type="dxa"/>
          </w:tcPr>
          <w:p w14:paraId="4886409C" w14:textId="77777777" w:rsidR="000967A6" w:rsidRDefault="000967A6" w:rsidP="000967A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03847ADE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1C2EBAC9" w14:textId="77777777" w:rsidTr="00D55769">
        <w:tc>
          <w:tcPr>
            <w:tcW w:w="4981" w:type="dxa"/>
          </w:tcPr>
          <w:p w14:paraId="6B2C3F40" w14:textId="77777777" w:rsidR="000967A6" w:rsidRDefault="000967A6" w:rsidP="000967A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64B4C8B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40E12166" w14:textId="77777777" w:rsidTr="00D55769">
        <w:tc>
          <w:tcPr>
            <w:tcW w:w="4981" w:type="dxa"/>
          </w:tcPr>
          <w:p w14:paraId="47C07D4C" w14:textId="77777777" w:rsidR="000967A6" w:rsidRDefault="000967A6" w:rsidP="000967A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4C31BA1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3DD0C49C" w14:textId="77777777" w:rsidTr="00D55769">
        <w:tc>
          <w:tcPr>
            <w:tcW w:w="4981" w:type="dxa"/>
          </w:tcPr>
          <w:p w14:paraId="17CB1D33" w14:textId="77777777" w:rsidR="000967A6" w:rsidRDefault="000967A6" w:rsidP="000967A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6DE0D9EF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34193F61" w14:textId="77777777" w:rsidTr="00D55769">
        <w:tc>
          <w:tcPr>
            <w:tcW w:w="4981" w:type="dxa"/>
          </w:tcPr>
          <w:p w14:paraId="0D137BC7" w14:textId="77777777" w:rsidR="000967A6" w:rsidRDefault="000967A6" w:rsidP="000967A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62B56428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2C3FBAB9" w14:textId="77777777" w:rsidTr="00D55769">
        <w:tc>
          <w:tcPr>
            <w:tcW w:w="4981" w:type="dxa"/>
          </w:tcPr>
          <w:p w14:paraId="47A1300C" w14:textId="77777777" w:rsidR="000967A6" w:rsidRDefault="000967A6" w:rsidP="000967A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47930408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  <w:tr w:rsidR="000967A6" w14:paraId="2D47AF07" w14:textId="77777777" w:rsidTr="00D55769">
        <w:tc>
          <w:tcPr>
            <w:tcW w:w="4981" w:type="dxa"/>
          </w:tcPr>
          <w:p w14:paraId="23EB1E61" w14:textId="77777777" w:rsidR="000967A6" w:rsidRDefault="000967A6" w:rsidP="000967A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3F25BD46" w:rsidR="000967A6" w:rsidRDefault="000967A6" w:rsidP="000967A6">
            <w:pPr>
              <w:pStyle w:val="Standard"/>
              <w:keepNext/>
            </w:pPr>
            <w:r>
              <w:t>Required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F91C00F" w14:textId="279748ED" w:rsidR="00374AEC" w:rsidRDefault="00AF4D42" w:rsidP="00374AEC">
      <w:pPr>
        <w:pStyle w:val="Standard"/>
        <w:keepNext/>
      </w:pPr>
      <w:r>
        <w:t xml:space="preserve">When sent </w:t>
      </w:r>
      <w:r w:rsidR="000E0347">
        <w:t>a</w:t>
      </w:r>
      <w:r>
        <w:t xml:space="preserve"> </w:t>
      </w:r>
      <w:r w:rsidR="006E449C">
        <w:t>COMSET</w:t>
      </w:r>
      <w:r w:rsidR="00374AEC">
        <w:t xml:space="preserve"> command</w:t>
      </w:r>
      <w:r w:rsidR="003F19EA">
        <w:t xml:space="preserve"> the PD </w:t>
      </w:r>
      <w:r w:rsidR="00374AEC">
        <w:t xml:space="preserve">process the command and </w:t>
      </w:r>
      <w:r w:rsidR="006E449C">
        <w:t xml:space="preserve">sets its parameters accordingly for those capabilities it supports and communicates with the ACU on the current (latest COMSET) settings. PD can NAK any settings it does not support. </w:t>
      </w:r>
    </w:p>
    <w:p w14:paraId="5BDCCE70" w14:textId="77E6E2A5" w:rsidR="003F3F26" w:rsidRDefault="000E0347" w:rsidP="00374AEC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5134475A" w:rsidR="003F3F26" w:rsidRDefault="003F3F26" w:rsidP="003F3F26">
      <w:pPr>
        <w:pStyle w:val="Standard"/>
      </w:pPr>
      <w:r>
        <w:t>ACU send</w:t>
      </w:r>
      <w:r w:rsidR="001D0E38">
        <w:t>s</w:t>
      </w:r>
      <w:r>
        <w:t xml:space="preserve"> osdp_</w:t>
      </w:r>
      <w:r w:rsidR="006E449C">
        <w:t>COMSET</w:t>
      </w:r>
      <w:r>
        <w:t xml:space="preserve"> 0x</w:t>
      </w:r>
      <w:r w:rsidR="000E0347">
        <w:t>6</w:t>
      </w:r>
      <w:r w:rsidR="006E449C">
        <w:t xml:space="preserve">E </w:t>
      </w:r>
      <w:r w:rsidR="00AF4D42">
        <w:t xml:space="preserve">command </w:t>
      </w:r>
      <w:r w:rsidR="001D0E38">
        <w:t>that is received and properly processed by the PD</w:t>
      </w:r>
      <w:r w:rsidR="00374AEC">
        <w:t xml:space="preserve"> </w:t>
      </w:r>
      <w:r w:rsidR="006E449C">
        <w:t>communication is maintained or established at the designated settings.</w:t>
      </w:r>
    </w:p>
    <w:p w14:paraId="2C82AE72" w14:textId="77777777" w:rsidR="00374AEC" w:rsidRDefault="00374AEC" w:rsidP="003F3F26">
      <w:pPr>
        <w:pStyle w:val="Standard"/>
      </w:pP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F0A40A9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6E449C">
              <w:t>3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272F" w14:textId="77777777" w:rsidR="002745A4" w:rsidRDefault="002745A4">
      <w:r>
        <w:separator/>
      </w:r>
    </w:p>
  </w:endnote>
  <w:endnote w:type="continuationSeparator" w:id="0">
    <w:p w14:paraId="5F508583" w14:textId="77777777" w:rsidR="002745A4" w:rsidRDefault="0027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BFAF" w14:textId="77777777" w:rsidR="002745A4" w:rsidRDefault="002745A4">
      <w:r>
        <w:rPr>
          <w:color w:val="000000"/>
        </w:rPr>
        <w:ptab w:relativeTo="margin" w:alignment="center" w:leader="none"/>
      </w:r>
    </w:p>
  </w:footnote>
  <w:footnote w:type="continuationSeparator" w:id="0">
    <w:p w14:paraId="55F062A9" w14:textId="77777777" w:rsidR="002745A4" w:rsidRDefault="00274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967A6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1D0E38"/>
    <w:rsid w:val="00216D58"/>
    <w:rsid w:val="00267069"/>
    <w:rsid w:val="002745A4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449C"/>
    <w:rsid w:val="006E66D1"/>
    <w:rsid w:val="0070456F"/>
    <w:rsid w:val="007314EA"/>
    <w:rsid w:val="00745A6D"/>
    <w:rsid w:val="007625FD"/>
    <w:rsid w:val="007679AF"/>
    <w:rsid w:val="007D0649"/>
    <w:rsid w:val="00836C59"/>
    <w:rsid w:val="0087711B"/>
    <w:rsid w:val="008B6693"/>
    <w:rsid w:val="008E5058"/>
    <w:rsid w:val="00917A8D"/>
    <w:rsid w:val="00927DEF"/>
    <w:rsid w:val="009371BD"/>
    <w:rsid w:val="00980C73"/>
    <w:rsid w:val="00990DA1"/>
    <w:rsid w:val="00A103F6"/>
    <w:rsid w:val="00A20B4A"/>
    <w:rsid w:val="00A84C79"/>
    <w:rsid w:val="00AE3505"/>
    <w:rsid w:val="00AF4D42"/>
    <w:rsid w:val="00BA7AD0"/>
    <w:rsid w:val="00BD3056"/>
    <w:rsid w:val="00C15BAC"/>
    <w:rsid w:val="00C63746"/>
    <w:rsid w:val="00CE2D6B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5</cp:revision>
  <dcterms:created xsi:type="dcterms:W3CDTF">2022-12-08T14:47:00Z</dcterms:created>
  <dcterms:modified xsi:type="dcterms:W3CDTF">2022-12-16T20:04:00Z</dcterms:modified>
</cp:coreProperties>
</file>