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2BDD2201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</w:t>
      </w:r>
      <w:r w:rsidR="003C34FC">
        <w:t>5</w:t>
      </w:r>
      <w:r w:rsidR="009371BD">
        <w:t>-</w:t>
      </w:r>
      <w:r w:rsidR="00383D82">
        <w:t>0</w:t>
      </w:r>
      <w:bookmarkEnd w:id="0"/>
      <w:r w:rsidR="009F02F9">
        <w:t>2</w:t>
      </w:r>
      <w:r w:rsidR="003F4E10">
        <w:t xml:space="preserve"> </w:t>
      </w:r>
      <w:r w:rsidR="003C34FC">
        <w:t>FSTAT</w:t>
      </w:r>
      <w:r w:rsidR="00BB079F">
        <w:t xml:space="preserve"> </w:t>
      </w:r>
      <w:r w:rsidR="009F02F9">
        <w:t>Initial Delay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5BF0F763" w14:textId="29D4EF2A" w:rsidR="000E4C7B" w:rsidRDefault="003C34FC" w:rsidP="00E31A65">
      <w:pPr>
        <w:pStyle w:val="Heading5"/>
        <w:rPr>
          <w:rFonts w:ascii="Liberation Serif" w:eastAsia="NSimSun" w:hAnsi="Liberation Serif" w:cs="Arial"/>
          <w:color w:val="auto"/>
          <w:szCs w:val="24"/>
        </w:rPr>
      </w:pPr>
      <w:r>
        <w:rPr>
          <w:rFonts w:ascii="Liberation Serif" w:eastAsia="NSimSun" w:hAnsi="Liberation Serif" w:cs="Arial"/>
          <w:color w:val="auto"/>
          <w:szCs w:val="24"/>
        </w:rPr>
        <w:t xml:space="preserve">Provide </w:t>
      </w:r>
      <w:r w:rsidR="009F02F9">
        <w:rPr>
          <w:rFonts w:ascii="Liberation Serif" w:eastAsia="NSimSun" w:hAnsi="Liberation Serif" w:cs="Arial"/>
          <w:color w:val="auto"/>
          <w:szCs w:val="24"/>
        </w:rPr>
        <w:t>period of initial delay (FtDelay)</w:t>
      </w:r>
      <w:r>
        <w:rPr>
          <w:rFonts w:ascii="Liberation Serif" w:eastAsia="NSimSun" w:hAnsi="Liberation Serif" w:cs="Arial"/>
          <w:color w:val="auto"/>
          <w:szCs w:val="24"/>
        </w:rPr>
        <w:t xml:space="preserve"> as describe</w:t>
      </w:r>
      <w:r w:rsidR="009F02F9">
        <w:rPr>
          <w:rFonts w:ascii="Liberation Serif" w:eastAsia="NSimSun" w:hAnsi="Liberation Serif" w:cs="Arial"/>
          <w:color w:val="auto"/>
          <w:szCs w:val="24"/>
        </w:rPr>
        <w:t>d</w:t>
      </w:r>
      <w:r>
        <w:rPr>
          <w:rFonts w:ascii="Liberation Serif" w:eastAsia="NSimSun" w:hAnsi="Liberation Serif" w:cs="Arial"/>
          <w:color w:val="auto"/>
          <w:szCs w:val="24"/>
        </w:rPr>
        <w:t xml:space="preserve"> in section 7.25 in Table 67</w:t>
      </w:r>
      <w:r w:rsidR="009F02F9">
        <w:rPr>
          <w:rFonts w:ascii="Liberation Serif" w:eastAsia="NSimSun" w:hAnsi="Liberation Serif" w:cs="Arial"/>
          <w:color w:val="auto"/>
          <w:szCs w:val="24"/>
        </w:rPr>
        <w:t xml:space="preserve"> as part of FTSTAT response.</w:t>
      </w:r>
    </w:p>
    <w:p w14:paraId="7785AF8A" w14:textId="5451A9EE" w:rsidR="00E31A65" w:rsidRDefault="00E31A65" w:rsidP="00E31A65">
      <w:pPr>
        <w:pStyle w:val="Heading5"/>
      </w:pPr>
      <w:r>
        <w:t>ACU</w:t>
      </w:r>
    </w:p>
    <w:p w14:paraId="5EAC43A8" w14:textId="3D37F56B" w:rsidR="00E31A65" w:rsidRDefault="008B23DF" w:rsidP="00E31A65">
      <w:pPr>
        <w:pStyle w:val="Standard"/>
      </w:pPr>
      <w:r>
        <w:t xml:space="preserve">Support </w:t>
      </w:r>
      <w:r w:rsidR="003C34FC">
        <w:t>file transfer capabilities reported</w:t>
      </w:r>
      <w:r w:rsidR="009F02F9">
        <w:t>, and delays as reported in FTSTAT and FtDelay.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344C9F95" w14:textId="7F802DF5" w:rsidR="00E31A65" w:rsidRDefault="009F02F9" w:rsidP="000E4C7B">
      <w:r>
        <w:t>Provide delays necessary for FILETRANSFER processing.</w:t>
      </w:r>
    </w:p>
    <w:p w14:paraId="42372590" w14:textId="77777777" w:rsidR="000E4C7B" w:rsidRDefault="000E4C7B" w:rsidP="000E4C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7A645789" w:rsidR="00C21862" w:rsidRDefault="008B23D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BB079F" w14:paraId="3CCF5D05" w14:textId="77777777" w:rsidTr="00191995">
        <w:tc>
          <w:tcPr>
            <w:tcW w:w="4981" w:type="dxa"/>
          </w:tcPr>
          <w:p w14:paraId="53E8655D" w14:textId="77777777" w:rsidR="00BB079F" w:rsidRDefault="00BB079F" w:rsidP="00BB079F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70079AE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3268D7B0" w14:textId="77777777" w:rsidTr="00191995">
        <w:tc>
          <w:tcPr>
            <w:tcW w:w="4981" w:type="dxa"/>
          </w:tcPr>
          <w:p w14:paraId="7A306FD7" w14:textId="77777777" w:rsidR="00BB079F" w:rsidRDefault="00BB079F" w:rsidP="00BB079F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1CA7FA55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BB079F" w14:paraId="07B14A8E" w14:textId="77777777" w:rsidTr="00191995">
        <w:tc>
          <w:tcPr>
            <w:tcW w:w="4981" w:type="dxa"/>
          </w:tcPr>
          <w:p w14:paraId="7B274C4E" w14:textId="77777777" w:rsidR="00BB079F" w:rsidRDefault="00BB079F" w:rsidP="00BB079F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448CE1CC" w:rsidR="00BB079F" w:rsidRDefault="00BB079F" w:rsidP="00BB079F">
            <w:pPr>
              <w:pStyle w:val="Standard"/>
              <w:keepNext/>
            </w:pPr>
            <w:r w:rsidRPr="00BD35CC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28EC5C13" w:rsidR="00A50272" w:rsidRDefault="005A27D0" w:rsidP="00A50272">
      <w:pPr>
        <w:pStyle w:val="Standard"/>
      </w:pPr>
      <w:r>
        <w:t xml:space="preserve">Determine the PD provides proper </w:t>
      </w:r>
      <w:r w:rsidR="003C34FC">
        <w:t>response to FILETRANSFER as shown in</w:t>
      </w:r>
      <w:r>
        <w:t xml:space="preserve"> Table 6</w:t>
      </w:r>
      <w:r w:rsidR="003C34FC">
        <w:t>7</w:t>
      </w:r>
      <w:r>
        <w:t>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330511C0" w:rsidR="00C63B8C" w:rsidRDefault="003C34FC" w:rsidP="00C63B8C">
      <w:pPr>
        <w:pStyle w:val="Standard"/>
      </w:pPr>
      <w:r>
        <w:t xml:space="preserve">Initiate and support FILETRANSFER and properly process FSTAT including </w:t>
      </w:r>
      <w:r w:rsidR="00A072B7">
        <w:t>initial delay</w:t>
      </w:r>
      <w:r>
        <w:t>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6B6AE6E0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0E4C7B">
              <w:t>2</w:t>
            </w:r>
            <w:r w:rsidR="003C34FC">
              <w:t>5</w:t>
            </w:r>
            <w:r w:rsidR="000D7FFE">
              <w:t>-</w:t>
            </w:r>
            <w:r w:rsidR="00383D82">
              <w:t>0</w:t>
            </w:r>
            <w:r w:rsidR="009F02F9">
              <w:t>2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80D5" w14:textId="77777777" w:rsidR="00583C64" w:rsidRDefault="00583C64">
      <w:r>
        <w:separator/>
      </w:r>
    </w:p>
  </w:endnote>
  <w:endnote w:type="continuationSeparator" w:id="0">
    <w:p w14:paraId="387CF0DD" w14:textId="77777777" w:rsidR="00583C64" w:rsidRDefault="00583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3F86D" w14:textId="77777777" w:rsidR="00583C64" w:rsidRDefault="00583C64">
      <w:r>
        <w:rPr>
          <w:color w:val="000000"/>
        </w:rPr>
        <w:ptab w:relativeTo="margin" w:alignment="center" w:leader="none"/>
      </w:r>
    </w:p>
  </w:footnote>
  <w:footnote w:type="continuationSeparator" w:id="0">
    <w:p w14:paraId="3B434AAB" w14:textId="77777777" w:rsidR="00583C64" w:rsidRDefault="00583C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BC9"/>
    <w:rsid w:val="00014D73"/>
    <w:rsid w:val="000226A4"/>
    <w:rsid w:val="00027379"/>
    <w:rsid w:val="00084973"/>
    <w:rsid w:val="0008523E"/>
    <w:rsid w:val="000B272F"/>
    <w:rsid w:val="000D0652"/>
    <w:rsid w:val="000D7FFE"/>
    <w:rsid w:val="000E4C7B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C34FC"/>
    <w:rsid w:val="003F4E10"/>
    <w:rsid w:val="003F5513"/>
    <w:rsid w:val="004130EC"/>
    <w:rsid w:val="004A483F"/>
    <w:rsid w:val="004B0414"/>
    <w:rsid w:val="004B609E"/>
    <w:rsid w:val="004C2331"/>
    <w:rsid w:val="004D307B"/>
    <w:rsid w:val="004D333C"/>
    <w:rsid w:val="004D3F58"/>
    <w:rsid w:val="004E23CC"/>
    <w:rsid w:val="00501513"/>
    <w:rsid w:val="00536ADF"/>
    <w:rsid w:val="00543AC8"/>
    <w:rsid w:val="00583C64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9042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719BB"/>
    <w:rsid w:val="00891B4E"/>
    <w:rsid w:val="008B23DF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02F9"/>
    <w:rsid w:val="009F4CB8"/>
    <w:rsid w:val="00A05ADA"/>
    <w:rsid w:val="00A072B7"/>
    <w:rsid w:val="00A103F6"/>
    <w:rsid w:val="00A10435"/>
    <w:rsid w:val="00A20B4A"/>
    <w:rsid w:val="00A23450"/>
    <w:rsid w:val="00A42A0F"/>
    <w:rsid w:val="00A50272"/>
    <w:rsid w:val="00A6547A"/>
    <w:rsid w:val="00A83EC8"/>
    <w:rsid w:val="00AC6218"/>
    <w:rsid w:val="00AF06E9"/>
    <w:rsid w:val="00B0288A"/>
    <w:rsid w:val="00B34354"/>
    <w:rsid w:val="00B4167C"/>
    <w:rsid w:val="00B8651E"/>
    <w:rsid w:val="00B97382"/>
    <w:rsid w:val="00BA6858"/>
    <w:rsid w:val="00BA7AD0"/>
    <w:rsid w:val="00BB079F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B77B0"/>
    <w:rsid w:val="00CE2D6B"/>
    <w:rsid w:val="00CF4C08"/>
    <w:rsid w:val="00CF5027"/>
    <w:rsid w:val="00D02FF2"/>
    <w:rsid w:val="00DA709F"/>
    <w:rsid w:val="00DE7E25"/>
    <w:rsid w:val="00DF38FB"/>
    <w:rsid w:val="00E02ADA"/>
    <w:rsid w:val="00E14181"/>
    <w:rsid w:val="00E31A65"/>
    <w:rsid w:val="00E32C5E"/>
    <w:rsid w:val="00E35ADD"/>
    <w:rsid w:val="00E43CB5"/>
    <w:rsid w:val="00E62E59"/>
    <w:rsid w:val="00E8145B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23F1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5</cp:revision>
  <dcterms:created xsi:type="dcterms:W3CDTF">2022-12-17T17:45:00Z</dcterms:created>
  <dcterms:modified xsi:type="dcterms:W3CDTF">2022-12-17T17:58:00Z</dcterms:modified>
</cp:coreProperties>
</file>