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52A3" w14:textId="77777777" w:rsidR="002C11F5" w:rsidRDefault="00000000">
      <w:pPr>
        <w:spacing w:after="200"/>
      </w:pPr>
      <w:r>
        <w:rPr>
          <w:rFonts w:ascii="Calibri" w:eastAsia="Calibri" w:hAnsi="Calibri" w:cs="Calibri"/>
          <w:b/>
          <w:bCs/>
          <w:sz w:val="40"/>
          <w:szCs w:val="40"/>
        </w:rPr>
        <w:t>Detection: Registry Run Key Persistence (T1547.001)</w:t>
      </w:r>
    </w:p>
    <w:p w14:paraId="351907D7" w14:textId="77777777" w:rsidR="002C11F5" w:rsidRDefault="00000000">
      <w:pPr>
        <w:spacing w:after="300"/>
      </w:pPr>
      <w:r>
        <w:rPr>
          <w:rFonts w:ascii="Calibri" w:eastAsia="Calibri" w:hAnsi="Calibri" w:cs="Calibri"/>
          <w:color w:val="555555"/>
          <w:sz w:val="22"/>
          <w:szCs w:val="22"/>
        </w:rPr>
        <w:t>Rule ID: 100004   |   MITRE ATT&amp;CK: T1547.001   |   Tactic: Persistence</w:t>
      </w:r>
    </w:p>
    <w:p w14:paraId="1C4E87AB" w14:textId="77777777" w:rsidR="002C11F5" w:rsidRDefault="00000000">
      <w:pPr>
        <w:pBdr>
          <w:bottom w:val="single" w:sz="6" w:space="2" w:color="999999"/>
        </w:pBdr>
        <w:spacing w:before="3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The Technique</w:t>
      </w:r>
    </w:p>
    <w:p w14:paraId="0BB76651" w14:textId="26628EBD" w:rsidR="002C11F5" w:rsidRDefault="00000000">
      <w:pPr>
        <w:spacing w:after="16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Attackers who get code execution on a machine often want to survive a reboot. One of the oldest, </w:t>
      </w:r>
      <w:r w:rsidR="00615CA4"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sz w:val="22"/>
          <w:szCs w:val="22"/>
        </w:rPr>
        <w:t xml:space="preserve">simplest ways to do </w:t>
      </w:r>
      <w:r w:rsidR="00615CA4">
        <w:rPr>
          <w:rFonts w:ascii="Calibri" w:eastAsia="Calibri" w:hAnsi="Calibri" w:cs="Calibri"/>
          <w:sz w:val="22"/>
          <w:szCs w:val="22"/>
        </w:rPr>
        <w:t>this</w:t>
      </w:r>
      <w:r>
        <w:rPr>
          <w:rFonts w:ascii="Calibri" w:eastAsia="Calibri" w:hAnsi="Calibri" w:cs="Calibri"/>
          <w:sz w:val="22"/>
          <w:szCs w:val="22"/>
        </w:rPr>
        <w:t xml:space="preserve"> is </w:t>
      </w:r>
      <w:r w:rsidR="00615CA4">
        <w:rPr>
          <w:rFonts w:ascii="Calibri" w:eastAsia="Calibri" w:hAnsi="Calibri" w:cs="Calibri"/>
          <w:sz w:val="22"/>
          <w:szCs w:val="22"/>
        </w:rPr>
        <w:t xml:space="preserve">to </w:t>
      </w:r>
      <w:r>
        <w:rPr>
          <w:rFonts w:ascii="Calibri" w:eastAsia="Calibri" w:hAnsi="Calibri" w:cs="Calibri"/>
          <w:sz w:val="22"/>
          <w:szCs w:val="22"/>
        </w:rPr>
        <w:t>wri</w:t>
      </w:r>
      <w:r w:rsidR="00615CA4">
        <w:rPr>
          <w:rFonts w:ascii="Calibri" w:eastAsia="Calibri" w:hAnsi="Calibri" w:cs="Calibri"/>
          <w:sz w:val="22"/>
          <w:szCs w:val="22"/>
        </w:rPr>
        <w:t>te</w:t>
      </w:r>
      <w:r>
        <w:rPr>
          <w:rFonts w:ascii="Calibri" w:eastAsia="Calibri" w:hAnsi="Calibri" w:cs="Calibri"/>
          <w:sz w:val="22"/>
          <w:szCs w:val="22"/>
        </w:rPr>
        <w:t xml:space="preserve"> a value into a registry "Run" key</w:t>
      </w:r>
      <w:r w:rsidR="00615CA4">
        <w:rPr>
          <w:rFonts w:ascii="Calibri" w:eastAsia="Calibri" w:hAnsi="Calibri" w:cs="Calibri"/>
          <w:sz w:val="22"/>
          <w:szCs w:val="22"/>
        </w:rPr>
        <w:t>.  A</w:t>
      </w:r>
      <w:r>
        <w:rPr>
          <w:rFonts w:ascii="Calibri" w:eastAsia="Calibri" w:hAnsi="Calibri" w:cs="Calibri"/>
          <w:sz w:val="22"/>
          <w:szCs w:val="22"/>
        </w:rPr>
        <w:t>nything there launches automatically every time t</w:t>
      </w:r>
      <w:r w:rsidR="00615CA4">
        <w:rPr>
          <w:rFonts w:ascii="Calibri" w:eastAsia="Calibri" w:hAnsi="Calibri" w:cs="Calibri"/>
          <w:sz w:val="22"/>
          <w:szCs w:val="22"/>
        </w:rPr>
        <w:t>hat specific</w:t>
      </w:r>
      <w:r>
        <w:rPr>
          <w:rFonts w:ascii="Calibri" w:eastAsia="Calibri" w:hAnsi="Calibri" w:cs="Calibri"/>
          <w:sz w:val="22"/>
          <w:szCs w:val="22"/>
        </w:rPr>
        <w:t xml:space="preserve"> user logs in. It doesn’t need admin rights</w:t>
      </w:r>
      <w:r w:rsidR="00615CA4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and it still </w:t>
      </w:r>
      <w:r w:rsidR="00615CA4">
        <w:rPr>
          <w:rFonts w:ascii="Calibri" w:eastAsia="Calibri" w:hAnsi="Calibri" w:cs="Calibri"/>
          <w:sz w:val="22"/>
          <w:szCs w:val="22"/>
        </w:rPr>
        <w:t xml:space="preserve">around </w:t>
      </w:r>
      <w:r>
        <w:rPr>
          <w:rFonts w:ascii="Calibri" w:eastAsia="Calibri" w:hAnsi="Calibri" w:cs="Calibri"/>
          <w:sz w:val="22"/>
          <w:szCs w:val="22"/>
        </w:rPr>
        <w:t>because it works.</w:t>
      </w:r>
    </w:p>
    <w:p w14:paraId="15DCF7F0" w14:textId="77777777" w:rsidR="002C11F5" w:rsidRDefault="00000000">
      <w:pPr>
        <w:pBdr>
          <w:bottom w:val="single" w:sz="6" w:space="2" w:color="999999"/>
        </w:pBdr>
        <w:spacing w:before="3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The Test</w:t>
      </w:r>
    </w:p>
    <w:p w14:paraId="592062BD" w14:textId="4008AE17" w:rsidR="002C11F5" w:rsidRDefault="00000000">
      <w:pPr>
        <w:spacing w:after="160" w:line="300" w:lineRule="auto"/>
      </w:pPr>
      <w:r>
        <w:rPr>
          <w:rFonts w:ascii="Calibri" w:eastAsia="Calibri" w:hAnsi="Calibri" w:cs="Calibri"/>
          <w:sz w:val="22"/>
          <w:szCs w:val="22"/>
        </w:rPr>
        <w:t>I validated this using Atomic Red Team test T1547.001-1, which writes a value to HKCU\SOFTWARE\Microsoft\Windows\CurrentVersion\Run via reg.exe. I confirmed the write</w:t>
      </w:r>
      <w:r w:rsidR="00615CA4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>then checked Sysmon and saw it correctly logged as Event ID 13 (registry value set), tagged by the SwiftOnSecurity ruleset as T1060,RunKey.</w:t>
      </w:r>
    </w:p>
    <w:p w14:paraId="4A78E179" w14:textId="77777777" w:rsidR="002C11F5" w:rsidRDefault="00000000">
      <w:pPr>
        <w:spacing w:after="160" w:line="300" w:lineRule="auto"/>
      </w:pPr>
      <w:r>
        <w:rPr>
          <w:rFonts w:ascii="Calibri" w:eastAsia="Calibri" w:hAnsi="Calibri" w:cs="Calibri"/>
          <w:sz w:val="22"/>
          <w:szCs w:val="22"/>
        </w:rPr>
        <w:t>Wazuh already had a built-in rule (92302) that catches registry writes via reg.exe in general — but it’s broad, not specific to persistence keys. I wanted a rule that calls out this exact pattern by name, at a severity that reflects how serious it is.</w:t>
      </w:r>
    </w:p>
    <w:p w14:paraId="1A6EBF9E" w14:textId="77777777" w:rsidR="002C11F5" w:rsidRDefault="00000000">
      <w:pPr>
        <w:pBdr>
          <w:bottom w:val="single" w:sz="6" w:space="2" w:color="999999"/>
        </w:pBdr>
        <w:spacing w:before="3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What I Built</w:t>
      </w:r>
    </w:p>
    <w:p w14:paraId="25B9D004" w14:textId="0EAA0ED1" w:rsidR="002C11F5" w:rsidRDefault="00000000">
      <w:pPr>
        <w:spacing w:after="160" w:line="300" w:lineRule="auto"/>
      </w:pPr>
      <w:r>
        <w:rPr>
          <w:rFonts w:ascii="Calibri" w:eastAsia="Calibri" w:hAnsi="Calibri" w:cs="Calibri"/>
          <w:sz w:val="22"/>
          <w:szCs w:val="22"/>
        </w:rPr>
        <w:t>A custom rule watching Sysmon’s registry-write events for any value written under a CurrentVersion\Run or RunOnce key, using a case-insensitive regex on the registry path</w:t>
      </w:r>
      <w:r w:rsidR="00615CA4">
        <w:rPr>
          <w:rFonts w:ascii="Calibri" w:eastAsia="Calibri" w:hAnsi="Calibri" w:cs="Calibri"/>
          <w:sz w:val="22"/>
          <w:szCs w:val="22"/>
        </w:rPr>
        <w:t xml:space="preserve"> that matches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 w:rsidR="00615CA4">
        <w:rPr>
          <w:rFonts w:ascii="Calibri" w:eastAsia="Calibri" w:hAnsi="Calibri" w:cs="Calibri"/>
          <w:sz w:val="22"/>
          <w:szCs w:val="22"/>
        </w:rPr>
        <w:t>I s</w:t>
      </w:r>
      <w:r>
        <w:rPr>
          <w:rFonts w:ascii="Calibri" w:eastAsia="Calibri" w:hAnsi="Calibri" w:cs="Calibri"/>
          <w:sz w:val="22"/>
          <w:szCs w:val="22"/>
        </w:rPr>
        <w:t xml:space="preserve">et </w:t>
      </w:r>
      <w:r w:rsidR="00615CA4"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z w:val="22"/>
          <w:szCs w:val="22"/>
        </w:rPr>
        <w:t>severity</w:t>
      </w:r>
      <w:r w:rsidR="00615CA4">
        <w:rPr>
          <w:rFonts w:ascii="Calibri" w:eastAsia="Calibri" w:hAnsi="Calibri" w:cs="Calibri"/>
          <w:sz w:val="22"/>
          <w:szCs w:val="22"/>
        </w:rPr>
        <w:t xml:space="preserve"> to</w:t>
      </w:r>
      <w:r>
        <w:rPr>
          <w:rFonts w:ascii="Calibri" w:eastAsia="Calibri" w:hAnsi="Calibri" w:cs="Calibri"/>
          <w:sz w:val="22"/>
          <w:szCs w:val="22"/>
        </w:rPr>
        <w:t xml:space="preserve"> level 14 high since a legitimate reason to write directly to this key outside of an installer is rare.</w:t>
      </w:r>
    </w:p>
    <w:p w14:paraId="646DE518" w14:textId="77777777" w:rsidR="002C11F5" w:rsidRDefault="00000000">
      <w:pPr>
        <w:pBdr>
          <w:bottom w:val="single" w:sz="6" w:space="2" w:color="999999"/>
        </w:pBdr>
        <w:spacing w:before="3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What Went Wrong, and How I Found It</w:t>
      </w:r>
    </w:p>
    <w:p w14:paraId="66FABA09" w14:textId="69E35CDB" w:rsidR="002C11F5" w:rsidRDefault="00000000">
      <w:pPr>
        <w:spacing w:after="16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The rule didn’t fire. No errors anywhere </w:t>
      </w:r>
      <w:r w:rsidR="00615CA4"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z w:val="22"/>
          <w:szCs w:val="22"/>
        </w:rPr>
        <w:t xml:space="preserve"> it passed Wazuh’s own syntax check, the manager restarted clean, but a </w:t>
      </w:r>
      <w:r w:rsidR="00615CA4">
        <w:rPr>
          <w:rFonts w:ascii="Calibri" w:eastAsia="Calibri" w:hAnsi="Calibri" w:cs="Calibri"/>
          <w:sz w:val="22"/>
          <w:szCs w:val="22"/>
        </w:rPr>
        <w:t>another</w:t>
      </w:r>
      <w:r>
        <w:rPr>
          <w:rFonts w:ascii="Calibri" w:eastAsia="Calibri" w:hAnsi="Calibri" w:cs="Calibri"/>
          <w:sz w:val="22"/>
          <w:szCs w:val="22"/>
        </w:rPr>
        <w:t xml:space="preserve"> test run </w:t>
      </w:r>
      <w:r w:rsidR="00615CA4">
        <w:rPr>
          <w:rFonts w:ascii="Calibri" w:eastAsia="Calibri" w:hAnsi="Calibri" w:cs="Calibri"/>
          <w:sz w:val="22"/>
          <w:szCs w:val="22"/>
        </w:rPr>
        <w:t>showed</w:t>
      </w:r>
      <w:r>
        <w:rPr>
          <w:rFonts w:ascii="Calibri" w:eastAsia="Calibri" w:hAnsi="Calibri" w:cs="Calibri"/>
          <w:sz w:val="22"/>
          <w:szCs w:val="22"/>
        </w:rPr>
        <w:t xml:space="preserve"> nothing.</w:t>
      </w:r>
    </w:p>
    <w:p w14:paraId="3BBFCFD3" w14:textId="489F61D4" w:rsidR="002C11F5" w:rsidRDefault="00000000">
      <w:pPr>
        <w:spacing w:after="16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I confirmed the event was fine </w:t>
      </w:r>
      <w:r w:rsidR="00615CA4"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z w:val="22"/>
          <w:szCs w:val="22"/>
        </w:rPr>
        <w:t xml:space="preserve"> the registry value was correct in the raw log</w:t>
      </w:r>
      <w:r w:rsidR="00615CA4">
        <w:rPr>
          <w:rFonts w:ascii="Calibri" w:eastAsia="Calibri" w:hAnsi="Calibri" w:cs="Calibri"/>
          <w:sz w:val="22"/>
          <w:szCs w:val="22"/>
        </w:rPr>
        <w:t xml:space="preserve">) </w:t>
      </w:r>
      <w:r>
        <w:rPr>
          <w:rFonts w:ascii="Calibri" w:eastAsia="Calibri" w:hAnsi="Calibri" w:cs="Calibri"/>
          <w:sz w:val="22"/>
          <w:szCs w:val="22"/>
        </w:rPr>
        <w:t>so the problem was how the rule was written</w:t>
      </w:r>
      <w:r w:rsidR="00C94DF9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not in the data. I ended up tracing it back to a gap in how </w:t>
      </w:r>
      <w:r w:rsidR="00C94DF9">
        <w:rPr>
          <w:rFonts w:ascii="Calibri" w:eastAsia="Calibri" w:hAnsi="Calibri" w:cs="Calibri"/>
          <w:sz w:val="22"/>
          <w:szCs w:val="22"/>
        </w:rPr>
        <w:t xml:space="preserve">the </w:t>
      </w:r>
      <w:r>
        <w:rPr>
          <w:rFonts w:ascii="Calibri" w:eastAsia="Calibri" w:hAnsi="Calibri" w:cs="Calibri"/>
          <w:sz w:val="22"/>
          <w:szCs w:val="22"/>
        </w:rPr>
        <w:t xml:space="preserve">Wazuh’s rule works: it evaluates rules in load order and stops at the first rule that matches a given event. My rule and Wazuh’s own built-in rule (92300) were both listening for the same broad category of event. </w:t>
      </w:r>
      <w:r w:rsidR="00C94DF9">
        <w:rPr>
          <w:rFonts w:ascii="Calibri" w:eastAsia="Calibri" w:hAnsi="Calibri" w:cs="Calibri"/>
          <w:sz w:val="22"/>
          <w:szCs w:val="22"/>
        </w:rPr>
        <w:t xml:space="preserve"> I</w:t>
      </w:r>
      <w:r w:rsidR="00C94DF9">
        <w:rPr>
          <w:rFonts w:ascii="Calibri" w:eastAsia="Calibri" w:hAnsi="Calibri" w:cs="Calibri"/>
          <w:sz w:val="22"/>
          <w:szCs w:val="22"/>
        </w:rPr>
        <w:t xml:space="preserve">t </w:t>
      </w:r>
      <w:r w:rsidR="00C94DF9">
        <w:rPr>
          <w:rFonts w:ascii="Calibri" w:eastAsia="Calibri" w:hAnsi="Calibri" w:cs="Calibri"/>
          <w:sz w:val="22"/>
          <w:szCs w:val="22"/>
        </w:rPr>
        <w:t>grabbed</w:t>
      </w:r>
      <w:r w:rsidR="00C94DF9">
        <w:rPr>
          <w:rFonts w:ascii="Calibri" w:eastAsia="Calibri" w:hAnsi="Calibri" w:cs="Calibri"/>
          <w:sz w:val="22"/>
          <w:szCs w:val="22"/>
        </w:rPr>
        <w:t xml:space="preserve"> the event before my rule got a chance to run</w:t>
      </w:r>
      <w:r w:rsidR="00C94DF9">
        <w:rPr>
          <w:rFonts w:ascii="Calibri" w:eastAsia="Calibri" w:hAnsi="Calibri" w:cs="Calibri"/>
          <w:sz w:val="22"/>
          <w:szCs w:val="22"/>
        </w:rPr>
        <w:t xml:space="preserve"> b</w:t>
      </w:r>
      <w:r>
        <w:rPr>
          <w:rFonts w:ascii="Calibri" w:eastAsia="Calibri" w:hAnsi="Calibri" w:cs="Calibri"/>
          <w:sz w:val="22"/>
          <w:szCs w:val="22"/>
        </w:rPr>
        <w:t>ecause the built-in rule loads first and it</w:t>
      </w:r>
      <w:r w:rsidR="00C94DF9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is broad enough to match </w:t>
      </w:r>
      <w:r w:rsidR="00C94DF9">
        <w:rPr>
          <w:rFonts w:ascii="Calibri" w:eastAsia="Calibri" w:hAnsi="Calibri" w:cs="Calibri"/>
          <w:sz w:val="22"/>
          <w:szCs w:val="22"/>
        </w:rPr>
        <w:t xml:space="preserve">mine </w:t>
      </w:r>
      <w:r>
        <w:rPr>
          <w:rFonts w:ascii="Calibri" w:eastAsia="Calibri" w:hAnsi="Calibri" w:cs="Calibri"/>
          <w:sz w:val="22"/>
          <w:szCs w:val="22"/>
        </w:rPr>
        <w:t>too</w:t>
      </w:r>
      <w:r w:rsidR="00C94DF9">
        <w:rPr>
          <w:rFonts w:ascii="Calibri" w:eastAsia="Calibri" w:hAnsi="Calibri" w:cs="Calibri"/>
          <w:sz w:val="22"/>
          <w:szCs w:val="22"/>
        </w:rPr>
        <w:t>. M</w:t>
      </w:r>
      <w:r>
        <w:rPr>
          <w:rFonts w:ascii="Calibri" w:eastAsia="Calibri" w:hAnsi="Calibri" w:cs="Calibri"/>
          <w:sz w:val="22"/>
          <w:szCs w:val="22"/>
        </w:rPr>
        <w:t>y rule</w:t>
      </w:r>
      <w:r w:rsidR="00C94DF9">
        <w:rPr>
          <w:rFonts w:ascii="Calibri" w:eastAsia="Calibri" w:hAnsi="Calibri" w:cs="Calibri"/>
          <w:sz w:val="22"/>
          <w:szCs w:val="22"/>
        </w:rPr>
        <w:t xml:space="preserve"> didn’t fail, it</w:t>
      </w:r>
      <w:r>
        <w:rPr>
          <w:rFonts w:ascii="Calibri" w:eastAsia="Calibri" w:hAnsi="Calibri" w:cs="Calibri"/>
          <w:sz w:val="22"/>
          <w:szCs w:val="22"/>
        </w:rPr>
        <w:t xml:space="preserve"> just never got evaluated.</w:t>
      </w:r>
    </w:p>
    <w:p w14:paraId="4894A25A" w14:textId="77777777" w:rsidR="002C11F5" w:rsidRDefault="00000000">
      <w:pPr>
        <w:pBdr>
          <w:bottom w:val="single" w:sz="6" w:space="2" w:color="999999"/>
        </w:pBdr>
        <w:spacing w:before="3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The Fix</w:t>
      </w:r>
    </w:p>
    <w:p w14:paraId="0925223A" w14:textId="260E18F4" w:rsidR="002C11F5" w:rsidRDefault="00000000">
      <w:pPr>
        <w:spacing w:after="160" w:line="300" w:lineRule="auto"/>
      </w:pPr>
      <w:r>
        <w:rPr>
          <w:rFonts w:ascii="Calibri" w:eastAsia="Calibri" w:hAnsi="Calibri" w:cs="Calibri"/>
          <w:sz w:val="22"/>
          <w:szCs w:val="22"/>
        </w:rPr>
        <w:t xml:space="preserve">I rewrote the rule to chain directly onto the specific built-in rule ID that was intercepting the event, instead of matching on the same broad category </w:t>
      </w:r>
      <w:r w:rsidR="00C94DF9">
        <w:rPr>
          <w:rFonts w:ascii="Calibri" w:eastAsia="Calibri" w:hAnsi="Calibri" w:cs="Calibri"/>
          <w:sz w:val="22"/>
          <w:szCs w:val="22"/>
        </w:rPr>
        <w:t>it’s self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 w:rsidR="00C94DF9">
        <w:rPr>
          <w:rFonts w:ascii="Calibri" w:eastAsia="Calibri" w:hAnsi="Calibri" w:cs="Calibri"/>
          <w:sz w:val="22"/>
          <w:szCs w:val="22"/>
        </w:rPr>
        <w:t xml:space="preserve"> This</w:t>
      </w:r>
      <w:r>
        <w:rPr>
          <w:rFonts w:ascii="Calibri" w:eastAsia="Calibri" w:hAnsi="Calibri" w:cs="Calibri"/>
          <w:sz w:val="22"/>
          <w:szCs w:val="22"/>
        </w:rPr>
        <w:t xml:space="preserve"> makes my rule a child of </w:t>
      </w:r>
      <w:r w:rsidR="00C94DF9">
        <w:rPr>
          <w:rFonts w:ascii="Calibri" w:eastAsia="Calibri" w:hAnsi="Calibri" w:cs="Calibri"/>
          <w:sz w:val="22"/>
          <w:szCs w:val="22"/>
        </w:rPr>
        <w:t>the one that was</w:t>
      </w:r>
      <w:r>
        <w:rPr>
          <w:rFonts w:ascii="Calibri" w:eastAsia="Calibri" w:hAnsi="Calibri" w:cs="Calibri"/>
          <w:sz w:val="22"/>
          <w:szCs w:val="22"/>
        </w:rPr>
        <w:t xml:space="preserve"> already claiming these events, so</w:t>
      </w:r>
      <w:r w:rsidR="00C94DF9">
        <w:rPr>
          <w:rFonts w:ascii="Calibri" w:eastAsia="Calibri" w:hAnsi="Calibri" w:cs="Calibri"/>
          <w:sz w:val="22"/>
          <w:szCs w:val="22"/>
        </w:rPr>
        <w:t xml:space="preserve"> now</w:t>
      </w:r>
      <w:r>
        <w:rPr>
          <w:rFonts w:ascii="Calibri" w:eastAsia="Calibri" w:hAnsi="Calibri" w:cs="Calibri"/>
          <w:sz w:val="22"/>
          <w:szCs w:val="22"/>
        </w:rPr>
        <w:t xml:space="preserve"> it runs as a sibling check rather than competing for the same slot.</w:t>
      </w:r>
    </w:p>
    <w:p w14:paraId="709EC224" w14:textId="0C0C55C7" w:rsidR="002C11F5" w:rsidRDefault="00000000">
      <w:pPr>
        <w:spacing w:after="160" w:line="300" w:lineRule="auto"/>
      </w:pPr>
      <w:r>
        <w:rPr>
          <w:rFonts w:ascii="Calibri" w:eastAsia="Calibri" w:hAnsi="Calibri" w:cs="Calibri"/>
          <w:sz w:val="22"/>
          <w:szCs w:val="22"/>
        </w:rPr>
        <w:lastRenderedPageBreak/>
        <w:t>After that change, I re-ran the atomic test and the rule fired correctly</w:t>
      </w:r>
      <w:r w:rsidR="00C94DF9">
        <w:rPr>
          <w:rFonts w:ascii="Calibri" w:eastAsia="Calibri" w:hAnsi="Calibri" w:cs="Calibri"/>
          <w:sz w:val="22"/>
          <w:szCs w:val="22"/>
        </w:rPr>
        <w:t xml:space="preserve">. I </w:t>
      </w:r>
      <w:r>
        <w:rPr>
          <w:rFonts w:ascii="Calibri" w:eastAsia="Calibri" w:hAnsi="Calibri" w:cs="Calibri"/>
          <w:sz w:val="22"/>
          <w:szCs w:val="22"/>
        </w:rPr>
        <w:t xml:space="preserve">verified </w:t>
      </w:r>
      <w:r w:rsidR="00C94DF9">
        <w:rPr>
          <w:rFonts w:ascii="Calibri" w:eastAsia="Calibri" w:hAnsi="Calibri" w:cs="Calibri"/>
          <w:sz w:val="22"/>
          <w:szCs w:val="22"/>
        </w:rPr>
        <w:t xml:space="preserve">it </w:t>
      </w:r>
      <w:r>
        <w:rPr>
          <w:rFonts w:ascii="Calibri" w:eastAsia="Calibri" w:hAnsi="Calibri" w:cs="Calibri"/>
          <w:sz w:val="22"/>
          <w:szCs w:val="22"/>
        </w:rPr>
        <w:t>directly against the raw alert data, which showed the right rule ID, the right severity, and the correct MITRE tag.</w:t>
      </w:r>
    </w:p>
    <w:p w14:paraId="158ACC54" w14:textId="77777777" w:rsidR="002C11F5" w:rsidRDefault="00000000">
      <w:pPr>
        <w:pBdr>
          <w:bottom w:val="single" w:sz="6" w:space="2" w:color="999999"/>
        </w:pBdr>
        <w:spacing w:before="300" w:after="100"/>
      </w:pPr>
      <w:r>
        <w:rPr>
          <w:rFonts w:ascii="Calibri" w:eastAsia="Calibri" w:hAnsi="Calibri" w:cs="Calibri"/>
          <w:b/>
          <w:bCs/>
          <w:sz w:val="26"/>
          <w:szCs w:val="26"/>
        </w:rPr>
        <w:t>What This Would Catch, and What It Would Not</w:t>
      </w:r>
    </w:p>
    <w:p w14:paraId="08CD5FB3" w14:textId="4DFAF0FA" w:rsidR="002C11F5" w:rsidRDefault="00000000">
      <w:pPr>
        <w:spacing w:after="160" w:line="300" w:lineRule="auto"/>
      </w:pPr>
      <w:r>
        <w:rPr>
          <w:rFonts w:ascii="Calibri" w:eastAsia="Calibri" w:hAnsi="Calibri" w:cs="Calibri"/>
          <w:sz w:val="22"/>
          <w:szCs w:val="22"/>
        </w:rPr>
        <w:t>This catches the classic</w:t>
      </w:r>
      <w:r w:rsidR="00C94DF9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 version of the technique </w:t>
      </w:r>
      <w:r w:rsidR="00C94DF9">
        <w:rPr>
          <w:rFonts w:ascii="Calibri" w:eastAsia="Calibri" w:hAnsi="Calibri" w:cs="Calibri"/>
          <w:sz w:val="22"/>
          <w:szCs w:val="22"/>
        </w:rPr>
        <w:t xml:space="preserve">of </w:t>
      </w:r>
      <w:r>
        <w:rPr>
          <w:rFonts w:ascii="Calibri" w:eastAsia="Calibri" w:hAnsi="Calibri" w:cs="Calibri"/>
          <w:sz w:val="22"/>
          <w:szCs w:val="22"/>
        </w:rPr>
        <w:t xml:space="preserve"> a value written straight to a Run key via the registry. It would not catch more evasive variants: encoded or obfuscated key paths, WMI-based persistence, or scheduled-task-based persistence, which </w:t>
      </w:r>
      <w:r w:rsidR="00C94DF9">
        <w:rPr>
          <w:rFonts w:ascii="Calibri" w:eastAsia="Calibri" w:hAnsi="Calibri" w:cs="Calibri"/>
          <w:sz w:val="22"/>
          <w:szCs w:val="22"/>
        </w:rPr>
        <w:t xml:space="preserve">all </w:t>
      </w:r>
      <w:r>
        <w:rPr>
          <w:rFonts w:ascii="Calibri" w:eastAsia="Calibri" w:hAnsi="Calibri" w:cs="Calibri"/>
          <w:sz w:val="22"/>
          <w:szCs w:val="22"/>
        </w:rPr>
        <w:t xml:space="preserve">use a different </w:t>
      </w:r>
      <w:r w:rsidR="00CA22B1">
        <w:rPr>
          <w:rFonts w:ascii="Calibri" w:eastAsia="Calibri" w:hAnsi="Calibri" w:cs="Calibri"/>
          <w:sz w:val="22"/>
          <w:szCs w:val="22"/>
        </w:rPr>
        <w:t>mechanics</w:t>
      </w:r>
      <w:r>
        <w:rPr>
          <w:rFonts w:ascii="Calibri" w:eastAsia="Calibri" w:hAnsi="Calibri" w:cs="Calibri"/>
          <w:sz w:val="22"/>
          <w:szCs w:val="22"/>
        </w:rPr>
        <w:t xml:space="preserve"> and would need their own separate rule.</w:t>
      </w:r>
    </w:p>
    <w:sectPr w:rsidR="002C11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D52AD"/>
    <w:multiLevelType w:val="hybridMultilevel"/>
    <w:tmpl w:val="022493C2"/>
    <w:lvl w:ilvl="0" w:tplc="EFAE81D4">
      <w:start w:val="1"/>
      <w:numFmt w:val="bullet"/>
      <w:lvlText w:val="●"/>
      <w:lvlJc w:val="left"/>
      <w:pPr>
        <w:ind w:left="720" w:hanging="360"/>
      </w:pPr>
    </w:lvl>
    <w:lvl w:ilvl="1" w:tplc="2B26E00E">
      <w:start w:val="1"/>
      <w:numFmt w:val="bullet"/>
      <w:lvlText w:val="○"/>
      <w:lvlJc w:val="left"/>
      <w:pPr>
        <w:ind w:left="1440" w:hanging="360"/>
      </w:pPr>
    </w:lvl>
    <w:lvl w:ilvl="2" w:tplc="0D7C99F0">
      <w:start w:val="1"/>
      <w:numFmt w:val="bullet"/>
      <w:lvlText w:val="■"/>
      <w:lvlJc w:val="left"/>
      <w:pPr>
        <w:ind w:left="2160" w:hanging="360"/>
      </w:pPr>
    </w:lvl>
    <w:lvl w:ilvl="3" w:tplc="F10AB696">
      <w:start w:val="1"/>
      <w:numFmt w:val="bullet"/>
      <w:lvlText w:val="●"/>
      <w:lvlJc w:val="left"/>
      <w:pPr>
        <w:ind w:left="2880" w:hanging="360"/>
      </w:pPr>
    </w:lvl>
    <w:lvl w:ilvl="4" w:tplc="1D48B418">
      <w:start w:val="1"/>
      <w:numFmt w:val="bullet"/>
      <w:lvlText w:val="○"/>
      <w:lvlJc w:val="left"/>
      <w:pPr>
        <w:ind w:left="3600" w:hanging="360"/>
      </w:pPr>
    </w:lvl>
    <w:lvl w:ilvl="5" w:tplc="A016FA1E">
      <w:start w:val="1"/>
      <w:numFmt w:val="bullet"/>
      <w:lvlText w:val="■"/>
      <w:lvlJc w:val="left"/>
      <w:pPr>
        <w:ind w:left="4320" w:hanging="360"/>
      </w:pPr>
    </w:lvl>
    <w:lvl w:ilvl="6" w:tplc="02AE2342">
      <w:start w:val="1"/>
      <w:numFmt w:val="bullet"/>
      <w:lvlText w:val="●"/>
      <w:lvlJc w:val="left"/>
      <w:pPr>
        <w:ind w:left="5040" w:hanging="360"/>
      </w:pPr>
    </w:lvl>
    <w:lvl w:ilvl="7" w:tplc="DD8CFF3E">
      <w:start w:val="1"/>
      <w:numFmt w:val="bullet"/>
      <w:lvlText w:val="●"/>
      <w:lvlJc w:val="left"/>
      <w:pPr>
        <w:ind w:left="5760" w:hanging="360"/>
      </w:pPr>
    </w:lvl>
    <w:lvl w:ilvl="8" w:tplc="9E0E23C6">
      <w:start w:val="1"/>
      <w:numFmt w:val="bullet"/>
      <w:lvlText w:val="●"/>
      <w:lvlJc w:val="left"/>
      <w:pPr>
        <w:ind w:left="6480" w:hanging="360"/>
      </w:pPr>
    </w:lvl>
  </w:abstractNum>
  <w:num w:numId="1" w16cid:durableId="946543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1F5"/>
    <w:rsid w:val="001C33E3"/>
    <w:rsid w:val="002C11F5"/>
    <w:rsid w:val="00615CA4"/>
    <w:rsid w:val="00C94DF9"/>
    <w:rsid w:val="00CA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5113"/>
  <w15:docId w15:val="{DD634CA6-F42A-4261-B135-603E63117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Mathews</cp:lastModifiedBy>
  <cp:revision>2</cp:revision>
  <dcterms:created xsi:type="dcterms:W3CDTF">2026-08-25T02:03:00Z</dcterms:created>
  <dcterms:modified xsi:type="dcterms:W3CDTF">2026-08-30T02:29:00Z</dcterms:modified>
</cp:coreProperties>
</file>