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44"/>
          <w:szCs w:val="44"/>
        </w:rPr>
        <w:t xml:space="preserve">SECURITY WATCHDOG</w:t>
      </w:r>
    </w:p>
    <w:p>
      <w:pPr>
        <w:spacing w:after="400"/>
        <w:jc w:val="center"/>
      </w:pPr>
      <w:r>
        <w:rPr>
          <w:rFonts w:ascii="Arial" w:cs="Arial" w:eastAsia="Arial" w:hAnsi="Arial"/>
          <w:color w:val="2B5A8C"/>
          <w:sz w:val="32"/>
          <w:szCs w:val="32"/>
        </w:rPr>
        <w:t xml:space="preserve">Source Code Review &amp; Design Impact Analysis</w:t>
      </w:r>
    </w:p>
    <w:p>
      <w:pPr>
        <w:spacing w:after="100"/>
        <w:jc w:val="center"/>
      </w:pPr>
      <w:r>
        <w:rPr>
          <w:rFonts w:ascii="Arial" w:cs="Arial" w:eastAsia="Arial" w:hAnsi="Arial"/>
          <w:i/>
          <w:iCs/>
          <w:color w:val="666666"/>
          <w:sz w:val="24"/>
          <w:szCs w:val="24"/>
        </w:rPr>
        <w:t xml:space="preserve">What the OpenClaw Source Code Tells Us About Integration</w:t>
      </w:r>
    </w:p>
    <w:p>
      <w:pPr>
        <w:spacing w:before="1200"/>
      </w:pPr>
    </w:p>
    <w:p>
      <w:pPr>
        <w:spacing w:after="80"/>
        <w:jc w:val="center"/>
      </w:pPr>
      <w:r>
        <w:rPr>
          <w:rFonts w:ascii="Arial" w:cs="Arial" w:eastAsia="Arial" w:hAnsi="Arial"/>
          <w:color w:val="888888"/>
          <w:sz w:val="22"/>
          <w:szCs w:val="22"/>
        </w:rPr>
        <w:t xml:space="preserve">Document ID:  </w:t>
      </w:r>
      <w:r>
        <w:rPr>
          <w:rFonts w:ascii="Arial" w:cs="Arial" w:eastAsia="Arial" w:hAnsi="Arial"/>
          <w:b/>
          <w:bCs/>
          <w:sz w:val="22"/>
          <w:szCs w:val="22"/>
        </w:rPr>
        <w:t xml:space="preserve">SWDOG-REVIEW-001</w:t>
      </w:r>
    </w:p>
    <w:p>
      <w:pPr>
        <w:spacing w:after="80"/>
        <w:jc w:val="center"/>
      </w:pPr>
      <w:r>
        <w:rPr>
          <w:rFonts w:ascii="Arial" w:cs="Arial" w:eastAsia="Arial" w:hAnsi="Arial"/>
          <w:color w:val="888888"/>
          <w:sz w:val="22"/>
          <w:szCs w:val="22"/>
        </w:rPr>
        <w:t xml:space="preserve">Version:  </w:t>
      </w:r>
      <w:r>
        <w:rPr>
          <w:rFonts w:ascii="Arial" w:cs="Arial" w:eastAsia="Arial" w:hAnsi="Arial"/>
          <w:b/>
          <w:bCs/>
          <w:sz w:val="22"/>
          <w:szCs w:val="22"/>
        </w:rPr>
        <w:t xml:space="preserve">1.0 DRAFT</w:t>
      </w:r>
    </w:p>
    <w:p>
      <w:pPr>
        <w:spacing w:after="80"/>
        <w:jc w:val="center"/>
      </w:pPr>
      <w:r>
        <w:rPr>
          <w:rFonts w:ascii="Arial" w:cs="Arial" w:eastAsia="Arial" w:hAnsi="Arial"/>
          <w:color w:val="888888"/>
          <w:sz w:val="22"/>
          <w:szCs w:val="22"/>
        </w:rPr>
        <w:t xml:space="preserve">Date:  </w:t>
      </w:r>
      <w:r>
        <w:rPr>
          <w:rFonts w:ascii="Arial" w:cs="Arial" w:eastAsia="Arial" w:hAnsi="Arial"/>
          <w:b/>
          <w:bCs/>
          <w:sz w:val="22"/>
          <w:szCs w:val="22"/>
        </w:rPr>
        <w:t xml:space="preserve">February 2026</w:t>
      </w:r>
    </w:p>
    <w:p>
      <w:pPr>
        <w:spacing w:after="80"/>
        <w:jc w:val="center"/>
      </w:pPr>
      <w:r>
        <w:rPr>
          <w:rFonts w:ascii="Arial" w:cs="Arial" w:eastAsia="Arial" w:hAnsi="Arial"/>
          <w:color w:val="888888"/>
          <w:sz w:val="22"/>
          <w:szCs w:val="22"/>
        </w:rPr>
        <w:t xml:space="preserve">Classification:  </w:t>
      </w:r>
      <w:r>
        <w:rPr>
          <w:rFonts w:ascii="Arial" w:cs="Arial" w:eastAsia="Arial" w:hAnsi="Arial"/>
          <w:b/>
          <w:bCs/>
          <w:sz w:val="22"/>
          <w:szCs w:val="22"/>
        </w:rPr>
        <w:t xml:space="preserve">INTERNAL</w:t>
      </w:r>
    </w:p>
    <w:p>
      <w:r>
        <w:br w:type="page"/>
      </w:r>
    </w:p>
    <w:p>
      <w:pPr>
        <w:sectPr>
          <w:pgSz w:w="12240" w:h="15840" w:orient="portrait"/>
          <w:pgMar w:top="1440" w:right="1440" w:bottom="1440" w:left="1440" w:header="708" w:footer="708" w:gutter="0"/>
          <w:pgNumType/>
          <w:docGrid w:linePitch="360"/>
        </w:sectPr>
      </w:pPr>
    </w:p>
    <w:p>
      <w:pPr>
        <w:pStyle w:val="Heading1"/>
        <w:spacing w:before="360" w:after="120"/>
      </w:pPr>
      <w:r>
        <w:t xml:space="preserve">1. Executive Summary</w:t>
      </w:r>
    </w:p>
    <w:p>
      <w:pPr>
        <w:spacing w:after="120"/>
      </w:pPr>
      <w:r>
        <w:rPr>
          <w:rFonts w:ascii="Arial" w:cs="Arial" w:eastAsia="Arial" w:hAnsi="Arial"/>
          <w:sz w:val="22"/>
          <w:szCs w:val="22"/>
        </w:rPr>
        <w:t xml:space="preserve">This document presents the findings from a thorough review of the OpenClaw framework source code and evaluates how those findings affect the Security Watchdog design. Twelve source files were examined, spanning OpenClaw’s hook system, plugin architecture, event model, channel integrations, and configuration framework.</w:t>
      </w:r>
    </w:p>
    <w:p>
      <w:pPr>
        <w:spacing w:after="120"/>
      </w:pPr>
      <w:r>
        <w:rPr>
          <w:rFonts w:ascii="Arial" w:cs="Arial" w:eastAsia="Arial" w:hAnsi="Arial"/>
          <w:sz w:val="22"/>
          <w:szCs w:val="22"/>
        </w:rPr>
        <w:t xml:space="preserve"/>
      </w:r>
      <w:r>
        <w:rPr>
          <w:rFonts w:ascii="Arial" w:cs="Arial" w:eastAsia="Arial" w:hAnsi="Arial"/>
          <w:b/>
          <w:bCs/>
          <w:sz w:val="22"/>
          <w:szCs w:val="22"/>
        </w:rPr>
        <w:t xml:space="preserve">Bottom line: the core Security Watchdog architecture is sound and well-aligned with how OpenClaw actually works.</w:t>
      </w:r>
      <w:r>
        <w:rPr>
          <w:rFonts w:ascii="Arial" w:cs="Arial" w:eastAsia="Arial" w:hAnsi="Arial"/>
          <w:sz w:val="22"/>
          <w:szCs w:val="22"/>
        </w:rPr>
        <w:t xml:space="preserve"> The hook system we planned to leverage exists, is well-structured, and supports the interception model we designed. However, the review revealed several important details that refine our integration approach and surface one critical open question that must be resolved before implementation begins.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Count</w:t>
            </w:r>
          </w:p>
        </w:tc>
        <w:tc>
          <w:tcPr>
            <w:tcW w:type="dxa" w:w="53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Summary</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Design validations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6</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Core assumptions confirmed by source code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Design refinements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7</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Existing designs updated with concrete implementation details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New concerns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Issues not previously identified that need resolution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Blocked items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Critical open question requiring upstream investigation</w:t>
            </w:r>
          </w:p>
        </w:tc>
      </w:tr>
    </w:tbl>
    <w:p>
      <w:r>
        <w:br w:type="page"/>
      </w:r>
    </w:p>
    <w:p>
      <w:pPr>
        <w:pStyle w:val="Heading1"/>
        <w:spacing w:before="360" w:after="120"/>
      </w:pPr>
      <w:r>
        <w:t xml:space="preserve">2. Source Files Reviewed</w:t>
      </w:r>
    </w:p>
    <w:p>
      <w:pPr>
        <w:spacing w:after="120"/>
      </w:pPr>
      <w:r>
        <w:rPr>
          <w:rFonts w:ascii="Arial" w:cs="Arial" w:eastAsia="Arial" w:hAnsi="Arial"/>
          <w:sz w:val="22"/>
          <w:szCs w:val="22"/>
        </w:rPr>
        <w:t xml:space="preserve">The following OpenClaw framework source files were examined. Files are grouped by their role in the framework architecture.</w:t>
      </w:r>
    </w:p>
    <w:p>
      <w:pPr>
        <w:spacing w:after="80"/>
      </w:pPr>
    </w:p>
    <w:p>
      <w:pPr>
        <w:pStyle w:val="Heading2"/>
        <w:spacing w:before="240" w:after="120"/>
      </w:pPr>
      <w:r>
        <w:t xml:space="preserve">2.1 Hook System (Primary Integration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5560"/>
      </w:tblGrid>
      <w:tr>
        <w:trPr>
          <w:tblHeader/>
        </w:trPr>
        <w:tc>
          <w:tcPr>
            <w:tcW w:type="dxa" w:w="3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File</w:t>
            </w:r>
          </w:p>
        </w:tc>
        <w:tc>
          <w:tcPr>
            <w:tcW w:type="dxa" w:w="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Lines</w:t>
            </w:r>
          </w:p>
        </w:tc>
        <w:tc>
          <w:tcPr>
            <w:tcW w:type="dxa" w:w="5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hooks.ts</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14</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Public API re-exports for the hook system (register, unregister, trigger, clear)</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plugin-hooks.ts</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117</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Plugin-level hook registration from directory-based discovery</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workspace.ts</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296</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Workspace hook loading: discovers HOOK.md files, parses frontmatter, resolves metadata</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config.ts</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165</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Hook eligibility filtering: OS, binaries, env vars, config path requirements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loader.ts</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147</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Dynamic loader for hook handlers from directories and legacy config</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install.ts</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500</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Hook installation from npm, archives, or local directories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frontmatter_test.ts</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291</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Tests revealing HOOK.md frontmatter schema and metadata structure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internal-hooks_test.ts</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248</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Tests revealing the internal event system: types, actions, lifecycle</w:t>
            </w:r>
          </w:p>
        </w:tc>
      </w:tr>
    </w:tbl>
    <w:p>
      <w:pPr>
        <w:spacing w:after="80"/>
      </w:pPr>
    </w:p>
    <w:p>
      <w:pPr>
        <w:pStyle w:val="Heading2"/>
        <w:spacing w:before="240" w:after="120"/>
      </w:pPr>
      <w:r>
        <w:t xml:space="preserve">2.2 Framework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5560"/>
      </w:tblGrid>
      <w:tr>
        <w:trPr>
          <w:tblHeader/>
        </w:trPr>
        <w:tc>
          <w:tcPr>
            <w:tcW w:type="dxa" w:w="3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File</w:t>
            </w:r>
          </w:p>
        </w:tc>
        <w:tc>
          <w:tcPr>
            <w:tcW w:type="dxa" w:w="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Lines</w:t>
            </w:r>
          </w:p>
        </w:tc>
        <w:tc>
          <w:tcPr>
            <w:tcW w:type="dxa" w:w="5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index.ts</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374</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Public API exports: all channel types, adapters, security interfaces, utilities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schema.ts</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16</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Schema module re-exports (agents, channels, config, sessions, etc.)</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package.json</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139</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Watchdog package definition with peer dependency on @openclaw/openclaw</w:t>
            </w:r>
          </w:p>
        </w:tc>
      </w:tr>
    </w:tbl>
    <w:p>
      <w:pPr>
        <w:spacing w:after="80"/>
      </w:pPr>
    </w:p>
    <w:p>
      <w:pPr>
        <w:pStyle w:val="Heading2"/>
        <w:spacing w:before="240" w:after="120"/>
      </w:pPr>
      <w:r>
        <w:t xml:space="preserve">2.3 Watchdog Deliverables (Our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5560"/>
      </w:tblGrid>
      <w:tr>
        <w:trPr>
          <w:tblHeader/>
        </w:trPr>
        <w:tc>
          <w:tcPr>
            <w:tcW w:type="dxa" w:w="3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File</w:t>
            </w:r>
          </w:p>
        </w:tc>
        <w:tc>
          <w:tcPr>
            <w:tcW w:type="dxa" w:w="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Lines</w:t>
            </w:r>
          </w:p>
        </w:tc>
        <w:tc>
          <w:tcPr>
            <w:tcW w:type="dxa" w:w="5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types.ts</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968</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All watchdog TypeScript interfaces and enumerations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constants.ts</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357</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Paths, limits, defaults, classification hierarchy, log events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errors.ts</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570</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Structured error hierarchy with factory methods per component</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schema.json</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358</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JSON Schema for config.json validation</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README.md</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287</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Project README with architecture overview and quick start</w:t>
            </w:r>
          </w:p>
        </w:tc>
      </w:tr>
    </w:tbl>
    <w:p>
      <w:r>
        <w:br w:type="page"/>
      </w:r>
    </w:p>
    <w:p>
      <w:pPr>
        <w:pStyle w:val="Heading1"/>
        <w:spacing w:before="360" w:after="120"/>
      </w:pPr>
      <w:r>
        <w:t xml:space="preserve">3. Key Findings from the OpenClaw Source Code</w:t>
      </w:r>
    </w:p>
    <w:p>
      <w:pPr>
        <w:pStyle w:val="Heading2"/>
        <w:spacing w:before="240" w:after="120"/>
      </w:pPr>
      <w:r>
        <w:t xml:space="preserve">3.1 The Hook System Is Real, Mature, and Exactly What We Need</w:t>
      </w:r>
    </w:p>
    <w:p>
      <w:pPr>
        <w:spacing w:after="120"/>
      </w:pPr>
      <w:r>
        <w:rPr>
          <w:rFonts w:ascii="Arial" w:cs="Arial" w:eastAsia="Arial" w:hAnsi="Arial"/>
          <w:sz w:val="22"/>
          <w:szCs w:val="22"/>
        </w:rPr>
        <w:t xml:space="preserve">OpenClaw has a complete, production-quality hook system. This is the single most important validation of our architecture. The system works as follows: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Discovery</w:t>
      </w:r>
      <w:r>
        <w:rPr>
          <w:rFonts w:ascii="Arial" w:cs="Arial" w:eastAsia="Arial" w:hAnsi="Arial"/>
          <w:sz w:val="22"/>
          <w:szCs w:val="22"/>
        </w:rPr>
        <w:t xml:space="preserve">: Hooks live in directories containing a HOOK.md file (metadata) and a handler file (handler.ts/handler.js/index.ts/index.js)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Registration</w:t>
      </w:r>
      <w:r>
        <w:rPr>
          <w:rFonts w:ascii="Arial" w:cs="Arial" w:eastAsia="Arial" w:hAnsi="Arial"/>
          <w:sz w:val="22"/>
          <w:szCs w:val="22"/>
        </w:rPr>
        <w:t xml:space="preserve">: Hooks declare which events they handle via frontmatter metadata in HOOK.md</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Event model</w:t>
      </w:r>
      <w:r>
        <w:rPr>
          <w:rFonts w:ascii="Arial" w:cs="Arial" w:eastAsia="Arial" w:hAnsi="Arial"/>
          <w:sz w:val="22"/>
          <w:szCs w:val="22"/>
        </w:rPr>
        <w:t xml:space="preserve">: Events use a type:action pattern (e.g., "command:new", "session:start", "agent:bootstrap"). Handlers can register for a general type ("command") to catch all actions, or a specific action ("command:new")</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Loading</w:t>
      </w:r>
      <w:r>
        <w:rPr>
          <w:rFonts w:ascii="Arial" w:cs="Arial" w:eastAsia="Arial" w:hAnsi="Arial"/>
          <w:sz w:val="22"/>
          <w:szCs w:val="22"/>
        </w:rPr>
        <w:t xml:space="preserve">: Hooks are loaded from four locations with clear precedence: extra dirs &lt; bundled &lt; managed &lt; workspace (workspace wins)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Eligibility</w:t>
      </w:r>
      <w:r>
        <w:rPr>
          <w:rFonts w:ascii="Arial" w:cs="Arial" w:eastAsia="Arial" w:hAnsi="Arial"/>
          <w:sz w:val="22"/>
          <w:szCs w:val="22"/>
        </w:rPr>
        <w:t xml:space="preserve">: Hooks can declare requirements for OS, binaries, environment variables, and config paths. The framework skips ineligible hooks automatically</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Installation</w:t>
      </w:r>
      <w:r>
        <w:rPr>
          <w:rFonts w:ascii="Arial" w:cs="Arial" w:eastAsia="Arial" w:hAnsi="Arial"/>
          <w:sz w:val="22"/>
          <w:szCs w:val="22"/>
        </w:rPr>
        <w:t xml:space="preserve">: Full npm-based installation pipeline supporting archives, directories, and npm registry packages</w:t>
      </w:r>
    </w:p>
    <w:p>
      <w:pPr>
        <w:spacing w:after="80"/>
      </w:pPr>
    </w:p>
    <w:p>
      <w:pPr>
        <w:pStyle w:val="Heading2"/>
        <w:spacing w:before="240" w:after="120"/>
      </w:pPr>
      <w:r>
        <w:t xml:space="preserve">3.2 The Event Architecture Supports Both General and Specific Handlers</w:t>
      </w:r>
    </w:p>
    <w:p>
      <w:pPr>
        <w:spacing w:after="120"/>
      </w:pPr>
      <w:r>
        <w:rPr>
          <w:rFonts w:ascii="Arial" w:cs="Arial" w:eastAsia="Arial" w:hAnsi="Arial"/>
          <w:sz w:val="22"/>
          <w:szCs w:val="22"/>
        </w:rPr>
        <w:t xml:space="preserve">The test suite reveals that when an event fires (e.g., type="command", action="new"), both handlers registered for "command" AND handlers registered for "command:new" are triggered. Both handlers execute independently; errors in one do not prevent others from running. This means:</w:t>
      </w:r>
    </w:p>
    <w:p>
      <w:pPr>
        <w:pStyle w:val="ListParagraph"/>
        <w:numPr>
          <w:ilvl w:val="0"/>
          <w:numId w:val="2"/>
        </w:numPr>
        <w:spacing w:after="60"/>
      </w:pPr>
      <w:r>
        <w:rPr>
          <w:rFonts w:ascii="Arial" w:cs="Arial" w:eastAsia="Arial" w:hAnsi="Arial"/>
          <w:sz w:val="22"/>
          <w:szCs w:val="22"/>
        </w:rPr>
        <w:t xml:space="preserve">The watchdog can register for broad event types (e.g., "agent" or "tool") to catch all related events</w:t>
      </w:r>
    </w:p>
    <w:p>
      <w:pPr>
        <w:pStyle w:val="ListParagraph"/>
        <w:numPr>
          <w:ilvl w:val="0"/>
          <w:numId w:val="2"/>
        </w:numPr>
        <w:spacing w:after="60"/>
      </w:pPr>
      <w:r>
        <w:rPr>
          <w:rFonts w:ascii="Arial" w:cs="Arial" w:eastAsia="Arial" w:hAnsi="Arial"/>
          <w:sz w:val="22"/>
          <w:szCs w:val="22"/>
        </w:rPr>
        <w:t xml:space="preserve">Multiple hooks can coexist on the same event without interference</w:t>
      </w:r>
    </w:p>
    <w:p>
      <w:pPr>
        <w:pStyle w:val="ListParagraph"/>
        <w:numPr>
          <w:ilvl w:val="0"/>
          <w:numId w:val="2"/>
        </w:numPr>
        <w:spacing w:after="60"/>
      </w:pPr>
      <w:r>
        <w:rPr>
          <w:rFonts w:ascii="Arial" w:cs="Arial" w:eastAsia="Arial" w:hAnsi="Arial"/>
          <w:sz w:val="22"/>
          <w:szCs w:val="22"/>
        </w:rPr>
        <w:t xml:space="preserve">Hook handler errors are caught and logged, not propagated — this is good for resilience but means we cannot throw to block execution</w:t>
      </w:r>
    </w:p>
    <w:p>
      <w:pPr>
        <w:spacing w:after="80"/>
      </w:pPr>
    </w:p>
    <w:p>
      <w:pPr>
        <w:pStyle w:val="Heading2"/>
        <w:spacing w:before="240" w:after="120"/>
      </w:pPr>
      <w:r>
        <w:t xml:space="preserve">3.3 The Hook System Appears Fire-and-Forget</w:t>
      </w:r>
    </w:p>
    <w:p>
      <w:pPr>
        <w:spacing w:after="120"/>
      </w:pPr>
      <w:r>
        <w:rPr>
          <w:rFonts w:ascii="Arial" w:cs="Arial" w:eastAsia="Arial" w:hAnsi="Arial"/>
          <w:sz w:val="22"/>
          <w:szCs w:val="22"/>
        </w:rPr>
        <w:t xml:space="preserve">This is the most important finding with design implications. Based on the test code, the hook trigger mechanism calls all handlers but does not appear to use their return values for flow control:</w:t>
      </w:r>
    </w:p>
    <w:p>
      <w:pPr>
        <w:spacing w:after="120"/>
      </w:pPr>
      <w:r>
        <w:rPr>
          <w:rFonts w:ascii="Courier New" w:cs="Courier New" w:eastAsia="Courier New" w:hAnsi="Courier New"/>
          <w:sz w:val="20"/>
          <w:szCs w:val="20"/>
        </w:rPr>
        <w:t xml:space="preserve">await triggerInternalHook(event);</w:t>
      </w:r>
      <w:r>
        <w:rPr>
          <w:rFonts w:ascii="Arial" w:cs="Arial" w:eastAsia="Arial" w:hAnsi="Arial"/>
          <w:sz w:val="22"/>
          <w:szCs w:val="22"/>
        </w:rPr>
        <w:t xml:space="preserve">  // No return value captured or inspected</w:t>
      </w:r>
    </w:p>
    <w:p>
      <w:pPr>
        <w:spacing w:after="120"/>
      </w:pPr>
      <w:r>
        <w:rPr>
          <w:rFonts w:ascii="Arial" w:cs="Arial" w:eastAsia="Arial" w:hAnsi="Arial"/>
          <w:sz w:val="22"/>
          <w:szCs w:val="22"/>
        </w:rPr>
        <w:t xml:space="preserve">The handlers are async functions that receive the event object, but the trigger function does not aggregate or inspect results. This means </w:t>
      </w:r>
      <w:r>
        <w:rPr>
          <w:rFonts w:ascii="Arial" w:cs="Arial" w:eastAsia="Arial" w:hAnsi="Arial"/>
          <w:b/>
          <w:bCs/>
          <w:sz w:val="22"/>
          <w:szCs w:val="22"/>
        </w:rPr>
        <w:t xml:space="preserve">the current hook system may not support synchronous gating</w:t>
      </w:r>
      <w:r>
        <w:rPr>
          <w:rFonts w:ascii="Arial" w:cs="Arial" w:eastAsia="Arial" w:hAnsi="Arial"/>
          <w:sz w:val="22"/>
          <w:szCs w:val="22"/>
        </w:rPr>
        <w:t xml:space="preserve"> — i.e., a hook cannot return "block this operation" in a way the framework would enforce.</w:t>
      </w:r>
    </w:p>
    <w:p>
      <w:pPr>
        <w:spacing w:after="120"/>
      </w:pPr>
      <w:r>
        <w:rPr>
          <w:rFonts w:ascii="Arial" w:cs="Arial" w:eastAsia="Arial" w:hAnsi="Arial"/>
          <w:sz w:val="22"/>
          <w:szCs w:val="22"/>
        </w:rPr>
        <w:t xml:space="preserve"/>
      </w:r>
      <w:r>
        <w:rPr>
          <w:rFonts w:ascii="Arial" w:cs="Arial" w:eastAsia="Arial" w:hAnsi="Arial"/>
          <w:b/>
          <w:bCs/>
          <w:sz w:val="22"/>
          <w:szCs w:val="22"/>
        </w:rPr>
        <w:t xml:space="preserve">This is a critical open question.</w:t>
      </w:r>
      <w:r>
        <w:rPr>
          <w:rFonts w:ascii="Arial" w:cs="Arial" w:eastAsia="Arial" w:hAnsi="Arial"/>
          <w:sz w:val="22"/>
          <w:szCs w:val="22"/>
        </w:rPr>
        <w:t xml:space="preserve"> See Section 5 for the resolution strategy.</w:t>
      </w:r>
    </w:p>
    <w:p>
      <w:pPr>
        <w:spacing w:after="80"/>
      </w:pPr>
    </w:p>
    <w:p>
      <w:pPr>
        <w:pStyle w:val="Heading2"/>
        <w:spacing w:before="240" w:after="120"/>
      </w:pPr>
      <w:r>
        <w:t xml:space="preserve">3.4 Rich Channel Architecture with Existing Security Concepts</w:t>
      </w:r>
    </w:p>
    <w:p>
      <w:pPr>
        <w:spacing w:after="120"/>
      </w:pPr>
      <w:r>
        <w:rPr>
          <w:rFonts w:ascii="Arial" w:cs="Arial" w:eastAsia="Arial" w:hAnsi="Arial"/>
          <w:sz w:val="22"/>
          <w:szCs w:val="22"/>
        </w:rPr>
        <w:t xml:space="preserve">The index.ts exports reveal that OpenClaw already has security-related channel interfaces: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ChannelSecurityAdapter</w:t>
      </w:r>
      <w:r>
        <w:rPr>
          <w:rFonts w:ascii="Arial" w:cs="Arial" w:eastAsia="Arial" w:hAnsi="Arial"/>
          <w:sz w:val="22"/>
          <w:szCs w:val="22"/>
        </w:rPr>
        <w:t xml:space="preserve"> and </w:t>
      </w:r>
      <w:r>
        <w:rPr>
          <w:rFonts w:ascii="Arial" w:cs="Arial" w:eastAsia="Arial" w:hAnsi="Arial"/>
          <w:b/>
          <w:bCs/>
          <w:sz w:val="22"/>
          <w:szCs w:val="22"/>
        </w:rPr>
        <w:t xml:space="preserve">ChannelSecurityContext</w:t>
      </w:r>
      <w:r>
        <w:rPr>
          <w:rFonts w:ascii="Arial" w:cs="Arial" w:eastAsia="Arial" w:hAnsi="Arial"/>
          <w:sz w:val="22"/>
          <w:szCs w:val="22"/>
        </w:rPr>
        <w:t xml:space="preserve"> — an existing security adapter pattern in the channel plugin system</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ChannelSecurityDmPolicy</w:t>
      </w:r>
      <w:r>
        <w:rPr>
          <w:rFonts w:ascii="Arial" w:cs="Arial" w:eastAsia="Arial" w:hAnsi="Arial"/>
          <w:sz w:val="22"/>
          <w:szCs w:val="22"/>
        </w:rPr>
        <w:t xml:space="preserve"> — DM-level security policy (likely the existing allowlist/pairing system)</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ChannelOutboundAdapter</w:t>
      </w:r>
      <w:r>
        <w:rPr>
          <w:rFonts w:ascii="Arial" w:cs="Arial" w:eastAsia="Arial" w:hAnsi="Arial"/>
          <w:sz w:val="22"/>
          <w:szCs w:val="22"/>
        </w:rPr>
        <w:t xml:space="preserve"> and </w:t>
      </w:r>
      <w:r>
        <w:rPr>
          <w:rFonts w:ascii="Arial" w:cs="Arial" w:eastAsia="Arial" w:hAnsi="Arial"/>
          <w:b/>
          <w:bCs/>
          <w:sz w:val="22"/>
          <w:szCs w:val="22"/>
        </w:rPr>
        <w:t xml:space="preserve">ChannelOutboundContext</w:t>
      </w:r>
      <w:r>
        <w:rPr>
          <w:rFonts w:ascii="Arial" w:cs="Arial" w:eastAsia="Arial" w:hAnsi="Arial"/>
          <w:sz w:val="22"/>
          <w:szCs w:val="22"/>
        </w:rPr>
        <w:t xml:space="preserve"> — the outbound message delivery pathway</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exec-approvals</w:t>
      </w:r>
      <w:r>
        <w:rPr>
          <w:rFonts w:ascii="Arial" w:cs="Arial" w:eastAsia="Arial" w:hAnsi="Arial"/>
          <w:sz w:val="22"/>
          <w:szCs w:val="22"/>
        </w:rPr>
        <w:t xml:space="preserve"> schema exports — suggesting an existing approval pattern for execution operations</w:t>
      </w:r>
    </w:p>
    <w:p>
      <w:pPr>
        <w:spacing w:after="120"/>
      </w:pPr>
      <w:r>
        <w:rPr>
          <w:rFonts w:ascii="Arial" w:cs="Arial" w:eastAsia="Arial" w:hAnsi="Arial"/>
          <w:sz w:val="22"/>
          <w:szCs w:val="22"/>
        </w:rPr>
        <w:t xml:space="preserve">The existence of ChannelSecurityAdapter is significant. It may represent the exact integration point we need, or it may be limited to DM access policy. This needs investigation but opens an alternative integration path beyond the hook system.</w:t>
      </w:r>
    </w:p>
    <w:p>
      <w:pPr>
        <w:spacing w:after="80"/>
      </w:pPr>
    </w:p>
    <w:p>
      <w:pPr>
        <w:pStyle w:val="Heading2"/>
        <w:spacing w:before="240" w:after="120"/>
      </w:pPr>
      <w:r>
        <w:t xml:space="preserve">3.5 Supported Channels Align with Escalation Design</w:t>
      </w:r>
    </w:p>
    <w:p>
      <w:pPr>
        <w:spacing w:after="120"/>
      </w:pPr>
      <w:r>
        <w:rPr>
          <w:rFonts w:ascii="Arial" w:cs="Arial" w:eastAsia="Arial" w:hAnsi="Arial"/>
          <w:sz w:val="22"/>
          <w:szCs w:val="22"/>
        </w:rPr>
        <w:t xml:space="preserve">The source code confirms support for all channels we planned for the Escalation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Channel</w:t>
            </w:r>
          </w:p>
        </w:tc>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Confirmed</w:t>
            </w:r>
          </w:p>
        </w:tc>
        <w:tc>
          <w:tcPr>
            <w:tcW w:type="dxa" w:w="63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Key Exports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WhatsApp</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Yes</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resolveWhatsAppAccount, normalizeWhatsAppMessagingTarget</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Telegram</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Yes</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resolveTelegramAccount, normalizeTelegramMessagingTarget</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Signal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Yes</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resolveSignalAccount, normalizeSignalMessagingTarget</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Discord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Yes</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resolveDiscordAccount, normalizeDiscordMessagingTarget</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Slack</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Yes</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resolveSlackAccount, normalizeSlackMessagingTarget</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iMessage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Yes</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resolveIMessageAccount, normalizeIMessageMessagingTarget</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LINE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Yes</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resolveLineAccount (newly discovered)</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MS Teams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Yes</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MSTeamsChannelConfig (newly discovered)</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Google Chat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Yes</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GoogleChatConfig (newly discovered)</w:t>
            </w:r>
          </w:p>
        </w:tc>
      </w:tr>
    </w:tbl>
    <w:p>
      <w:pPr>
        <w:spacing w:after="120"/>
      </w:pPr>
      <w:r>
        <w:rPr>
          <w:rFonts w:ascii="Arial" w:cs="Arial" w:eastAsia="Arial" w:hAnsi="Arial"/>
          <w:sz w:val="22"/>
          <w:szCs w:val="22"/>
        </w:rPr>
        <w:t xml:space="preserve">LINE, MS Teams, and Google Chat were not in our original escalation channel list. While not high priority for Phase 5, the architecture should accommodate them.</w:t>
      </w:r>
    </w:p>
    <w:p>
      <w:pPr>
        <w:spacing w:after="80"/>
      </w:pPr>
    </w:p>
    <w:p>
      <w:pPr>
        <w:pStyle w:val="Heading2"/>
        <w:spacing w:before="240" w:after="120"/>
      </w:pPr>
      <w:r>
        <w:t xml:space="preserve">3.6 Diagnostic Events System Exists</w:t>
      </w:r>
    </w:p>
    <w:p>
      <w:pPr>
        <w:spacing w:after="120"/>
      </w:pPr>
      <w:r>
        <w:rPr>
          <w:rFonts w:ascii="Arial" w:cs="Arial" w:eastAsia="Arial" w:hAnsi="Arial"/>
          <w:sz w:val="22"/>
          <w:szCs w:val="22"/>
        </w:rPr>
        <w:t xml:space="preserve">OpenClaw provides a diagnostic events system with structured event types including heartbeat, message processing, webhook, usage, and session state events. The watchdog’s Auditor daemon should integrate with this rather than building a completely independent monitoring pipeline. The relevant exports are: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emitDiagnosticEvent</w:t>
      </w:r>
      <w:r>
        <w:rPr>
          <w:rFonts w:ascii="Arial" w:cs="Arial" w:eastAsia="Arial" w:hAnsi="Arial"/>
          <w:sz w:val="22"/>
          <w:szCs w:val="22"/>
        </w:rPr>
        <w:t xml:space="preserve"> / </w:t>
      </w:r>
      <w:r>
        <w:rPr>
          <w:rFonts w:ascii="Arial" w:cs="Arial" w:eastAsia="Arial" w:hAnsi="Arial"/>
          <w:b/>
          <w:bCs/>
          <w:sz w:val="22"/>
          <w:szCs w:val="22"/>
        </w:rPr>
        <w:t xml:space="preserve">onDiagnosticEvent</w:t>
      </w:r>
      <w:r>
        <w:rPr>
          <w:rFonts w:ascii="Arial" w:cs="Arial" w:eastAsia="Arial" w:hAnsi="Arial"/>
          <w:sz w:val="22"/>
          <w:szCs w:val="22"/>
        </w:rPr>
        <w:t xml:space="preserve"> — pub/sub for diagnostics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DiagnosticHeartbeatEvent</w:t>
      </w:r>
      <w:r>
        <w:rPr>
          <w:rFonts w:ascii="Arial" w:cs="Arial" w:eastAsia="Arial" w:hAnsi="Arial"/>
          <w:sz w:val="22"/>
          <w:szCs w:val="22"/>
        </w:rPr>
        <w:t xml:space="preserve"> — aligns with our Auditor health check model</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DiagnosticMessageProcessedEvent</w:t>
      </w:r>
      <w:r>
        <w:rPr>
          <w:rFonts w:ascii="Arial" w:cs="Arial" w:eastAsia="Arial" w:hAnsi="Arial"/>
          <w:sz w:val="22"/>
          <w:szCs w:val="22"/>
        </w:rPr>
        <w:t xml:space="preserve"> — could trigger post-hoc audit scanning</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DiagnosticSessionStateEvent</w:t>
      </w:r>
      <w:r>
        <w:rPr>
          <w:rFonts w:ascii="Arial" w:cs="Arial" w:eastAsia="Arial" w:hAnsi="Arial"/>
          <w:sz w:val="22"/>
          <w:szCs w:val="22"/>
        </w:rPr>
        <w:t xml:space="preserve"> — session lifecycle tracking for inventory management</w:t>
      </w:r>
    </w:p>
    <w:p>
      <w:pPr>
        <w:spacing w:after="80"/>
      </w:pPr>
    </w:p>
    <w:p>
      <w:pPr>
        <w:pStyle w:val="Heading2"/>
        <w:spacing w:before="240" w:after="120"/>
      </w:pPr>
      <w:r>
        <w:t xml:space="preserve">3.7 Configuration and Workspace Paths Confirmed</w:t>
      </w:r>
    </w:p>
    <w:p>
      <w:pPr>
        <w:spacing w:after="120"/>
      </w:pPr>
      <w:r>
        <w:rPr>
          <w:rFonts w:ascii="Arial" w:cs="Arial" w:eastAsia="Arial" w:hAnsi="Arial"/>
          <w:sz w:val="22"/>
          <w:szCs w:val="22"/>
        </w:rPr>
        <w:t xml:space="preserve">The source code references CONFIG_DIR and resolveUserPath for hook installation, confirming the ~/.openclaw/ directory structure we’ve been targeting. Managed hooks install to ~/.openclaw/hooks/&lt;hook-id&gt;/, which aligns perfectly with our planned deployment at ~/.openclaw/hooks/security-watchdog/.</w:t>
      </w:r>
    </w:p>
    <w:p>
      <w:r>
        <w:br w:type="page"/>
      </w:r>
    </w:p>
    <w:p>
      <w:pPr>
        <w:pStyle w:val="Heading1"/>
        <w:spacing w:before="360" w:after="120"/>
      </w:pPr>
      <w:r>
        <w:t xml:space="preserve">4. Design Validations</w:t>
      </w:r>
    </w:p>
    <w:p>
      <w:pPr>
        <w:spacing w:after="120"/>
      </w:pPr>
      <w:r>
        <w:rPr>
          <w:rFonts w:ascii="Arial" w:cs="Arial" w:eastAsia="Arial" w:hAnsi="Arial"/>
          <w:sz w:val="22"/>
          <w:szCs w:val="22"/>
        </w:rPr>
        <w:t xml:space="preserve">These aspects of the existing Security Watchdog design are confirmed as correct by the source code review.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3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Design Decision</w:t>
            </w:r>
          </w:p>
        </w:tc>
        <w:tc>
          <w:tcPr>
            <w:tcW w:type="dxa" w:w="57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 Code Validation</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V1</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Gateway-level hook interception</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The hook system is the primary extensibility mechanism. Hooks intercept events at the gateway layer before tool execution.</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V2</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HOOK.md + handler.ts packaging</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Exactly how OpenClaw discovers and loads hooks. Our hook should follow this convention.</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V3</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Separate process from assistant</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Hooks run in the gateway process, independent of the LLM agent. The assistant never sees hook code.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V4</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~/.openclaw/security/ config path</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The ~/.openclaw/ directory is the established root for all framework configuration and extensions.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V5</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Node.js + TypeScript stack</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The entire framework is TypeScript. Our watchdog runs in the same Node.js process context.</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V6</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npm-installable package</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install.ts shows full npm installation support. @openclaw/security-watchdog can be installed via npm.</w:t>
            </w:r>
          </w:p>
        </w:tc>
      </w:tr>
    </w:tbl>
    <w:p>
      <w:r>
        <w:br w:type="page"/>
      </w:r>
    </w:p>
    <w:p>
      <w:pPr>
        <w:pStyle w:val="Heading1"/>
        <w:spacing w:before="360" w:after="120"/>
      </w:pPr>
      <w:r>
        <w:t xml:space="preserve">5. Required Design Changes</w:t>
      </w:r>
    </w:p>
    <w:p>
      <w:pPr>
        <w:pStyle w:val="Heading2"/>
        <w:spacing w:before="240" w:after="120"/>
      </w:pPr>
      <w:r>
        <w:t xml:space="preserve">5.1 [CRITICAL] Resolve the Gating Mechanism</w:t>
      </w:r>
    </w:p>
    <w:p>
      <w:pPr>
        <w:spacing w:after="120"/>
      </w:pPr>
      <w:r>
        <w:rPr>
          <w:rFonts w:ascii="Arial" w:cs="Arial" w:eastAsia="Arial" w:hAnsi="Arial"/>
          <w:sz w:val="22"/>
          <w:szCs w:val="22"/>
        </w:rPr>
        <w:t xml:space="preserve"/>
      </w:r>
      <w:r>
        <w:rPr>
          <w:rFonts w:ascii="Arial" w:cs="Arial" w:eastAsia="Arial" w:hAnsi="Arial"/>
          <w:b/>
          <w:bCs/>
          <w:sz w:val="22"/>
          <w:szCs w:val="22"/>
        </w:rPr>
        <w:t xml:space="preserve">Priority: BLOCKING — Must resolve before implementation begins</w:t>
      </w:r>
      <w:r>
        <w:rPr>
          <w:rFonts w:ascii="Arial" w:cs="Arial" w:eastAsia="Arial" w:hAnsi="Arial"/>
          <w:sz w:val="22"/>
          <w:szCs w:val="22"/>
        </w:rPr>
        <w:t xml:space="preserve"/>
      </w:r>
    </w:p>
    <w:p>
      <w:pPr>
        <w:spacing w:after="120"/>
      </w:pPr>
      <w:r>
        <w:rPr>
          <w:rFonts w:ascii="Arial" w:cs="Arial" w:eastAsia="Arial" w:hAnsi="Arial"/>
          <w:sz w:val="22"/>
          <w:szCs w:val="22"/>
        </w:rPr>
        <w:t xml:space="preserve">Our architecture requires that the watchdog can </w:t>
      </w:r>
      <w:r>
        <w:rPr>
          <w:rFonts w:ascii="Arial" w:cs="Arial" w:eastAsia="Arial" w:hAnsi="Arial"/>
          <w:b/>
          <w:bCs/>
          <w:sz w:val="22"/>
          <w:szCs w:val="22"/>
        </w:rPr>
        <w:t xml:space="preserve">prevent</w:t>
      </w:r>
      <w:r>
        <w:rPr>
          <w:rFonts w:ascii="Arial" w:cs="Arial" w:eastAsia="Arial" w:hAnsi="Arial"/>
          <w:sz w:val="22"/>
          <w:szCs w:val="22"/>
        </w:rPr>
        <w:t xml:space="preserve"> an outbound tool call from executing. The current hook system appears to be fire-and-forget: handlers are called, but their return values do not gate the operation. We need a mechanism that makes outbound transmission contingent on watchdog approval.</w:t>
      </w:r>
    </w:p>
    <w:p>
      <w:pPr>
        <w:spacing w:after="120"/>
      </w:pPr>
      <w:r>
        <w:rPr>
          <w:rFonts w:ascii="Arial" w:cs="Arial" w:eastAsia="Arial" w:hAnsi="Arial"/>
          <w:sz w:val="22"/>
          <w:szCs w:val="22"/>
        </w:rPr>
        <w:t xml:space="preserve"/>
      </w:r>
      <w:r>
        <w:rPr>
          <w:rFonts w:ascii="Arial" w:cs="Arial" w:eastAsia="Arial" w:hAnsi="Arial"/>
          <w:b/>
          <w:bCs/>
          <w:sz w:val="22"/>
          <w:szCs w:val="22"/>
        </w:rPr>
        <w:t xml:space="preserve">Resolution strategy (in priority order):</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
      </w:r>
      <w:r>
        <w:rPr>
          <w:rFonts w:ascii="Arial" w:cs="Arial" w:eastAsia="Arial" w:hAnsi="Arial"/>
          <w:b/>
          <w:bCs/>
          <w:sz w:val="22"/>
          <w:szCs w:val="22"/>
        </w:rPr>
        <w:t xml:space="preserve">Investigate ChannelSecurityAdapter.</w:t>
      </w:r>
      <w:r>
        <w:rPr>
          <w:rFonts w:ascii="Arial" w:cs="Arial" w:eastAsia="Arial" w:hAnsi="Arial"/>
          <w:sz w:val="22"/>
          <w:szCs w:val="22"/>
        </w:rPr>
        <w:t xml:space="preserve"> The exported ChannelSecurityAdapter interface may already provide a gating mechanism for outbound operations. If it supports a pre-send check that can return allow/deny, this is our ideal integration point. It would require zero changes to the OpenClaw core.</w:t>
      </w:r>
    </w:p>
    <w:p>
      <w:pPr>
        <w:pStyle w:val="ListParagraph"/>
        <w:numPr>
          <w:ilvl w:val="0"/>
          <w:numId w:val="3"/>
        </w:numPr>
        <w:spacing w:after="60"/>
      </w:pPr>
      <w:r>
        <w:rPr>
          <w:rFonts w:ascii="Arial" w:cs="Arial" w:eastAsia="Arial" w:hAnsi="Arial"/>
          <w:sz w:val="22"/>
          <w:szCs w:val="22"/>
        </w:rPr>
        <w:t xml:space="preserve"/>
      </w:r>
      <w:r>
        <w:rPr>
          <w:rFonts w:ascii="Arial" w:cs="Arial" w:eastAsia="Arial" w:hAnsi="Arial"/>
          <w:b/>
          <w:bCs/>
          <w:sz w:val="22"/>
          <w:szCs w:val="22"/>
        </w:rPr>
        <w:t xml:space="preserve">Investigate exec-approvals.</w:t>
      </w:r>
      <w:r>
        <w:rPr>
          <w:rFonts w:ascii="Arial" w:cs="Arial" w:eastAsia="Arial" w:hAnsi="Arial"/>
          <w:sz w:val="22"/>
          <w:szCs w:val="22"/>
        </w:rPr>
        <w:t xml:space="preserve"> The exec-approvals schema export suggests an existing approval workflow for execution operations. If this pattern supports custom approval providers, the watchdog could register as one.</w:t>
      </w:r>
    </w:p>
    <w:p>
      <w:pPr>
        <w:pStyle w:val="ListParagraph"/>
        <w:numPr>
          <w:ilvl w:val="0"/>
          <w:numId w:val="3"/>
        </w:numPr>
        <w:spacing w:after="60"/>
      </w:pPr>
      <w:r>
        <w:rPr>
          <w:rFonts w:ascii="Arial" w:cs="Arial" w:eastAsia="Arial" w:hAnsi="Arial"/>
          <w:sz w:val="22"/>
          <w:szCs w:val="22"/>
        </w:rPr>
        <w:t xml:space="preserve"/>
      </w:r>
      <w:r>
        <w:rPr>
          <w:rFonts w:ascii="Arial" w:cs="Arial" w:eastAsia="Arial" w:hAnsi="Arial"/>
          <w:b/>
          <w:bCs/>
          <w:sz w:val="22"/>
          <w:szCs w:val="22"/>
        </w:rPr>
        <w:t xml:space="preserve">Propose a gating hook type upstream.</w:t>
      </w:r>
      <w:r>
        <w:rPr>
          <w:rFonts w:ascii="Arial" w:cs="Arial" w:eastAsia="Arial" w:hAnsi="Arial"/>
          <w:sz w:val="22"/>
          <w:szCs w:val="22"/>
        </w:rPr>
        <w:t xml:space="preserve"> If neither existing mechanism works, propose a PR to OpenClaw adding support for "gating hooks" — hooks whose return value (approve/deny) controls whether the triggering operation proceeds. This is a clean architectural addition that benefits the entire ecosystem.</w:t>
      </w:r>
    </w:p>
    <w:p>
      <w:pPr>
        <w:pStyle w:val="ListParagraph"/>
        <w:numPr>
          <w:ilvl w:val="0"/>
          <w:numId w:val="3"/>
        </w:numPr>
        <w:spacing w:after="60"/>
      </w:pPr>
      <w:r>
        <w:rPr>
          <w:rFonts w:ascii="Arial" w:cs="Arial" w:eastAsia="Arial" w:hAnsi="Arial"/>
          <w:sz w:val="22"/>
          <w:szCs w:val="22"/>
        </w:rPr>
        <w:t xml:space="preserve"/>
      </w:r>
      <w:r>
        <w:rPr>
          <w:rFonts w:ascii="Arial" w:cs="Arial" w:eastAsia="Arial" w:hAnsi="Arial"/>
          <w:b/>
          <w:bCs/>
          <w:sz w:val="22"/>
          <w:szCs w:val="22"/>
        </w:rPr>
        <w:t xml:space="preserve">WebSocket middleware fallback.</w:t>
      </w:r>
      <w:r>
        <w:rPr>
          <w:rFonts w:ascii="Arial" w:cs="Arial" w:eastAsia="Arial" w:hAnsi="Arial"/>
          <w:sz w:val="22"/>
          <w:szCs w:val="22"/>
        </w:rPr>
        <w:t xml:space="preserve"> As a last resort, the watchdog could operate as a WebSocket proxy between the agent and gateway, intercepting traffic at the transport layer. This is architecturally less clean but would work without any upstream changes.</w:t>
      </w:r>
    </w:p>
    <w:p>
      <w:pPr>
        <w:spacing w:after="120"/>
      </w:pPr>
      <w:r>
        <w:rPr>
          <w:rFonts w:ascii="Arial" w:cs="Arial" w:eastAsia="Arial" w:hAnsi="Arial"/>
          <w:sz w:val="22"/>
          <w:szCs w:val="22"/>
        </w:rPr>
        <w:t xml:space="preserve"/>
      </w:r>
      <w:r>
        <w:rPr>
          <w:rFonts w:ascii="Arial" w:cs="Arial" w:eastAsia="Arial" w:hAnsi="Arial"/>
          <w:b/>
          <w:bCs/>
          <w:sz w:val="22"/>
          <w:szCs w:val="22"/>
        </w:rPr>
        <w:t xml:space="preserve">Recommended next step:</w:t>
      </w:r>
      <w:r>
        <w:rPr>
          <w:rFonts w:ascii="Arial" w:cs="Arial" w:eastAsia="Arial" w:hAnsi="Arial"/>
          <w:sz w:val="22"/>
          <w:szCs w:val="22"/>
        </w:rPr>
        <w:t xml:space="preserve"> File a focused investigation spike examining the ChannelSecurityAdapter, ChannelOutboundAdapter, and exec-approvals interfaces. This should take approximately 2–4 hours of reading the full OpenClaw channel plugin codebase (not just the exported types we can see here).</w:t>
      </w:r>
    </w:p>
    <w:p>
      <w:pPr>
        <w:spacing w:after="80"/>
      </w:pPr>
    </w:p>
    <w:p>
      <w:pPr>
        <w:pStyle w:val="Heading2"/>
        <w:spacing w:before="240" w:after="120"/>
      </w:pPr>
      <w:r>
        <w:t xml:space="preserve">5.2 Hook Packaging Must Follow HOOK.md Convention</w:t>
      </w:r>
    </w:p>
    <w:p>
      <w:pPr>
        <w:spacing w:after="120"/>
      </w:pPr>
      <w:r>
        <w:rPr>
          <w:rFonts w:ascii="Arial" w:cs="Arial" w:eastAsia="Arial" w:hAnsi="Arial"/>
          <w:sz w:val="22"/>
          <w:szCs w:val="22"/>
        </w:rPr>
        <w:t xml:space="preserve"/>
      </w:r>
      <w:r>
        <w:rPr>
          <w:rFonts w:ascii="Arial" w:cs="Arial" w:eastAsia="Arial" w:hAnsi="Arial"/>
          <w:b/>
          <w:bCs/>
          <w:sz w:val="22"/>
          <w:szCs w:val="22"/>
        </w:rPr>
        <w:t xml:space="preserve">Impact: Gateway Hook module (all docs referencing gateway integration).</w:t>
      </w:r>
      <w:r>
        <w:rPr>
          <w:rFonts w:ascii="Arial" w:cs="Arial" w:eastAsia="Arial" w:hAnsi="Arial"/>
          <w:sz w:val="22"/>
          <w:szCs w:val="22"/>
        </w:rPr>
        <w:t xml:space="preserve"/>
      </w:r>
    </w:p>
    <w:p>
      <w:pPr>
        <w:spacing w:after="120"/>
      </w:pPr>
      <w:r>
        <w:rPr>
          <w:rFonts w:ascii="Arial" w:cs="Arial" w:eastAsia="Arial" w:hAnsi="Arial"/>
          <w:sz w:val="22"/>
          <w:szCs w:val="22"/>
        </w:rPr>
        <w:t xml:space="preserve">Our gateway hook must be packaged following the exact OpenClaw convention discovered in the source code:</w:t>
      </w:r>
    </w:p>
    <w:p>
      <w:pPr>
        <w:spacing w:after="120"/>
      </w:pPr>
      <w:r>
        <w:rPr>
          <w:rFonts w:ascii="Courier New" w:cs="Courier New" w:eastAsia="Courier New" w:hAnsi="Courier New"/>
          <w:sz w:val="20"/>
          <w:szCs w:val="20"/>
        </w:rPr>
        <w:t xml:space="preserve">~/.openclaw/hooks/security-watchdog/</w:t>
      </w:r>
    </w:p>
    <w:p>
      <w:pPr>
        <w:spacing w:after="120"/>
      </w:pPr>
      <w:r>
        <w:rPr>
          <w:rFonts w:ascii="Courier New" w:cs="Courier New" w:eastAsia="Courier New" w:hAnsi="Courier New"/>
          <w:sz w:val="20"/>
          <w:szCs w:val="20"/>
        </w:rPr>
        <w:t xml:space="preserve">├── HOOK.md              # Frontmatter metadata + description</w:t>
      </w:r>
    </w:p>
    <w:p>
      <w:pPr>
        <w:spacing w:after="120"/>
      </w:pPr>
      <w:r>
        <w:rPr>
          <w:rFonts w:ascii="Courier New" w:cs="Courier New" w:eastAsia="Courier New" w:hAnsi="Courier New"/>
          <w:sz w:val="20"/>
          <w:szCs w:val="20"/>
        </w:rPr>
        <w:t xml:space="preserve">├── handler.ts           # Main hook handler (default export)</w:t>
      </w:r>
    </w:p>
    <w:p>
      <w:pPr>
        <w:spacing w:after="120"/>
      </w:pPr>
      <w:r>
        <w:rPr>
          <w:rFonts w:ascii="Courier New" w:cs="Courier New" w:eastAsia="Courier New" w:hAnsi="Courier New"/>
          <w:sz w:val="20"/>
          <w:szCs w:val="20"/>
        </w:rPr>
        <w:t xml:space="preserve">├── package.json         # Dependencies + openclaw.hooks entries</w:t>
      </w:r>
    </w:p>
    <w:p>
      <w:pPr>
        <w:spacing w:after="120"/>
      </w:pPr>
      <w:r>
        <w:rPr>
          <w:rFonts w:ascii="Courier New" w:cs="Courier New" w:eastAsia="Courier New" w:hAnsi="Courier New"/>
          <w:sz w:val="20"/>
          <w:szCs w:val="20"/>
        </w:rPr>
        <w:t xml:space="preserve">└── node_modules/        # Installed dependencies</w:t>
      </w:r>
    </w:p>
    <w:p>
      <w:pPr>
        <w:spacing w:after="120"/>
      </w:pPr>
      <w:r>
        <w:rPr>
          <w:rFonts w:ascii="Arial" w:cs="Arial" w:eastAsia="Arial" w:hAnsi="Arial"/>
          <w:sz w:val="22"/>
          <w:szCs w:val="22"/>
        </w:rPr>
        <w:t xml:space="preserve">The HOOK.md frontmatter must declare: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name</w:t>
      </w:r>
      <w:r>
        <w:rPr>
          <w:rFonts w:ascii="Arial" w:cs="Arial" w:eastAsia="Arial" w:hAnsi="Arial"/>
          <w:sz w:val="22"/>
          <w:szCs w:val="22"/>
        </w:rPr>
        <w:t xml:space="preserve">: "security-watchdog"</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events</w:t>
      </w:r>
      <w:r>
        <w:rPr>
          <w:rFonts w:ascii="Arial" w:cs="Arial" w:eastAsia="Arial" w:hAnsi="Arial"/>
          <w:sz w:val="22"/>
          <w:szCs w:val="22"/>
        </w:rPr>
        <w:t xml:space="preserve">: The specific event types to intercept (see 5.3)</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requires.bins</w:t>
      </w:r>
      <w:r>
        <w:rPr>
          <w:rFonts w:ascii="Arial" w:cs="Arial" w:eastAsia="Arial" w:hAnsi="Arial"/>
          <w:sz w:val="22"/>
          <w:szCs w:val="22"/>
        </w:rPr>
        <w:t xml:space="preserve">: ["ollama"] (for Layer 2)</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requires.config</w:t>
      </w:r>
      <w:r>
        <w:rPr>
          <w:rFonts w:ascii="Arial" w:cs="Arial" w:eastAsia="Arial" w:hAnsi="Arial"/>
          <w:sz w:val="22"/>
          <w:szCs w:val="22"/>
        </w:rPr>
        <w:t xml:space="preserve">: Any required OpenClaw config paths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always</w:t>
      </w:r>
      <w:r>
        <w:rPr>
          <w:rFonts w:ascii="Arial" w:cs="Arial" w:eastAsia="Arial" w:hAnsi="Arial"/>
          <w:sz w:val="22"/>
          <w:szCs w:val="22"/>
        </w:rPr>
        <w:t xml:space="preserve">: true (security hook should never be filtered out by eligibility checks)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install</w:t>
      </w:r>
      <w:r>
        <w:rPr>
          <w:rFonts w:ascii="Arial" w:cs="Arial" w:eastAsia="Arial" w:hAnsi="Arial"/>
          <w:sz w:val="22"/>
          <w:szCs w:val="22"/>
        </w:rPr>
        <w:t xml:space="preserve">: npm and bundled installation metadata</w:t>
      </w:r>
    </w:p>
    <w:p>
      <w:pPr>
        <w:spacing w:after="80"/>
      </w:pPr>
    </w:p>
    <w:p>
      <w:pPr>
        <w:pStyle w:val="Heading2"/>
        <w:spacing w:before="240" w:after="120"/>
      </w:pPr>
      <w:r>
        <w:t xml:space="preserve">5.3 Event Names Need Verification</w:t>
      </w:r>
    </w:p>
    <w:p>
      <w:pPr>
        <w:spacing w:after="120"/>
      </w:pPr>
      <w:r>
        <w:rPr>
          <w:rFonts w:ascii="Arial" w:cs="Arial" w:eastAsia="Arial" w:hAnsi="Arial"/>
          <w:sz w:val="22"/>
          <w:szCs w:val="22"/>
        </w:rPr>
        <w:t xml:space="preserve"/>
      </w:r>
      <w:r>
        <w:rPr>
          <w:rFonts w:ascii="Arial" w:cs="Arial" w:eastAsia="Arial" w:hAnsi="Arial"/>
          <w:b/>
          <w:bCs/>
          <w:sz w:val="22"/>
          <w:szCs w:val="22"/>
        </w:rPr>
        <w:t xml:space="preserve">Impact: Gateway Hook module, Interface Contracts document.</w:t>
      </w:r>
      <w:r>
        <w:rPr>
          <w:rFonts w:ascii="Arial" w:cs="Arial" w:eastAsia="Arial" w:hAnsi="Arial"/>
          <w:sz w:val="22"/>
          <w:szCs w:val="22"/>
        </w:rPr>
        <w:t xml:space="preserve"/>
      </w:r>
    </w:p>
    <w:p>
      <w:pPr>
        <w:spacing w:after="120"/>
      </w:pPr>
      <w:r>
        <w:rPr>
          <w:rFonts w:ascii="Arial" w:cs="Arial" w:eastAsia="Arial" w:hAnsi="Arial"/>
          <w:sz w:val="22"/>
          <w:szCs w:val="22"/>
        </w:rPr>
        <w:t xml:space="preserve">Our schema.json currently declares hookEvents as ["agent_tool_call", "inbound_message"]. The source code reveals that OpenClaw events use a type:action pattern (e.g., "command:new", "agent:bootstrap"). The actual event names for tool calls and inbound messages may be different from what we assumed.</w:t>
      </w:r>
    </w:p>
    <w:p>
      <w:pPr>
        <w:spacing w:after="120"/>
      </w:pPr>
      <w:r>
        <w:rPr>
          <w:rFonts w:ascii="Arial" w:cs="Arial" w:eastAsia="Arial" w:hAnsi="Arial"/>
          <w:sz w:val="22"/>
          <w:szCs w:val="22"/>
        </w:rPr>
        <w:t xml:space="preserve">Observed event types from tests and source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Event Key</w:t>
            </w:r>
          </w:p>
        </w:tc>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w:t>
            </w:r>
          </w:p>
        </w:tc>
        <w:tc>
          <w:tcPr>
            <w:tcW w:type="dxa" w:w="50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Context</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command:new</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Test suite</w:t>
            </w:r>
          </w:p>
        </w:tc>
        <w:tc>
          <w:tcPr>
            <w:tcW w:type="dxa" w:w="5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New command issued</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command:stop</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Test suite</w:t>
            </w:r>
          </w:p>
        </w:tc>
        <w:tc>
          <w:tcPr>
            <w:tcW w:type="dxa" w:w="5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Command stopped</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command (general)</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Test suite</w:t>
            </w:r>
          </w:p>
        </w:tc>
        <w:tc>
          <w:tcPr>
            <w:tcW w:type="dxa" w:w="5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Any command action</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session:start</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Test suite</w:t>
            </w:r>
          </w:p>
        </w:tc>
        <w:tc>
          <w:tcPr>
            <w:tcW w:type="dxa" w:w="5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Session lifecycle</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agent:bootstrap</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Test suite</w:t>
            </w:r>
          </w:p>
        </w:tc>
        <w:tc>
          <w:tcPr>
            <w:tcW w:type="dxa" w:w="5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Agent initialization (provides workspaceDir, bootstrapFiles)</w:t>
            </w:r>
          </w:p>
        </w:tc>
      </w:tr>
    </w:tbl>
    <w:p>
      <w:pPr>
        <w:spacing w:after="120"/>
      </w:pPr>
      <w:r>
        <w:rPr>
          <w:rFonts w:ascii="Arial" w:cs="Arial" w:eastAsia="Arial" w:hAnsi="Arial"/>
          <w:sz w:val="22"/>
          <w:szCs w:val="22"/>
        </w:rPr>
        <w:t xml:space="preserve"/>
      </w:r>
      <w:r>
        <w:rPr>
          <w:rFonts w:ascii="Arial" w:cs="Arial" w:eastAsia="Arial" w:hAnsi="Arial"/>
          <w:b/>
          <w:bCs/>
          <w:sz w:val="22"/>
          <w:szCs w:val="22"/>
        </w:rPr>
        <w:t xml:space="preserve">The event names for outbound tool calls and inbound messages were not found in the reviewed files.</w:t>
      </w:r>
      <w:r>
        <w:rPr>
          <w:rFonts w:ascii="Arial" w:cs="Arial" w:eastAsia="Arial" w:hAnsi="Arial"/>
          <w:sz w:val="22"/>
          <w:szCs w:val="22"/>
        </w:rPr>
        <w:t xml:space="preserve"> These likely exist in the gateway source code we don’t have access to. This must be resolved during the gating mechanism investigation (5.1).</w:t>
      </w:r>
    </w:p>
    <w:p>
      <w:pPr>
        <w:spacing w:after="120"/>
      </w:pPr>
      <w:r>
        <w:rPr>
          <w:rFonts w:ascii="Arial" w:cs="Arial" w:eastAsia="Arial" w:hAnsi="Arial"/>
          <w:sz w:val="22"/>
          <w:szCs w:val="22"/>
        </w:rPr>
        <w:t xml:space="preserve"/>
      </w:r>
      <w:r>
        <w:rPr>
          <w:rFonts w:ascii="Arial" w:cs="Arial" w:eastAsia="Arial" w:hAnsi="Arial"/>
          <w:b/>
          <w:bCs/>
          <w:sz w:val="22"/>
          <w:szCs w:val="22"/>
        </w:rPr>
        <w:t xml:space="preserve">Temporary assumption:</w:t>
      </w:r>
      <w:r>
        <w:rPr>
          <w:rFonts w:ascii="Arial" w:cs="Arial" w:eastAsia="Arial" w:hAnsi="Arial"/>
          <w:sz w:val="22"/>
          <w:szCs w:val="22"/>
        </w:rPr>
        <w:t xml:space="preserve"> Our schema.json event names (agent_tool_call, inbound_message) should be treated as placeholders until the actual event names are confirmed.</w:t>
      </w:r>
    </w:p>
    <w:p>
      <w:pPr>
        <w:spacing w:after="80"/>
      </w:pPr>
    </w:p>
    <w:p>
      <w:pPr>
        <w:pStyle w:val="Heading2"/>
        <w:spacing w:before="240" w:after="120"/>
      </w:pPr>
      <w:r>
        <w:t xml:space="preserve">5.4 Escalation Should Use OpenClaw’s Channel Outbound System</w:t>
      </w:r>
    </w:p>
    <w:p>
      <w:pPr>
        <w:spacing w:after="120"/>
      </w:pPr>
      <w:r>
        <w:rPr>
          <w:rFonts w:ascii="Arial" w:cs="Arial" w:eastAsia="Arial" w:hAnsi="Arial"/>
          <w:sz w:val="22"/>
          <w:szCs w:val="22"/>
        </w:rPr>
        <w:t xml:space="preserve"/>
      </w:r>
      <w:r>
        <w:rPr>
          <w:rFonts w:ascii="Arial" w:cs="Arial" w:eastAsia="Arial" w:hAnsi="Arial"/>
          <w:b/>
          <w:bCs/>
          <w:sz w:val="22"/>
          <w:szCs w:val="22"/>
        </w:rPr>
        <w:t xml:space="preserve">Impact: Escalation Interface module (Document 09).</w:t>
      </w:r>
      <w:r>
        <w:rPr>
          <w:rFonts w:ascii="Arial" w:cs="Arial" w:eastAsia="Arial" w:hAnsi="Arial"/>
          <w:sz w:val="22"/>
          <w:szCs w:val="22"/>
        </w:rPr>
        <w:t xml:space="preserve"/>
      </w:r>
    </w:p>
    <w:p>
      <w:pPr>
        <w:spacing w:after="120"/>
      </w:pPr>
      <w:r>
        <w:rPr>
          <w:rFonts w:ascii="Arial" w:cs="Arial" w:eastAsia="Arial" w:hAnsi="Arial"/>
          <w:sz w:val="22"/>
          <w:szCs w:val="22"/>
        </w:rPr>
        <w:t xml:space="preserve">Our current Escalation Interface design describes building channel connectors to send approval messages via WhatsApp, Telegram, etc. The source code reveals that OpenClaw already has comprehensive outbound messaging infrastructure for all these channels, including account resolution, target normalization, and message delivery adapters.</w:t>
      </w:r>
    </w:p>
    <w:p>
      <w:pPr>
        <w:spacing w:after="120"/>
      </w:pPr>
      <w:r>
        <w:rPr>
          <w:rFonts w:ascii="Arial" w:cs="Arial" w:eastAsia="Arial" w:hAnsi="Arial"/>
          <w:sz w:val="22"/>
          <w:szCs w:val="22"/>
        </w:rPr>
        <w:t xml:space="preserve"/>
      </w:r>
      <w:r>
        <w:rPr>
          <w:rFonts w:ascii="Arial" w:cs="Arial" w:eastAsia="Arial" w:hAnsi="Arial"/>
          <w:b/>
          <w:bCs/>
          <w:sz w:val="22"/>
          <w:szCs w:val="22"/>
        </w:rPr>
        <w:t xml:space="preserve">Design change:</w:t>
      </w:r>
      <w:r>
        <w:rPr>
          <w:rFonts w:ascii="Arial" w:cs="Arial" w:eastAsia="Arial" w:hAnsi="Arial"/>
          <w:sz w:val="22"/>
          <w:szCs w:val="22"/>
        </w:rPr>
        <w:t xml:space="preserve"> The Escalation Interface should use OpenClaw’s existing ChannelOutboundAdapter rather than implementing its own channel connectors. This means:</w:t>
      </w:r>
    </w:p>
    <w:p>
      <w:pPr>
        <w:pStyle w:val="ListParagraph"/>
        <w:numPr>
          <w:ilvl w:val="0"/>
          <w:numId w:val="2"/>
        </w:numPr>
        <w:spacing w:after="60"/>
      </w:pPr>
      <w:r>
        <w:rPr>
          <w:rFonts w:ascii="Arial" w:cs="Arial" w:eastAsia="Arial" w:hAnsi="Arial"/>
          <w:sz w:val="22"/>
          <w:szCs w:val="22"/>
        </w:rPr>
        <w:t xml:space="preserve">The escalation module sends messages through the OpenClaw gateway, not directly through channel APIs</w:t>
      </w:r>
    </w:p>
    <w:p>
      <w:pPr>
        <w:pStyle w:val="ListParagraph"/>
        <w:numPr>
          <w:ilvl w:val="0"/>
          <w:numId w:val="2"/>
        </w:numPr>
        <w:spacing w:after="60"/>
      </w:pPr>
      <w:r>
        <w:rPr>
          <w:rFonts w:ascii="Arial" w:cs="Arial" w:eastAsia="Arial" w:hAnsi="Arial"/>
          <w:sz w:val="22"/>
          <w:szCs w:val="22"/>
        </w:rPr>
        <w:t xml:space="preserve">Channel configuration (accounts, credentials, auth) is managed by OpenClaw, not duplicated by the watchdog</w:t>
      </w:r>
    </w:p>
    <w:p>
      <w:pPr>
        <w:pStyle w:val="ListParagraph"/>
        <w:numPr>
          <w:ilvl w:val="0"/>
          <w:numId w:val="2"/>
        </w:numPr>
        <w:spacing w:after="60"/>
      </w:pPr>
      <w:r>
        <w:rPr>
          <w:rFonts w:ascii="Arial" w:cs="Arial" w:eastAsia="Arial" w:hAnsi="Arial"/>
          <w:sz w:val="22"/>
          <w:szCs w:val="22"/>
        </w:rPr>
        <w:t xml:space="preserve">The module needs a reference to the gateway’s outbound dispatch API (likely via the plugin API context)</w:t>
      </w:r>
    </w:p>
    <w:p>
      <w:pPr>
        <w:pStyle w:val="ListParagraph"/>
        <w:numPr>
          <w:ilvl w:val="0"/>
          <w:numId w:val="2"/>
        </w:numPr>
        <w:spacing w:after="60"/>
      </w:pPr>
      <w:r>
        <w:rPr>
          <w:rFonts w:ascii="Arial" w:cs="Arial" w:eastAsia="Arial" w:hAnsi="Arial"/>
          <w:sz w:val="22"/>
          <w:szCs w:val="22"/>
        </w:rPr>
        <w:t xml:space="preserve">Escalation messages must be tagged to avoid being scanned by the watchdog itself (prevent infinite loops)</w:t>
      </w:r>
    </w:p>
    <w:p>
      <w:pPr>
        <w:spacing w:after="80"/>
      </w:pPr>
    </w:p>
    <w:p>
      <w:pPr>
        <w:pStyle w:val="Heading2"/>
        <w:spacing w:before="240" w:after="120"/>
      </w:pPr>
      <w:r>
        <w:t xml:space="preserve">5.5 Auditor Should Integrate with Diagnostic Events</w:t>
      </w:r>
    </w:p>
    <w:p>
      <w:pPr>
        <w:spacing w:after="120"/>
      </w:pPr>
      <w:r>
        <w:rPr>
          <w:rFonts w:ascii="Arial" w:cs="Arial" w:eastAsia="Arial" w:hAnsi="Arial"/>
          <w:sz w:val="22"/>
          <w:szCs w:val="22"/>
        </w:rPr>
        <w:t xml:space="preserve"/>
      </w:r>
      <w:r>
        <w:rPr>
          <w:rFonts w:ascii="Arial" w:cs="Arial" w:eastAsia="Arial" w:hAnsi="Arial"/>
          <w:b/>
          <w:bCs/>
          <w:sz w:val="22"/>
          <w:szCs w:val="22"/>
        </w:rPr>
        <w:t xml:space="preserve">Impact: Auditor Daemon module (Document 07).</w:t>
      </w:r>
      <w:r>
        <w:rPr>
          <w:rFonts w:ascii="Arial" w:cs="Arial" w:eastAsia="Arial" w:hAnsi="Arial"/>
          <w:sz w:val="22"/>
          <w:szCs w:val="22"/>
        </w:rPr>
        <w:t xml:space="preserve"/>
      </w:r>
    </w:p>
    <w:p>
      <w:pPr>
        <w:spacing w:after="120"/>
      </w:pPr>
      <w:r>
        <w:rPr>
          <w:rFonts w:ascii="Arial" w:cs="Arial" w:eastAsia="Arial" w:hAnsi="Arial"/>
          <w:sz w:val="22"/>
          <w:szCs w:val="22"/>
        </w:rPr>
        <w:t xml:space="preserve">The Auditor daemon’s health monitoring should integrate with OpenClaw’s existing diagnostic events system rather than building a completely parallel monitoring pipeline. Specifically:</w:t>
      </w:r>
    </w:p>
    <w:p>
      <w:pPr>
        <w:pStyle w:val="ListParagraph"/>
        <w:numPr>
          <w:ilvl w:val="0"/>
          <w:numId w:val="2"/>
        </w:numPr>
        <w:spacing w:after="60"/>
      </w:pPr>
      <w:r>
        <w:rPr>
          <w:rFonts w:ascii="Arial" w:cs="Arial" w:eastAsia="Arial" w:hAnsi="Arial"/>
          <w:sz w:val="22"/>
          <w:szCs w:val="22"/>
        </w:rPr>
        <w:t xml:space="preserve">Use </w:t>
      </w:r>
      <w:r>
        <w:rPr>
          <w:rFonts w:ascii="Arial" w:cs="Arial" w:eastAsia="Arial" w:hAnsi="Arial"/>
          <w:b/>
          <w:bCs/>
          <w:sz w:val="22"/>
          <w:szCs w:val="22"/>
        </w:rPr>
        <w:t xml:space="preserve">onDiagnosticEvent</w:t>
      </w:r>
      <w:r>
        <w:rPr>
          <w:rFonts w:ascii="Arial" w:cs="Arial" w:eastAsia="Arial" w:hAnsi="Arial"/>
          <w:sz w:val="22"/>
          <w:szCs w:val="22"/>
        </w:rPr>
        <w:t xml:space="preserve"> to subscribe to framework-level heartbeats and session state changes</w:t>
      </w:r>
    </w:p>
    <w:p>
      <w:pPr>
        <w:pStyle w:val="ListParagraph"/>
        <w:numPr>
          <w:ilvl w:val="0"/>
          <w:numId w:val="2"/>
        </w:numPr>
        <w:spacing w:after="60"/>
      </w:pPr>
      <w:r>
        <w:rPr>
          <w:rFonts w:ascii="Arial" w:cs="Arial" w:eastAsia="Arial" w:hAnsi="Arial"/>
          <w:sz w:val="22"/>
          <w:szCs w:val="22"/>
        </w:rPr>
        <w:t xml:space="preserve">Use </w:t>
      </w:r>
      <w:r>
        <w:rPr>
          <w:rFonts w:ascii="Arial" w:cs="Arial" w:eastAsia="Arial" w:hAnsi="Arial"/>
          <w:b/>
          <w:bCs/>
          <w:sz w:val="22"/>
          <w:szCs w:val="22"/>
        </w:rPr>
        <w:t xml:space="preserve">emitDiagnosticEvent</w:t>
      </w:r>
      <w:r>
        <w:rPr>
          <w:rFonts w:ascii="Arial" w:cs="Arial" w:eastAsia="Arial" w:hAnsi="Arial"/>
          <w:sz w:val="22"/>
          <w:szCs w:val="22"/>
        </w:rPr>
        <w:t xml:space="preserve"> to publish watchdog health status into the unified OpenClaw monitoring stream</w:t>
      </w:r>
    </w:p>
    <w:p>
      <w:pPr>
        <w:pStyle w:val="ListParagraph"/>
        <w:numPr>
          <w:ilvl w:val="0"/>
          <w:numId w:val="2"/>
        </w:numPr>
        <w:spacing w:after="60"/>
      </w:pPr>
      <w:r>
        <w:rPr>
          <w:rFonts w:ascii="Arial" w:cs="Arial" w:eastAsia="Arial" w:hAnsi="Arial"/>
          <w:sz w:val="22"/>
          <w:szCs w:val="22"/>
        </w:rPr>
        <w:t xml:space="preserve">Subscribe to </w:t>
      </w:r>
      <w:r>
        <w:rPr>
          <w:rFonts w:ascii="Arial" w:cs="Arial" w:eastAsia="Arial" w:hAnsi="Arial"/>
          <w:b/>
          <w:bCs/>
          <w:sz w:val="22"/>
          <w:szCs w:val="22"/>
        </w:rPr>
        <w:t xml:space="preserve">DiagnosticMessageProcessedEvent</w:t>
      </w:r>
      <w:r>
        <w:rPr>
          <w:rFonts w:ascii="Arial" w:cs="Arial" w:eastAsia="Arial" w:hAnsi="Arial"/>
          <w:sz w:val="22"/>
          <w:szCs w:val="22"/>
        </w:rPr>
        <w:t xml:space="preserve"> for post-hoc audit scanning of message content</w:t>
      </w:r>
    </w:p>
    <w:p>
      <w:pPr>
        <w:pStyle w:val="ListParagraph"/>
        <w:numPr>
          <w:ilvl w:val="0"/>
          <w:numId w:val="2"/>
        </w:numPr>
        <w:spacing w:after="60"/>
      </w:pPr>
      <w:r>
        <w:rPr>
          <w:rFonts w:ascii="Arial" w:cs="Arial" w:eastAsia="Arial" w:hAnsi="Arial"/>
          <w:sz w:val="22"/>
          <w:szCs w:val="22"/>
        </w:rPr>
        <w:t xml:space="preserve">Subscribe to </w:t>
      </w:r>
      <w:r>
        <w:rPr>
          <w:rFonts w:ascii="Arial" w:cs="Arial" w:eastAsia="Arial" w:hAnsi="Arial"/>
          <w:b/>
          <w:bCs/>
          <w:sz w:val="22"/>
          <w:szCs w:val="22"/>
        </w:rPr>
        <w:t xml:space="preserve">DiagnosticSessionStateEvent</w:t>
      </w:r>
      <w:r>
        <w:rPr>
          <w:rFonts w:ascii="Arial" w:cs="Arial" w:eastAsia="Arial" w:hAnsi="Arial"/>
          <w:sz w:val="22"/>
          <w:szCs w:val="22"/>
        </w:rPr>
        <w:t xml:space="preserve"> to track session lifecycle for inventory management</w:t>
      </w:r>
    </w:p>
    <w:p>
      <w:pPr>
        <w:spacing w:after="120"/>
      </w:pPr>
      <w:r>
        <w:rPr>
          <w:rFonts w:ascii="Arial" w:cs="Arial" w:eastAsia="Arial" w:hAnsi="Arial"/>
          <w:sz w:val="22"/>
          <w:szCs w:val="22"/>
        </w:rPr>
        <w:t xml:space="preserve">The Auditor should still maintain its own independent health check loop (it monitors components that may not emit diagnostic events, like Presidio and Ollama), but it should participate in the broader OpenClaw observability ecosystem.</w:t>
      </w:r>
    </w:p>
    <w:p>
      <w:pPr>
        <w:spacing w:after="80"/>
      </w:pPr>
    </w:p>
    <w:p>
      <w:pPr>
        <w:pStyle w:val="Heading2"/>
        <w:spacing w:before="240" w:after="120"/>
      </w:pPr>
      <w:r>
        <w:t xml:space="preserve">5.6 Package as Both Hook and Plugin</w:t>
      </w:r>
    </w:p>
    <w:p>
      <w:pPr>
        <w:spacing w:after="120"/>
      </w:pPr>
      <w:r>
        <w:rPr>
          <w:rFonts w:ascii="Arial" w:cs="Arial" w:eastAsia="Arial" w:hAnsi="Arial"/>
          <w:sz w:val="22"/>
          <w:szCs w:val="22"/>
        </w:rPr>
        <w:t xml:space="preserve"/>
      </w:r>
      <w:r>
        <w:rPr>
          <w:rFonts w:ascii="Arial" w:cs="Arial" w:eastAsia="Arial" w:hAnsi="Arial"/>
          <w:b/>
          <w:bCs/>
          <w:sz w:val="22"/>
          <w:szCs w:val="22"/>
        </w:rPr>
        <w:t xml:space="preserve">Impact: Package structure, installation documentation.</w:t>
      </w:r>
      <w:r>
        <w:rPr>
          <w:rFonts w:ascii="Arial" w:cs="Arial" w:eastAsia="Arial" w:hAnsi="Arial"/>
          <w:sz w:val="22"/>
          <w:szCs w:val="22"/>
        </w:rPr>
        <w:t xml:space="preserve"/>
      </w:r>
    </w:p>
    <w:p>
      <w:pPr>
        <w:spacing w:after="120"/>
      </w:pPr>
      <w:r>
        <w:rPr>
          <w:rFonts w:ascii="Arial" w:cs="Arial" w:eastAsia="Arial" w:hAnsi="Arial"/>
          <w:sz w:val="22"/>
          <w:szCs w:val="22"/>
        </w:rPr>
        <w:t xml:space="preserve">The source code reveals two integration modes: hooks (directory-based, event-driven) and plugins (OpenClawPluginApi with richer capabilities including config access, logger, and hook registration). The watchdog should support both:</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Hook mode (primary):</w:t>
      </w:r>
      <w:r>
        <w:rPr>
          <w:rFonts w:ascii="Arial" w:cs="Arial" w:eastAsia="Arial" w:hAnsi="Arial"/>
          <w:sz w:val="22"/>
          <w:szCs w:val="22"/>
        </w:rPr>
        <w:t xml:space="preserve"> Installed as a managed hook at ~/.openclaw/hooks/security-watchdog/. This is the recommended deployment and works with zero OpenClaw configuration changes.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Plugin mode (advanced):</w:t>
      </w:r>
      <w:r>
        <w:rPr>
          <w:rFonts w:ascii="Arial" w:cs="Arial" w:eastAsia="Arial" w:hAnsi="Arial"/>
          <w:sz w:val="22"/>
          <w:szCs w:val="22"/>
        </w:rPr>
        <w:t xml:space="preserve"> Registered via OpenClawPluginApi for deeper integration, providing access to the framework’s logger, config, and outbound adapters. This mode enables the escalation channel reuse described in 5.4.</w:t>
      </w:r>
    </w:p>
    <w:p>
      <w:pPr>
        <w:spacing w:after="120"/>
      </w:pPr>
      <w:r>
        <w:rPr>
          <w:rFonts w:ascii="Arial" w:cs="Arial" w:eastAsia="Arial" w:hAnsi="Arial"/>
          <w:sz w:val="22"/>
          <w:szCs w:val="22"/>
        </w:rPr>
        <w:t xml:space="preserve">The package.json already declares @openclaw/openclaw as an optional peer dependency, which is correct. The handler.ts should detect which mode it’s running in and adapt accordingly.</w:t>
      </w:r>
    </w:p>
    <w:p>
      <w:pPr>
        <w:spacing w:after="80"/>
      </w:pPr>
    </w:p>
    <w:p>
      <w:pPr>
        <w:pStyle w:val="Heading2"/>
        <w:spacing w:before="240" w:after="120"/>
      </w:pPr>
      <w:r>
        <w:t xml:space="preserve">5.7 Additional Channels for Escalation</w:t>
      </w:r>
    </w:p>
    <w:p>
      <w:pPr>
        <w:spacing w:after="120"/>
      </w:pPr>
      <w:r>
        <w:rPr>
          <w:rFonts w:ascii="Arial" w:cs="Arial" w:eastAsia="Arial" w:hAnsi="Arial"/>
          <w:sz w:val="22"/>
          <w:szCs w:val="22"/>
        </w:rPr>
        <w:t xml:space="preserve"/>
      </w:r>
      <w:r>
        <w:rPr>
          <w:rFonts w:ascii="Arial" w:cs="Arial" w:eastAsia="Arial" w:hAnsi="Arial"/>
          <w:b/>
          <w:bCs/>
          <w:sz w:val="22"/>
          <w:szCs w:val="22"/>
        </w:rPr>
        <w:t xml:space="preserve">Impact: Escalation Interface module (Document 09), Locale Framework.</w:t>
      </w:r>
      <w:r>
        <w:rPr>
          <w:rFonts w:ascii="Arial" w:cs="Arial" w:eastAsia="Arial" w:hAnsi="Arial"/>
          <w:sz w:val="22"/>
          <w:szCs w:val="22"/>
        </w:rPr>
        <w:t xml:space="preserve"/>
      </w:r>
    </w:p>
    <w:p>
      <w:pPr>
        <w:spacing w:after="120"/>
      </w:pPr>
      <w:r>
        <w:rPr>
          <w:rFonts w:ascii="Arial" w:cs="Arial" w:eastAsia="Arial" w:hAnsi="Arial"/>
          <w:sz w:val="22"/>
          <w:szCs w:val="22"/>
        </w:rPr>
        <w:t xml:space="preserve">Three additional channels were discovered that were not in our original escalation channel list: LINE, Microsoft Teams, and Google Chat. While these are not Phase 5 priorities, the escalation interface should be designed with an abstract channel adapter pattern that makes adding these trivial. If we adopt the recommendation in 5.4 (using OpenClaw’s outbound system), this becomes automatic.</w:t>
      </w:r>
    </w:p>
    <w:p>
      <w:r>
        <w:br w:type="page"/>
      </w:r>
    </w:p>
    <w:p>
      <w:pPr>
        <w:pStyle w:val="Heading1"/>
        <w:spacing w:before="360" w:after="120"/>
      </w:pPr>
      <w:r>
        <w:t xml:space="preserve">6. Document Impact Matrix</w:t>
      </w:r>
    </w:p>
    <w:p>
      <w:pPr>
        <w:spacing w:after="120"/>
      </w:pPr>
      <w:r>
        <w:rPr>
          <w:rFonts w:ascii="Arial" w:cs="Arial" w:eastAsia="Arial" w:hAnsi="Arial"/>
          <w:sz w:val="22"/>
          <w:szCs w:val="22"/>
        </w:rPr>
        <w:t xml:space="preserve">This matrix identifies which existing deliverables need updates based on the findings above.</w:t>
      </w:r>
    </w:p>
    <w:p>
      <w:pPr>
        <w:spacing w:after="8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1200"/>
        <w:gridCol w:w="1000"/>
      </w:tblGrid>
      <w:tr>
        <w:trPr>
          <w:tblHeader/>
        </w:trPr>
        <w:tc>
          <w:tcPr>
            <w:tcW w:type="dxa" w:w="2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w:t>
            </w:r>
          </w:p>
        </w:tc>
        <w:tc>
          <w:tcPr>
            <w:tcW w:type="dxa" w:w="3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Change Required</w:t>
            </w:r>
          </w:p>
        </w:tc>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w:t>
            </w:r>
          </w:p>
        </w:tc>
        <w:tc>
          <w:tcPr>
            <w:tcW w:type="dxa" w:w="1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Ref</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01 - Architecture Overview</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Add hook system integration details, HOOK.md convention, diagnostic events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5.2, 5.5</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02 - Interface Contracts</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Update event names (placeholders until confirmed), add diagnostic event interfaces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High</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5.3</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02 - interfaces.ts</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Add OpenClaw hook handler type signatures, diagnostic event types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High</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5.3</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05 - Scanner Module</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 change required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None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06 - Security Agent Module</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 change required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None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07 - Auditor Module</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Add diagnostic event integration, onDiagnosticEvent subscription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5.5</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08 - Posture Module</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 change required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None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09 - Escalation Module</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Replace custom channel connectors with OpenClaw outbound adapter pattern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High</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5.4</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10 - Locale Module</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 change required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None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schema.json</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Update hookEvents to confirmed event names (when known)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5.3</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constants.ts</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Add OpenClaw event name constants (when known)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Low</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5.3</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package.json</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Add openclaw.hooks entry, verify peer dependency version range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Low</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5.2</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README.md</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Update installation instructions to include HOOK.md convention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Low</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5.2</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2"/>
                <w:szCs w:val="22"/>
              </w:rPr>
              <w:t xml:space="preserve">NEW</w:t>
            </w:r>
            <w:r>
              <w:rPr>
                <w:rFonts w:ascii="Arial" w:cs="Arial" w:eastAsia="Arial" w:hAnsi="Arial"/>
                <w:sz w:val="22"/>
                <w:szCs w:val="22"/>
              </w:rPr>
              <w:t xml:space="preserve"> - gateway-hook/ directory</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Create HOOK.md, handler.ts, and hook-specific package structure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High</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5.2</w:t>
            </w:r>
          </w:p>
        </w:tc>
      </w:tr>
    </w:tbl>
    <w:p>
      <w:r>
        <w:br w:type="page"/>
      </w:r>
    </w:p>
    <w:p>
      <w:pPr>
        <w:pStyle w:val="Heading1"/>
        <w:spacing w:before="360" w:after="120"/>
      </w:pPr>
      <w:r>
        <w:t xml:space="preserve">7. What Doesn’t Change</w:t>
      </w:r>
    </w:p>
    <w:p>
      <w:pPr>
        <w:spacing w:after="120"/>
      </w:pPr>
      <w:r>
        <w:rPr>
          <w:rFonts w:ascii="Arial" w:cs="Arial" w:eastAsia="Arial" w:hAnsi="Arial"/>
          <w:sz w:val="22"/>
          <w:szCs w:val="22"/>
        </w:rPr>
        <w:t xml:space="preserve">It is equally important to note what this review confirms as solid. The following design elements are validated and require no changes: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Four-layer architecture (L0–L3)</w:t>
      </w:r>
      <w:r>
        <w:rPr>
          <w:rFonts w:ascii="Arial" w:cs="Arial" w:eastAsia="Arial" w:hAnsi="Arial"/>
          <w:sz w:val="22"/>
          <w:szCs w:val="22"/>
        </w:rPr>
        <w:t xml:space="preserve"> — The layered approach with Registry, Scanner, Security Agent, and Auditor remains correct. These are internal watchdog components whose design is independent of the hook integration mechanism.</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SQLite database schema</w:t>
      </w:r>
      <w:r>
        <w:rPr>
          <w:rFonts w:ascii="Arial" w:cs="Arial" w:eastAsia="Arial" w:hAnsi="Arial"/>
          <w:sz w:val="22"/>
          <w:szCs w:val="22"/>
        </w:rPr>
        <w:t xml:space="preserve"> — The registry schema, inventory tracking, and audit log tables are unaffected by how the watchdog hooks into OpenClaw.</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Presidio integration</w:t>
      </w:r>
      <w:r>
        <w:rPr>
          <w:rFonts w:ascii="Arial" w:cs="Arial" w:eastAsia="Arial" w:hAnsi="Arial"/>
          <w:sz w:val="22"/>
          <w:szCs w:val="22"/>
        </w:rPr>
        <w:t xml:space="preserve"> — PII detection via Presidio is an internal Scanner concern, not affected by the framework integration.</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Ollama classification</w:t>
      </w:r>
      <w:r>
        <w:rPr>
          <w:rFonts w:ascii="Arial" w:cs="Arial" w:eastAsia="Arial" w:hAnsi="Arial"/>
          <w:sz w:val="22"/>
          <w:szCs w:val="22"/>
        </w:rPr>
        <w:t xml:space="preserve"> — The Security Agent’s LLM integration is its own module boundary, unaffected.</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Posture Engine logic</w:t>
      </w:r>
      <w:r>
        <w:rPr>
          <w:rFonts w:ascii="Arial" w:cs="Arial" w:eastAsia="Arial" w:hAnsi="Arial"/>
          <w:sz w:val="22"/>
          <w:szCs w:val="22"/>
        </w:rPr>
        <w:t xml:space="preserve"> — Dynamic posture calculation based on inventory is internal.</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Locale Framework</w:t>
      </w:r>
      <w:r>
        <w:rPr>
          <w:rFonts w:ascii="Arial" w:cs="Arial" w:eastAsia="Arial" w:hAnsi="Arial"/>
          <w:sz w:val="22"/>
          <w:szCs w:val="22"/>
        </w:rPr>
        <w:t xml:space="preserve"> — Jurisdiction-aware patterns are loaded into the registry, independent of framework integration.</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Fail-closed design principle</w:t>
      </w:r>
      <w:r>
        <w:rPr>
          <w:rFonts w:ascii="Arial" w:cs="Arial" w:eastAsia="Arial" w:hAnsi="Arial"/>
          <w:sz w:val="22"/>
          <w:szCs w:val="22"/>
        </w:rPr>
        <w:t xml:space="preserve"> — If anything, the source code review reinforces this: since hook errors are caught and don’t propagate, the watchdog must implement its own fail-closed enforcement.</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Approval token mechanism</w:t>
      </w:r>
      <w:r>
        <w:rPr>
          <w:rFonts w:ascii="Arial" w:cs="Arial" w:eastAsia="Arial" w:hAnsi="Arial"/>
          <w:sz w:val="22"/>
          <w:szCs w:val="22"/>
        </w:rPr>
        <w:t xml:space="preserve"> — The HMAC-signed approval token design is an internal contract between the hook and gateway.</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Test data strategy and QA plan</w:t>
      </w:r>
      <w:r>
        <w:rPr>
          <w:rFonts w:ascii="Arial" w:cs="Arial" w:eastAsia="Arial" w:hAnsi="Arial"/>
          <w:sz w:val="22"/>
          <w:szCs w:val="22"/>
        </w:rPr>
        <w:t xml:space="preserve"> — Test scenarios, attack vectors, and quality criteria are unaffected.</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CLI interfaces</w:t>
      </w:r>
      <w:r>
        <w:rPr>
          <w:rFonts w:ascii="Arial" w:cs="Arial" w:eastAsia="Arial" w:hAnsi="Arial"/>
          <w:sz w:val="22"/>
          <w:szCs w:val="22"/>
        </w:rPr>
        <w:t xml:space="preserve"> — All module CLIs are internal operational tools, unaffected by framework integration.</w:t>
      </w:r>
    </w:p>
    <w:p>
      <w:pPr>
        <w:pStyle w:val="Heading1"/>
        <w:spacing w:before="360" w:after="120"/>
      </w:pPr>
      <w:r>
        <w:t xml:space="preserve">8. Recommended Next Steps</w:t>
      </w:r>
    </w:p>
    <w:p>
      <w:pPr>
        <w:pStyle w:val="ListParagraph"/>
        <w:numPr>
          <w:ilvl w:val="0"/>
          <w:numId w:val="3"/>
        </w:numPr>
        <w:spacing w:after="60"/>
      </w:pPr>
      <w:r>
        <w:rPr>
          <w:rFonts w:ascii="Arial" w:cs="Arial" w:eastAsia="Arial" w:hAnsi="Arial"/>
          <w:sz w:val="22"/>
          <w:szCs w:val="22"/>
        </w:rPr>
        <w:t xml:space="preserve"/>
      </w:r>
      <w:r>
        <w:rPr>
          <w:rFonts w:ascii="Arial" w:cs="Arial" w:eastAsia="Arial" w:hAnsi="Arial"/>
          <w:b/>
          <w:bCs/>
          <w:sz w:val="22"/>
          <w:szCs w:val="22"/>
        </w:rPr>
        <w:t xml:space="preserve">[CRITICAL] Resolve the gating mechanism</w:t>
      </w:r>
      <w:r>
        <w:rPr>
          <w:rFonts w:ascii="Arial" w:cs="Arial" w:eastAsia="Arial" w:hAnsi="Arial"/>
          <w:sz w:val="22"/>
          <w:szCs w:val="22"/>
        </w:rPr>
        <w:t xml:space="preserve"> (Section 5.1). Investigate ChannelSecurityAdapter, exec-approvals, and ChannelOutboundAdapter in the full OpenClaw source. This is the only blocking item. Estimated effort: 2–4 hours of upstream code review.</w:t>
      </w:r>
    </w:p>
    <w:p>
      <w:pPr>
        <w:pStyle w:val="ListParagraph"/>
        <w:numPr>
          <w:ilvl w:val="0"/>
          <w:numId w:val="3"/>
        </w:numPr>
        <w:spacing w:after="60"/>
      </w:pPr>
      <w:r>
        <w:rPr>
          <w:rFonts w:ascii="Arial" w:cs="Arial" w:eastAsia="Arial" w:hAnsi="Arial"/>
          <w:sz w:val="22"/>
          <w:szCs w:val="22"/>
        </w:rPr>
        <w:t xml:space="preserve"/>
      </w:r>
      <w:r>
        <w:rPr>
          <w:rFonts w:ascii="Arial" w:cs="Arial" w:eastAsia="Arial" w:hAnsi="Arial"/>
          <w:b/>
          <w:bCs/>
          <w:sz w:val="22"/>
          <w:szCs w:val="22"/>
        </w:rPr>
        <w:t xml:space="preserve">Confirm event names.</w:t>
      </w:r>
      <w:r>
        <w:rPr>
          <w:rFonts w:ascii="Arial" w:cs="Arial" w:eastAsia="Arial" w:hAnsi="Arial"/>
          <w:sz w:val="22"/>
          <w:szCs w:val="22"/>
        </w:rPr>
        <w:t xml:space="preserve"> Identify the actual event type:action strings for outbound tool calls and inbound messages. This will likely be discovered during Step 1.</w:t>
      </w:r>
    </w:p>
    <w:p>
      <w:pPr>
        <w:pStyle w:val="ListParagraph"/>
        <w:numPr>
          <w:ilvl w:val="0"/>
          <w:numId w:val="3"/>
        </w:numPr>
        <w:spacing w:after="60"/>
      </w:pPr>
      <w:r>
        <w:rPr>
          <w:rFonts w:ascii="Arial" w:cs="Arial" w:eastAsia="Arial" w:hAnsi="Arial"/>
          <w:sz w:val="22"/>
          <w:szCs w:val="22"/>
        </w:rPr>
        <w:t xml:space="preserve"/>
      </w:r>
      <w:r>
        <w:rPr>
          <w:rFonts w:ascii="Arial" w:cs="Arial" w:eastAsia="Arial" w:hAnsi="Arial"/>
          <w:b/>
          <w:bCs/>
          <w:sz w:val="22"/>
          <w:szCs w:val="22"/>
        </w:rPr>
        <w:t xml:space="preserve">Create the gateway-hook directory</w:t>
      </w:r>
      <w:r>
        <w:rPr>
          <w:rFonts w:ascii="Arial" w:cs="Arial" w:eastAsia="Arial" w:hAnsi="Arial"/>
          <w:sz w:val="22"/>
          <w:szCs w:val="22"/>
        </w:rPr>
        <w:t xml:space="preserve"> with HOOK.md and handler.ts stub following the discovered convention. This can begin immediately as the hook structure is confirmed.</w:t>
      </w:r>
    </w:p>
    <w:p>
      <w:pPr>
        <w:pStyle w:val="ListParagraph"/>
        <w:numPr>
          <w:ilvl w:val="0"/>
          <w:numId w:val="3"/>
        </w:numPr>
        <w:spacing w:after="60"/>
      </w:pPr>
      <w:r>
        <w:rPr>
          <w:rFonts w:ascii="Arial" w:cs="Arial" w:eastAsia="Arial" w:hAnsi="Arial"/>
          <w:sz w:val="22"/>
          <w:szCs w:val="22"/>
        </w:rPr>
        <w:t xml:space="preserve"/>
      </w:r>
      <w:r>
        <w:rPr>
          <w:rFonts w:ascii="Arial" w:cs="Arial" w:eastAsia="Arial" w:hAnsi="Arial"/>
          <w:b/>
          <w:bCs/>
          <w:sz w:val="22"/>
          <w:szCs w:val="22"/>
        </w:rPr>
        <w:t xml:space="preserve">Update impacted documents.</w:t>
      </w:r>
      <w:r>
        <w:rPr>
          <w:rFonts w:ascii="Arial" w:cs="Arial" w:eastAsia="Arial" w:hAnsi="Arial"/>
          <w:sz w:val="22"/>
          <w:szCs w:val="22"/>
        </w:rPr>
        <w:t xml:space="preserve"> Apply the changes identified in the impact matrix (Section 6). Non-blocking items can proceed in parallel with Step 1.</w:t>
      </w:r>
    </w:p>
    <w:p>
      <w:pPr>
        <w:pStyle w:val="ListParagraph"/>
        <w:numPr>
          <w:ilvl w:val="0"/>
          <w:numId w:val="3"/>
        </w:numPr>
        <w:spacing w:after="60"/>
      </w:pPr>
      <w:r>
        <w:rPr>
          <w:rFonts w:ascii="Arial" w:cs="Arial" w:eastAsia="Arial" w:hAnsi="Arial"/>
          <w:sz w:val="22"/>
          <w:szCs w:val="22"/>
        </w:rPr>
        <w:t xml:space="preserve"/>
      </w:r>
      <w:r>
        <w:rPr>
          <w:rFonts w:ascii="Arial" w:cs="Arial" w:eastAsia="Arial" w:hAnsi="Arial"/>
          <w:b/>
          <w:bCs/>
          <w:sz w:val="22"/>
          <w:szCs w:val="22"/>
        </w:rPr>
        <w:t xml:space="preserve">Engage with OpenClaw maintainers.</w:t>
      </w:r>
      <w:r>
        <w:rPr>
          <w:rFonts w:ascii="Arial" w:cs="Arial" w:eastAsia="Arial" w:hAnsi="Arial"/>
          <w:sz w:val="22"/>
          <w:szCs w:val="22"/>
        </w:rPr>
        <w:t xml:space="preserve"> If neither ChannelSecurityAdapter nor exec-approvals provides the gating mechanism we need, draft a proposal for a gating hook type and open discussion with the project. Given that this is a security feature, it should be well-received.</w:t>
      </w:r>
    </w:p>
    <w:p>
      <w:pPr>
        <w:pStyle w:val="Heading1"/>
        <w:spacing w:before="360" w:after="120"/>
      </w:pPr>
      <w:r>
        <w:t xml:space="preserve">9. Conclusions</w:t>
      </w:r>
    </w:p>
    <w:p>
      <w:pPr>
        <w:spacing w:after="120"/>
      </w:pPr>
      <w:r>
        <w:rPr>
          <w:rFonts w:ascii="Arial" w:cs="Arial" w:eastAsia="Arial" w:hAnsi="Arial"/>
          <w:sz w:val="22"/>
          <w:szCs w:val="22"/>
        </w:rPr>
        <w:t xml:space="preserve">The OpenClaw source code review is overwhelmingly positive for the Security Watchdog project. The framework provides a mature, well-structured hook system that aligns precisely with our gateway interception strategy. The plugin architecture, channel integrations, diagnostic events, and configuration system all support the watchdog’s requirements.</w:t>
      </w:r>
    </w:p>
    <w:p>
      <w:pPr>
        <w:spacing w:after="120"/>
      </w:pPr>
      <w:r>
        <w:rPr>
          <w:rFonts w:ascii="Arial" w:cs="Arial" w:eastAsia="Arial" w:hAnsi="Arial"/>
          <w:sz w:val="22"/>
          <w:szCs w:val="22"/>
        </w:rPr>
        <w:t xml:space="preserve">The single critical question — whether the hook system supports synchronous gating of operations — is a resolvable issue with multiple fallback strategies. Even in the worst case (no gating support exists), the WebSocket middleware approach provides a viable alternative that requires no upstream changes.</w:t>
      </w:r>
    </w:p>
    <w:p>
      <w:pPr>
        <w:spacing w:after="120"/>
      </w:pPr>
      <w:r>
        <w:rPr>
          <w:rFonts w:ascii="Arial" w:cs="Arial" w:eastAsia="Arial" w:hAnsi="Arial"/>
          <w:sz w:val="22"/>
          <w:szCs w:val="22"/>
        </w:rPr>
        <w:t xml:space="preserve">The existing design is not merely “good enough” — it is architecturally well-matched to the actual framework. The refinements identified here make the integration more concrete and leverage framework capabilities we didn’t know about when the original design was created. The project is in a strong position to move into implementation.</w:t>
      </w:r>
    </w:p>
    <w:p>
      <w:pPr>
        <w:spacing w:after="80"/>
      </w:pPr>
    </w:p>
    <w:p>
      <w:pPr>
        <w:spacing w:after="80"/>
      </w:pPr>
    </w:p>
    <w:p>
      <w:pPr>
        <w:spacing w:before="400"/>
        <w:jc w:val="center"/>
      </w:pPr>
      <w:r>
        <w:rPr>
          <w:rFonts w:ascii="Arial" w:cs="Arial" w:eastAsia="Arial" w:hAnsi="Arial"/>
          <w:i/>
          <w:iCs/>
          <w:color w:val="888888"/>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SWDOG-REVIEW-001  |  Source Code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B5A8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7AB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2026-02-02T17:56:00.553Z</dcterms:created>
  <dcterms:modified xsi:type="dcterms:W3CDTF">2026-02-02T17:56:00.555Z</dcterms:modified>
</cp:coreProperties>
</file>

<file path=docProps/custom.xml><?xml version="1.0" encoding="utf-8"?>
<Properties xmlns="http://schemas.openxmlformats.org/officeDocument/2006/custom-properties" xmlns:vt="http://schemas.openxmlformats.org/officeDocument/2006/docPropsVTypes"/>
</file>