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FB32" w14:textId="77777777" w:rsidR="00275D46" w:rsidRPr="00196E92" w:rsidRDefault="00275D46" w:rsidP="00D303DE">
      <w:pPr>
        <w:spacing w:after="240"/>
        <w:jc w:val="center"/>
        <w:rPr>
          <w:b/>
          <w:color w:val="000000"/>
          <w:sz w:val="44"/>
          <w:szCs w:val="48"/>
          <w:u w:val="single"/>
        </w:rPr>
      </w:pPr>
      <w:r w:rsidRPr="00196E92">
        <w:rPr>
          <w:b/>
          <w:color w:val="000000"/>
          <w:sz w:val="44"/>
          <w:szCs w:val="48"/>
          <w:u w:val="single"/>
        </w:rPr>
        <w:t>C21. CHAPTER 21</w:t>
      </w:r>
    </w:p>
    <w:p w14:paraId="30D7FB33" w14:textId="7FE7F668" w:rsidR="00275D46" w:rsidRPr="00196E92" w:rsidRDefault="00275D46" w:rsidP="00246CB4">
      <w:pPr>
        <w:spacing w:after="360"/>
        <w:jc w:val="center"/>
        <w:rPr>
          <w:b/>
          <w:color w:val="000000"/>
          <w:sz w:val="36"/>
          <w:szCs w:val="44"/>
          <w:u w:val="single"/>
        </w:rPr>
      </w:pPr>
      <w:r w:rsidRPr="00196E92">
        <w:rPr>
          <w:b/>
          <w:color w:val="000000"/>
          <w:sz w:val="36"/>
          <w:szCs w:val="44"/>
          <w:u w:val="single"/>
        </w:rPr>
        <w:t>STOCK READINESS PROGRAM</w:t>
      </w:r>
    </w:p>
    <w:p w14:paraId="30D7FB34" w14:textId="15D17DB8" w:rsidR="00D4768C" w:rsidRPr="00196E92" w:rsidRDefault="00454ABF" w:rsidP="006D4746">
      <w:pPr>
        <w:tabs>
          <w:tab w:val="left" w:pos="547"/>
          <w:tab w:val="left" w:pos="1080"/>
          <w:tab w:val="left" w:pos="1627"/>
          <w:tab w:val="left" w:pos="2232"/>
          <w:tab w:val="left" w:pos="2707"/>
          <w:tab w:val="left" w:pos="3240"/>
        </w:tabs>
        <w:autoSpaceDE w:val="0"/>
        <w:autoSpaceDN w:val="0"/>
        <w:adjustRightInd w:val="0"/>
        <w:rPr>
          <w:rFonts w:cs="Arial"/>
        </w:rPr>
      </w:pPr>
      <w:r w:rsidRPr="00196E92">
        <w:rPr>
          <w:iCs/>
        </w:rPr>
        <w:t>C21.1</w:t>
      </w:r>
      <w:r w:rsidR="00947AA6" w:rsidRPr="00196E92">
        <w:rPr>
          <w:iCs/>
        </w:rPr>
        <w:t>.</w:t>
      </w:r>
      <w:r w:rsidRPr="00196E92">
        <w:rPr>
          <w:iCs/>
        </w:rPr>
        <w:t xml:space="preserve">  </w:t>
      </w:r>
      <w:r w:rsidR="006467BA" w:rsidRPr="00196E92">
        <w:rPr>
          <w:iCs/>
          <w:u w:val="single"/>
        </w:rPr>
        <w:t>GENERAL</w:t>
      </w:r>
      <w:r w:rsidR="006B3BB9" w:rsidRPr="00196E92">
        <w:rPr>
          <w:iCs/>
        </w:rPr>
        <w:t>.</w:t>
      </w:r>
      <w:r w:rsidR="00A2405A" w:rsidRPr="00196E92">
        <w:rPr>
          <w:iCs/>
        </w:rPr>
        <w:t xml:space="preserve">  </w:t>
      </w:r>
      <w:r w:rsidR="00A2405A" w:rsidRPr="00196E92">
        <w:rPr>
          <w:szCs w:val="24"/>
        </w:rPr>
        <w:t>This chapter provides general information supporting the DoD Stock Readiness</w:t>
      </w:r>
      <w:r w:rsidR="0054233B" w:rsidRPr="00196E92">
        <w:rPr>
          <w:szCs w:val="24"/>
        </w:rPr>
        <w:t xml:space="preserve"> </w:t>
      </w:r>
      <w:r w:rsidR="00A2405A" w:rsidRPr="00196E92">
        <w:rPr>
          <w:szCs w:val="24"/>
        </w:rPr>
        <w:t xml:space="preserve">(SR) Program. </w:t>
      </w:r>
      <w:r w:rsidR="0054233B" w:rsidRPr="00196E92">
        <w:rPr>
          <w:szCs w:val="24"/>
        </w:rPr>
        <w:t xml:space="preserve"> </w:t>
      </w:r>
      <w:r w:rsidR="00A2405A" w:rsidRPr="00196E92">
        <w:rPr>
          <w:szCs w:val="24"/>
        </w:rPr>
        <w:t xml:space="preserve">The authoritative source for detailed procedures pertaining to this program is </w:t>
      </w:r>
      <w:r w:rsidR="00AA0C0D" w:rsidRPr="00196E92">
        <w:rPr>
          <w:szCs w:val="24"/>
        </w:rPr>
        <w:br/>
      </w:r>
      <w:r w:rsidR="00D07297" w:rsidRPr="00196E92">
        <w:rPr>
          <w:szCs w:val="24"/>
        </w:rPr>
        <w:t>DLAR (JSR) 4145.04/AR 740-3/AFMAN 23-125/NAVSUPINST 4400.100B/MCO 4450.15B</w:t>
      </w:r>
      <w:r w:rsidR="00F530AF" w:rsidRPr="00196E92">
        <w:rPr>
          <w:rFonts w:cs="Arial"/>
          <w:szCs w:val="24"/>
        </w:rPr>
        <w:t>, Stock Readiness</w:t>
      </w:r>
      <w:r w:rsidR="00A2405A" w:rsidRPr="00196E92">
        <w:rPr>
          <w:rFonts w:cs="Arial"/>
          <w:szCs w:val="24"/>
        </w:rPr>
        <w:t xml:space="preserve">. </w:t>
      </w:r>
      <w:r w:rsidR="0054233B" w:rsidRPr="00196E92">
        <w:rPr>
          <w:rFonts w:cs="Arial"/>
          <w:szCs w:val="24"/>
        </w:rPr>
        <w:t xml:space="preserve"> </w:t>
      </w:r>
      <w:r w:rsidR="00A228FA" w:rsidRPr="00196E92">
        <w:rPr>
          <w:rFonts w:cs="Arial"/>
          <w:szCs w:val="24"/>
        </w:rPr>
        <w:t xml:space="preserve">Under the SR Program, the Department of Defense </w:t>
      </w:r>
      <w:r w:rsidR="00A2405A" w:rsidRPr="00196E92">
        <w:rPr>
          <w:rFonts w:cs="Arial"/>
          <w:szCs w:val="24"/>
        </w:rPr>
        <w:t>requires uniform care of supplies, including the inspection and reporting of condition and</w:t>
      </w:r>
      <w:r w:rsidR="0054233B" w:rsidRPr="00196E92">
        <w:rPr>
          <w:rFonts w:cs="Arial"/>
          <w:szCs w:val="24"/>
        </w:rPr>
        <w:t xml:space="preserve"> </w:t>
      </w:r>
      <w:r w:rsidR="00A2405A" w:rsidRPr="00196E92">
        <w:rPr>
          <w:rFonts w:cs="Arial"/>
          <w:szCs w:val="24"/>
        </w:rPr>
        <w:t xml:space="preserve">serviceability of </w:t>
      </w:r>
      <w:r w:rsidR="00B27359" w:rsidRPr="00196E92">
        <w:rPr>
          <w:rFonts w:cs="Arial"/>
          <w:szCs w:val="24"/>
        </w:rPr>
        <w:t>materiel</w:t>
      </w:r>
      <w:r w:rsidR="00A2405A" w:rsidRPr="00196E92">
        <w:rPr>
          <w:rFonts w:cs="Arial"/>
          <w:szCs w:val="24"/>
        </w:rPr>
        <w:t>, and the scheduling, controlling, and reporting of packaging and other cost</w:t>
      </w:r>
      <w:r w:rsidR="0054233B" w:rsidRPr="00196E92">
        <w:rPr>
          <w:rFonts w:cs="Arial"/>
          <w:szCs w:val="24"/>
        </w:rPr>
        <w:t xml:space="preserve"> </w:t>
      </w:r>
      <w:r w:rsidR="00A2405A" w:rsidRPr="00196E92">
        <w:rPr>
          <w:rFonts w:cs="Arial"/>
          <w:szCs w:val="24"/>
        </w:rPr>
        <w:t xml:space="preserve">reimbursable actions in support of the stock readiness program. </w:t>
      </w:r>
      <w:r w:rsidR="0054233B" w:rsidRPr="00196E92">
        <w:rPr>
          <w:rFonts w:cs="Arial"/>
          <w:szCs w:val="24"/>
        </w:rPr>
        <w:t xml:space="preserve"> </w:t>
      </w:r>
      <w:r w:rsidR="00A2405A" w:rsidRPr="00196E92">
        <w:rPr>
          <w:rFonts w:cs="Arial"/>
          <w:szCs w:val="24"/>
        </w:rPr>
        <w:t>This chapter provides an overview</w:t>
      </w:r>
      <w:r w:rsidR="0054233B" w:rsidRPr="00196E92">
        <w:rPr>
          <w:rFonts w:cs="Arial"/>
          <w:szCs w:val="24"/>
        </w:rPr>
        <w:t xml:space="preserve"> </w:t>
      </w:r>
      <w:r w:rsidR="00A2405A" w:rsidRPr="00196E92">
        <w:rPr>
          <w:rFonts w:cs="Arial"/>
          <w:szCs w:val="24"/>
        </w:rPr>
        <w:t xml:space="preserve">of the DLMS transactions </w:t>
      </w:r>
      <w:r w:rsidR="00F530AF" w:rsidRPr="00196E92">
        <w:rPr>
          <w:rFonts w:cs="Arial"/>
          <w:szCs w:val="24"/>
        </w:rPr>
        <w:t>that</w:t>
      </w:r>
      <w:r w:rsidR="00A2405A" w:rsidRPr="00196E92">
        <w:rPr>
          <w:rFonts w:cs="Arial"/>
          <w:szCs w:val="24"/>
        </w:rPr>
        <w:t xml:space="preserve"> support the stock readiness program.</w:t>
      </w:r>
      <w:r w:rsidR="0054233B" w:rsidRPr="00196E92">
        <w:rPr>
          <w:rFonts w:cs="Arial"/>
          <w:szCs w:val="24"/>
        </w:rPr>
        <w:t xml:space="preserve"> </w:t>
      </w:r>
      <w:r w:rsidR="00A2405A" w:rsidRPr="00196E92">
        <w:rPr>
          <w:rFonts w:cs="Arial"/>
          <w:szCs w:val="24"/>
        </w:rPr>
        <w:t xml:space="preserve"> Initial implementation is</w:t>
      </w:r>
      <w:r w:rsidR="0054233B" w:rsidRPr="00196E92">
        <w:rPr>
          <w:rFonts w:cs="Arial"/>
          <w:szCs w:val="24"/>
        </w:rPr>
        <w:t xml:space="preserve"> </w:t>
      </w:r>
      <w:r w:rsidR="00A2405A" w:rsidRPr="00196E92">
        <w:rPr>
          <w:rFonts w:cs="Arial"/>
          <w:szCs w:val="24"/>
        </w:rPr>
        <w:t xml:space="preserve">internal to DLA and </w:t>
      </w:r>
      <w:r w:rsidR="00145C81" w:rsidRPr="00196E92">
        <w:rPr>
          <w:rFonts w:cs="Arial"/>
          <w:szCs w:val="24"/>
        </w:rPr>
        <w:t xml:space="preserve">its storage activities using </w:t>
      </w:r>
      <w:r w:rsidR="00A2405A" w:rsidRPr="00196E92">
        <w:rPr>
          <w:rFonts w:cs="Arial"/>
          <w:szCs w:val="24"/>
        </w:rPr>
        <w:t xml:space="preserve">Distribution Standard System (DSS). </w:t>
      </w:r>
      <w:r w:rsidR="0054233B" w:rsidRPr="00196E92">
        <w:rPr>
          <w:rFonts w:cs="Arial"/>
          <w:szCs w:val="24"/>
        </w:rPr>
        <w:t xml:space="preserve"> </w:t>
      </w:r>
      <w:r w:rsidR="00A2405A" w:rsidRPr="00196E92">
        <w:rPr>
          <w:rFonts w:cs="Arial"/>
          <w:szCs w:val="24"/>
        </w:rPr>
        <w:t>The DoD</w:t>
      </w:r>
      <w:r w:rsidR="0054233B" w:rsidRPr="00196E92">
        <w:rPr>
          <w:rFonts w:cs="Arial"/>
          <w:szCs w:val="24"/>
        </w:rPr>
        <w:t xml:space="preserve"> </w:t>
      </w:r>
      <w:r w:rsidR="00A2405A" w:rsidRPr="00196E92">
        <w:rPr>
          <w:rFonts w:cs="Arial"/>
          <w:szCs w:val="24"/>
        </w:rPr>
        <w:t xml:space="preserve">Components </w:t>
      </w:r>
      <w:r w:rsidR="005A2A75" w:rsidRPr="00196E92">
        <w:rPr>
          <w:rFonts w:cs="Arial"/>
          <w:szCs w:val="24"/>
        </w:rPr>
        <w:t>will</w:t>
      </w:r>
      <w:r w:rsidR="00A2405A" w:rsidRPr="00196E92">
        <w:rPr>
          <w:rFonts w:cs="Arial"/>
          <w:szCs w:val="24"/>
        </w:rPr>
        <w:t xml:space="preserve"> phase in usage during modernization. </w:t>
      </w:r>
      <w:r w:rsidR="0054233B" w:rsidRPr="00196E92">
        <w:rPr>
          <w:rFonts w:cs="Arial"/>
          <w:szCs w:val="24"/>
        </w:rPr>
        <w:t xml:space="preserve"> </w:t>
      </w:r>
      <w:r w:rsidR="00A2405A" w:rsidRPr="00196E92">
        <w:rPr>
          <w:rFonts w:cs="Arial"/>
          <w:szCs w:val="24"/>
        </w:rPr>
        <w:t xml:space="preserve">All transactions </w:t>
      </w:r>
      <w:r w:rsidR="005A2A75" w:rsidRPr="00196E92">
        <w:rPr>
          <w:rFonts w:cs="Arial"/>
          <w:szCs w:val="24"/>
        </w:rPr>
        <w:t>must</w:t>
      </w:r>
      <w:r w:rsidR="00F530AF" w:rsidRPr="00196E92">
        <w:rPr>
          <w:rFonts w:cs="Arial"/>
          <w:szCs w:val="24"/>
        </w:rPr>
        <w:t xml:space="preserve"> be</w:t>
      </w:r>
      <w:r w:rsidR="00A2405A" w:rsidRPr="00196E92">
        <w:rPr>
          <w:rFonts w:cs="Arial"/>
          <w:szCs w:val="24"/>
        </w:rPr>
        <w:t xml:space="preserve"> processed through</w:t>
      </w:r>
      <w:r w:rsidR="0054233B" w:rsidRPr="00196E92">
        <w:rPr>
          <w:rFonts w:cs="Arial"/>
          <w:szCs w:val="24"/>
        </w:rPr>
        <w:t xml:space="preserve"> </w:t>
      </w:r>
      <w:r w:rsidR="00F530AF" w:rsidRPr="00196E92">
        <w:rPr>
          <w:rFonts w:cs="Arial"/>
          <w:szCs w:val="24"/>
        </w:rPr>
        <w:t xml:space="preserve">the Defense </w:t>
      </w:r>
      <w:r w:rsidR="006C1D74" w:rsidRPr="00196E92">
        <w:rPr>
          <w:rFonts w:cs="Arial"/>
          <w:szCs w:val="24"/>
        </w:rPr>
        <w:t>Automatic</w:t>
      </w:r>
      <w:r w:rsidR="00F530AF" w:rsidRPr="00196E92">
        <w:rPr>
          <w:rFonts w:cs="Arial"/>
          <w:szCs w:val="24"/>
        </w:rPr>
        <w:t xml:space="preserve"> Address</w:t>
      </w:r>
      <w:r w:rsidR="006C1D74" w:rsidRPr="00196E92">
        <w:rPr>
          <w:rFonts w:cs="Arial"/>
          <w:szCs w:val="24"/>
        </w:rPr>
        <w:t>ing</w:t>
      </w:r>
      <w:r w:rsidR="00F530AF" w:rsidRPr="00196E92">
        <w:rPr>
          <w:rFonts w:cs="Arial"/>
          <w:szCs w:val="24"/>
        </w:rPr>
        <w:t xml:space="preserve"> System (</w:t>
      </w:r>
      <w:r w:rsidR="00A2405A" w:rsidRPr="00196E92">
        <w:rPr>
          <w:rFonts w:cs="Arial"/>
          <w:szCs w:val="24"/>
        </w:rPr>
        <w:t>DAAS</w:t>
      </w:r>
      <w:r w:rsidR="00F530AF" w:rsidRPr="00196E92">
        <w:rPr>
          <w:rFonts w:cs="Arial"/>
          <w:szCs w:val="24"/>
        </w:rPr>
        <w:t>)</w:t>
      </w:r>
      <w:r w:rsidR="00A2405A" w:rsidRPr="00196E92">
        <w:rPr>
          <w:rFonts w:cs="Arial"/>
          <w:szCs w:val="24"/>
        </w:rPr>
        <w:t xml:space="preserve">. </w:t>
      </w:r>
      <w:r w:rsidR="0054233B" w:rsidRPr="00196E92">
        <w:rPr>
          <w:rFonts w:cs="Arial"/>
          <w:szCs w:val="24"/>
        </w:rPr>
        <w:t xml:space="preserve"> </w:t>
      </w:r>
      <w:r w:rsidR="00A2405A" w:rsidRPr="00196E92">
        <w:rPr>
          <w:rFonts w:cs="Arial"/>
          <w:szCs w:val="24"/>
        </w:rPr>
        <w:t>Capability to support communication with non-DLMS owner/managers and non-DSS</w:t>
      </w:r>
      <w:r w:rsidR="0054233B" w:rsidRPr="00196E92">
        <w:rPr>
          <w:rFonts w:cs="Arial"/>
          <w:szCs w:val="24"/>
        </w:rPr>
        <w:t xml:space="preserve"> </w:t>
      </w:r>
      <w:r w:rsidR="00A2405A" w:rsidRPr="00196E92">
        <w:rPr>
          <w:rFonts w:cs="Arial"/>
        </w:rPr>
        <w:t xml:space="preserve">storage sites using email and web-based processing is </w:t>
      </w:r>
      <w:r w:rsidR="005A2A75" w:rsidRPr="00196E92">
        <w:rPr>
          <w:rFonts w:cs="Arial"/>
        </w:rPr>
        <w:t>authorized</w:t>
      </w:r>
      <w:r w:rsidR="00A2405A" w:rsidRPr="00196E92">
        <w:rPr>
          <w:rFonts w:cs="Arial"/>
        </w:rPr>
        <w:t>.</w:t>
      </w:r>
      <w:r w:rsidR="005A2A75" w:rsidRPr="00196E92">
        <w:rPr>
          <w:rStyle w:val="FootnoteReference"/>
          <w:rFonts w:cs="Arial"/>
        </w:rPr>
        <w:footnoteReference w:id="1"/>
      </w:r>
      <w:r w:rsidR="00A228FA" w:rsidRPr="00196E92">
        <w:rPr>
          <w:rFonts w:cs="Arial"/>
        </w:rPr>
        <w:t xml:space="preserve"> </w:t>
      </w:r>
    </w:p>
    <w:p w14:paraId="30D7FB35" w14:textId="4AFBC3EA" w:rsidR="00D4768C" w:rsidRPr="00196E92" w:rsidRDefault="00D4768C" w:rsidP="007A1953">
      <w:pPr>
        <w:pStyle w:val="Heading3"/>
      </w:pPr>
      <w:r w:rsidRPr="00196E92">
        <w:tab/>
        <w:t xml:space="preserve">C21.1.1.  </w:t>
      </w:r>
      <w:r w:rsidR="00AB28BA" w:rsidRPr="00196E92">
        <w:rPr>
          <w:u w:val="single"/>
        </w:rPr>
        <w:t xml:space="preserve">Stock </w:t>
      </w:r>
      <w:r w:rsidRPr="00196E92">
        <w:rPr>
          <w:bCs/>
          <w:u w:val="single"/>
        </w:rPr>
        <w:t>S</w:t>
      </w:r>
      <w:r w:rsidR="0068605A" w:rsidRPr="00196E92">
        <w:rPr>
          <w:bCs/>
          <w:u w:val="single"/>
        </w:rPr>
        <w:t>creening Request/Reply</w:t>
      </w:r>
      <w:r w:rsidRPr="00196E92">
        <w:rPr>
          <w:bCs/>
        </w:rPr>
        <w:t xml:space="preserve">.  </w:t>
      </w:r>
      <w:r w:rsidRPr="00196E92">
        <w:t xml:space="preserve">The electronic stock screening request is used by </w:t>
      </w:r>
      <w:r w:rsidR="00B27359" w:rsidRPr="00196E92">
        <w:t>materiel</w:t>
      </w:r>
      <w:r w:rsidRPr="00196E92">
        <w:t xml:space="preserve"> owners/manager to request </w:t>
      </w:r>
      <w:r w:rsidR="00145C81" w:rsidRPr="00196E92">
        <w:t>storage activities</w:t>
      </w:r>
      <w:r w:rsidRPr="00196E92">
        <w:t xml:space="preserve"> to perform a screening action based upon spec</w:t>
      </w:r>
      <w:r w:rsidR="007A674F" w:rsidRPr="00196E92">
        <w:t xml:space="preserve">ified criteria.  The </w:t>
      </w:r>
      <w:r w:rsidR="00145C81" w:rsidRPr="00196E92">
        <w:t xml:space="preserve">storage activity </w:t>
      </w:r>
      <w:r w:rsidR="00AB28BA" w:rsidRPr="00196E92">
        <w:t>will</w:t>
      </w:r>
      <w:r w:rsidR="007A674F" w:rsidRPr="00196E92">
        <w:t xml:space="preserve"> provide</w:t>
      </w:r>
      <w:r w:rsidRPr="00196E92">
        <w:t xml:space="preserve"> an electronic response to the request with results of the screening or to report that </w:t>
      </w:r>
      <w:r w:rsidR="00B27359" w:rsidRPr="00196E92">
        <w:t>materiel</w:t>
      </w:r>
      <w:r w:rsidRPr="00196E92">
        <w:t xml:space="preserve"> matching the screening criteria was not found.  </w:t>
      </w:r>
      <w:r w:rsidR="00CD4245" w:rsidRPr="00196E92">
        <w:t xml:space="preserve">The </w:t>
      </w:r>
      <w:r w:rsidRPr="00196E92">
        <w:t>DLMS 842C</w:t>
      </w:r>
      <w:r w:rsidR="00AB28BA" w:rsidRPr="00196E92">
        <w:t>/I</w:t>
      </w:r>
      <w:r w:rsidR="00203984" w:rsidRPr="00196E92">
        <w:t>, Stock Screening Request</w:t>
      </w:r>
      <w:r w:rsidR="00CD4245" w:rsidRPr="00196E92">
        <w:t xml:space="preserve"> </w:t>
      </w:r>
      <w:r w:rsidR="00AB28BA" w:rsidRPr="00196E92">
        <w:t xml:space="preserve">and 842C/R Stock Screening </w:t>
      </w:r>
      <w:r w:rsidR="00203984" w:rsidRPr="00196E92">
        <w:t xml:space="preserve">Reply </w:t>
      </w:r>
      <w:r w:rsidR="00CD4245" w:rsidRPr="00196E92">
        <w:t>transaction</w:t>
      </w:r>
      <w:r w:rsidR="00A1481A" w:rsidRPr="00196E92">
        <w:t>s</w:t>
      </w:r>
      <w:r w:rsidRPr="00196E92">
        <w:t xml:space="preserve"> replace the manual tracking and communication of screening requests and results where electronic capability is supported.  This DLMS enhancement provides the DoD Components with the capability to use an electronic transmission method within their inventory management systems and improve tracking and management of screening actions.</w:t>
      </w:r>
    </w:p>
    <w:p w14:paraId="30D7FB36" w14:textId="7A252FCD" w:rsidR="00D4768C" w:rsidRPr="00196E92" w:rsidRDefault="00D4768C" w:rsidP="007A1953">
      <w:pPr>
        <w:pStyle w:val="Heading3"/>
      </w:pPr>
      <w:r w:rsidRPr="00196E92">
        <w:tab/>
        <w:t xml:space="preserve">C21.1.2.  </w:t>
      </w:r>
      <w:r w:rsidR="0068605A" w:rsidRPr="00196E92">
        <w:rPr>
          <w:bCs/>
          <w:u w:val="single"/>
        </w:rPr>
        <w:t>Storage Quality Control Report</w:t>
      </w:r>
      <w:r w:rsidRPr="00196E92">
        <w:rPr>
          <w:bCs/>
          <w:u w:val="single"/>
        </w:rPr>
        <w:t xml:space="preserve"> (SQCR)/R</w:t>
      </w:r>
      <w:r w:rsidR="0068605A" w:rsidRPr="00196E92">
        <w:rPr>
          <w:bCs/>
          <w:u w:val="single"/>
        </w:rPr>
        <w:t>eply</w:t>
      </w:r>
      <w:r w:rsidRPr="00196E92">
        <w:rPr>
          <w:bCs/>
        </w:rPr>
        <w:t xml:space="preserve">. </w:t>
      </w:r>
      <w:r w:rsidR="00FD31D8" w:rsidRPr="00196E92">
        <w:rPr>
          <w:bCs/>
        </w:rPr>
        <w:t xml:space="preserve"> </w:t>
      </w:r>
      <w:r w:rsidRPr="00196E92">
        <w:t xml:space="preserve">The electronic SQCR is used by the </w:t>
      </w:r>
      <w:r w:rsidR="00145C81" w:rsidRPr="00196E92">
        <w:t xml:space="preserve">storage activity </w:t>
      </w:r>
      <w:r w:rsidRPr="00196E92">
        <w:t>to report storage quality issues requiring stock readiness work (e.g. repair, repackaging, testing, etc.) to the owner for approval.</w:t>
      </w:r>
      <w:r w:rsidR="00FD31D8" w:rsidRPr="00196E92">
        <w:t xml:space="preserve">  </w:t>
      </w:r>
      <w:r w:rsidR="00CD4245" w:rsidRPr="00196E92">
        <w:t>The DLMS</w:t>
      </w:r>
      <w:r w:rsidRPr="00196E92">
        <w:t xml:space="preserve"> 842S</w:t>
      </w:r>
      <w:r w:rsidR="00203984" w:rsidRPr="00196E92">
        <w:t>/Q</w:t>
      </w:r>
      <w:r w:rsidRPr="00196E92">
        <w:t>, Storage Quality Control Report</w:t>
      </w:r>
      <w:r w:rsidR="00203984" w:rsidRPr="00196E92">
        <w:t xml:space="preserve"> and 842S/R SQCR </w:t>
      </w:r>
      <w:r w:rsidR="00061083" w:rsidRPr="00196E92">
        <w:t>Reply transactions</w:t>
      </w:r>
      <w:r w:rsidRPr="00196E92">
        <w:t>, replace the SQCR, DD Form 1225, for information exchange unde</w:t>
      </w:r>
      <w:r w:rsidR="00FD31D8" w:rsidRPr="00196E92">
        <w:t>r</w:t>
      </w:r>
      <w:r w:rsidR="002E5722" w:rsidRPr="00196E92">
        <w:t xml:space="preserve"> </w:t>
      </w:r>
      <w:r w:rsidRPr="00196E92">
        <w:t xml:space="preserve">the DLMS. </w:t>
      </w:r>
      <w:r w:rsidR="00FD31D8" w:rsidRPr="00196E92">
        <w:t xml:space="preserve"> </w:t>
      </w:r>
      <w:r w:rsidRPr="00196E92">
        <w:t>This DLMS enhancement provides the DoD Components with the capability to use an</w:t>
      </w:r>
      <w:r w:rsidR="00297F9E" w:rsidRPr="00196E92">
        <w:t xml:space="preserve"> </w:t>
      </w:r>
      <w:r w:rsidRPr="00196E92">
        <w:t>electronic transmission method within their inventory management systems and eliminate</w:t>
      </w:r>
      <w:r w:rsidR="00145C81" w:rsidRPr="00196E92">
        <w:t>s</w:t>
      </w:r>
      <w:r w:rsidRPr="00196E92">
        <w:t xml:space="preserve"> the</w:t>
      </w:r>
      <w:r w:rsidR="00FD31D8" w:rsidRPr="00196E92">
        <w:t xml:space="preserve"> </w:t>
      </w:r>
      <w:r w:rsidRPr="00196E92">
        <w:t xml:space="preserve">exchange of hardcopy documents. </w:t>
      </w:r>
      <w:r w:rsidR="00FD31D8" w:rsidRPr="00196E92">
        <w:t xml:space="preserve"> </w:t>
      </w:r>
      <w:r w:rsidRPr="00196E92">
        <w:t xml:space="preserve">This process includes both the </w:t>
      </w:r>
      <w:r w:rsidR="00145C81" w:rsidRPr="00196E92">
        <w:t xml:space="preserve">storage activity </w:t>
      </w:r>
      <w:r w:rsidRPr="00196E92">
        <w:t>report and the owner reply</w:t>
      </w:r>
      <w:r w:rsidR="006B35AF" w:rsidRPr="00196E92">
        <w:t>,</w:t>
      </w:r>
      <w:r w:rsidR="001F1AFC" w:rsidRPr="00196E92">
        <w:t xml:space="preserve"> including capability for an interim reply</w:t>
      </w:r>
      <w:r w:rsidRPr="00196E92">
        <w:t xml:space="preserve">. </w:t>
      </w:r>
      <w:r w:rsidR="00FD31D8" w:rsidRPr="00196E92">
        <w:t xml:space="preserve"> </w:t>
      </w:r>
      <w:r w:rsidR="001F1AFC" w:rsidRPr="00196E92">
        <w:t>The storage activity will provide a completion notice to inform the owner/manager that requested disposition has been completed.</w:t>
      </w:r>
      <w:r w:rsidR="001F1AFC" w:rsidRPr="00196E92">
        <w:rPr>
          <w:vertAlign w:val="superscript"/>
        </w:rPr>
        <w:footnoteReference w:id="2"/>
      </w:r>
    </w:p>
    <w:p w14:paraId="30D7FB37" w14:textId="76BC5BB3" w:rsidR="00FD31D8" w:rsidRPr="00196E92" w:rsidRDefault="00454ABF" w:rsidP="006D4746">
      <w:pPr>
        <w:pStyle w:val="Heading2"/>
        <w:tabs>
          <w:tab w:val="left" w:pos="547"/>
          <w:tab w:val="left" w:pos="1080"/>
          <w:tab w:val="left" w:pos="1627"/>
          <w:tab w:val="left" w:pos="2232"/>
          <w:tab w:val="left" w:pos="2707"/>
          <w:tab w:val="left" w:pos="3240"/>
        </w:tabs>
        <w:rPr>
          <w:rFonts w:cs="Arial"/>
          <w:b w:val="0"/>
          <w:i w:val="0"/>
          <w:color w:val="auto"/>
        </w:rPr>
      </w:pPr>
      <w:r w:rsidRPr="00196E92">
        <w:rPr>
          <w:rFonts w:cs="Arial"/>
          <w:b w:val="0"/>
          <w:i w:val="0"/>
          <w:color w:val="auto"/>
        </w:rPr>
        <w:lastRenderedPageBreak/>
        <w:t>C21.2</w:t>
      </w:r>
      <w:r w:rsidR="00947AA6" w:rsidRPr="00196E92">
        <w:rPr>
          <w:rFonts w:cs="Arial"/>
          <w:b w:val="0"/>
          <w:i w:val="0"/>
          <w:color w:val="auto"/>
        </w:rPr>
        <w:t>.</w:t>
      </w:r>
      <w:r w:rsidRPr="00196E92">
        <w:rPr>
          <w:rFonts w:cs="Arial"/>
          <w:b w:val="0"/>
          <w:i w:val="0"/>
          <w:color w:val="auto"/>
        </w:rPr>
        <w:t xml:space="preserve"> </w:t>
      </w:r>
      <w:r w:rsidRPr="00196E92">
        <w:rPr>
          <w:rFonts w:cs="Arial"/>
          <w:b w:val="0"/>
          <w:i w:val="0"/>
          <w:color w:val="auto"/>
          <w:u w:val="single"/>
        </w:rPr>
        <w:t xml:space="preserve"> </w:t>
      </w:r>
      <w:r w:rsidR="005F7504" w:rsidRPr="00196E92">
        <w:rPr>
          <w:rFonts w:cs="Arial"/>
          <w:b w:val="0"/>
          <w:i w:val="0"/>
          <w:color w:val="auto"/>
          <w:u w:val="single"/>
        </w:rPr>
        <w:t>APPLICABILITY AND SCOPE</w:t>
      </w:r>
      <w:r w:rsidR="005F7504" w:rsidRPr="00196E92">
        <w:rPr>
          <w:rFonts w:cs="Arial"/>
          <w:b w:val="0"/>
          <w:i w:val="0"/>
          <w:color w:val="auto"/>
        </w:rPr>
        <w:t xml:space="preserve">.  </w:t>
      </w:r>
      <w:r w:rsidR="00FD31D8" w:rsidRPr="00196E92">
        <w:rPr>
          <w:rFonts w:cs="Arial"/>
          <w:b w:val="0"/>
          <w:i w:val="0"/>
          <w:color w:val="auto"/>
        </w:rPr>
        <w:t xml:space="preserve">This guidance is applicable to DoD Components owner/managers and </w:t>
      </w:r>
      <w:r w:rsidR="00145C81" w:rsidRPr="00196E92">
        <w:rPr>
          <w:rFonts w:cs="Arial"/>
          <w:b w:val="0"/>
          <w:i w:val="0"/>
          <w:color w:val="auto"/>
        </w:rPr>
        <w:t>storage activities</w:t>
      </w:r>
      <w:r w:rsidR="00FD31D8" w:rsidRPr="00196E92">
        <w:rPr>
          <w:rFonts w:cs="Arial"/>
          <w:b w:val="0"/>
          <w:i w:val="0"/>
          <w:color w:val="auto"/>
        </w:rPr>
        <w:t xml:space="preserve">. It applies to classes of supply that are managed by </w:t>
      </w:r>
      <w:r w:rsidR="00297F9E" w:rsidRPr="00196E92">
        <w:rPr>
          <w:rFonts w:cs="Arial"/>
          <w:b w:val="0"/>
          <w:i w:val="0"/>
          <w:color w:val="auto"/>
        </w:rPr>
        <w:t xml:space="preserve">the </w:t>
      </w:r>
      <w:r w:rsidR="00FD31D8" w:rsidRPr="00196E92">
        <w:rPr>
          <w:rFonts w:cs="Arial"/>
          <w:b w:val="0"/>
          <w:i w:val="0"/>
          <w:color w:val="auto"/>
        </w:rPr>
        <w:t xml:space="preserve">DoD Components and stored at the </w:t>
      </w:r>
      <w:r w:rsidR="00145C81" w:rsidRPr="00196E92">
        <w:rPr>
          <w:rFonts w:cs="Arial"/>
          <w:b w:val="0"/>
          <w:i w:val="0"/>
          <w:color w:val="auto"/>
        </w:rPr>
        <w:t>storage activities</w:t>
      </w:r>
      <w:r w:rsidR="00FD31D8" w:rsidRPr="00196E92">
        <w:rPr>
          <w:rFonts w:cs="Arial"/>
          <w:b w:val="0"/>
          <w:i w:val="0"/>
          <w:color w:val="auto"/>
        </w:rPr>
        <w:t>, except Class V, Class VI, and Bulk Class III.</w:t>
      </w:r>
      <w:r w:rsidR="004E0D1C" w:rsidRPr="00196E92">
        <w:rPr>
          <w:rFonts w:cs="Arial"/>
          <w:b w:val="0"/>
          <w:i w:val="0"/>
          <w:color w:val="auto"/>
        </w:rPr>
        <w:t xml:space="preserve">  Use is required for materiel stored operating under the DLA Distribution Standard System (DSS) and is supported by Component direction for other storage activities.</w:t>
      </w:r>
    </w:p>
    <w:p w14:paraId="4D2BD466" w14:textId="3316E082" w:rsidR="004E0D1C" w:rsidRPr="00196E92" w:rsidRDefault="00454ABF" w:rsidP="006D4746">
      <w:pPr>
        <w:pStyle w:val="Heading2"/>
        <w:tabs>
          <w:tab w:val="left" w:pos="547"/>
          <w:tab w:val="left" w:pos="1080"/>
          <w:tab w:val="left" w:pos="1627"/>
          <w:tab w:val="left" w:pos="2232"/>
          <w:tab w:val="left" w:pos="2707"/>
          <w:tab w:val="left" w:pos="3240"/>
        </w:tabs>
        <w:rPr>
          <w:rFonts w:cs="Arial"/>
          <w:b w:val="0"/>
          <w:i w:val="0"/>
          <w:color w:val="auto"/>
        </w:rPr>
      </w:pPr>
      <w:r w:rsidRPr="00196E92">
        <w:rPr>
          <w:rFonts w:cs="Arial"/>
          <w:b w:val="0"/>
          <w:i w:val="0"/>
          <w:color w:val="auto"/>
        </w:rPr>
        <w:t>C21.3</w:t>
      </w:r>
      <w:r w:rsidR="00947AA6" w:rsidRPr="00196E92">
        <w:rPr>
          <w:rFonts w:cs="Arial"/>
          <w:b w:val="0"/>
          <w:i w:val="0"/>
          <w:color w:val="auto"/>
        </w:rPr>
        <w:t>.</w:t>
      </w:r>
      <w:r w:rsidRPr="00196E92">
        <w:rPr>
          <w:rFonts w:cs="Arial"/>
          <w:b w:val="0"/>
          <w:i w:val="0"/>
          <w:color w:val="auto"/>
        </w:rPr>
        <w:t xml:space="preserve">  </w:t>
      </w:r>
      <w:r w:rsidR="00FD31D8" w:rsidRPr="00196E92">
        <w:rPr>
          <w:rFonts w:cs="Arial"/>
          <w:b w:val="0"/>
          <w:bCs/>
          <w:i w:val="0"/>
          <w:color w:val="auto"/>
          <w:u w:val="single"/>
        </w:rPr>
        <w:t>STOCK SCREENING REQUEST/REPLY OVERVIEW</w:t>
      </w:r>
      <w:r w:rsidR="00FD31D8" w:rsidRPr="00196E92">
        <w:rPr>
          <w:rFonts w:cs="Arial"/>
          <w:b w:val="0"/>
          <w:bCs/>
          <w:i w:val="0"/>
          <w:color w:val="auto"/>
        </w:rPr>
        <w:t xml:space="preserve">.  </w:t>
      </w:r>
      <w:r w:rsidR="00FD31D8" w:rsidRPr="00196E92">
        <w:rPr>
          <w:rFonts w:cs="Arial"/>
          <w:b w:val="0"/>
          <w:i w:val="0"/>
          <w:color w:val="auto"/>
        </w:rPr>
        <w:t>Th</w:t>
      </w:r>
      <w:r w:rsidR="007A674F" w:rsidRPr="00196E92">
        <w:rPr>
          <w:rFonts w:cs="Arial"/>
          <w:b w:val="0"/>
          <w:i w:val="0"/>
          <w:color w:val="auto"/>
        </w:rPr>
        <w:t xml:space="preserve">e </w:t>
      </w:r>
      <w:r w:rsidR="00B27359" w:rsidRPr="00196E92">
        <w:rPr>
          <w:rFonts w:cs="Arial"/>
          <w:b w:val="0"/>
          <w:i w:val="0"/>
          <w:color w:val="auto"/>
        </w:rPr>
        <w:t>materiel</w:t>
      </w:r>
      <w:r w:rsidR="007A674F" w:rsidRPr="00196E92">
        <w:rPr>
          <w:rFonts w:cs="Arial"/>
          <w:b w:val="0"/>
          <w:i w:val="0"/>
          <w:color w:val="auto"/>
        </w:rPr>
        <w:t xml:space="preserve"> owner/manager </w:t>
      </w:r>
      <w:r w:rsidR="004E0D1C" w:rsidRPr="00196E92">
        <w:rPr>
          <w:rFonts w:cs="Arial"/>
          <w:b w:val="0"/>
          <w:i w:val="0"/>
          <w:color w:val="auto"/>
        </w:rPr>
        <w:t>will</w:t>
      </w:r>
      <w:r w:rsidR="007A674F" w:rsidRPr="00196E92">
        <w:rPr>
          <w:rFonts w:cs="Arial"/>
          <w:b w:val="0"/>
          <w:i w:val="0"/>
          <w:color w:val="auto"/>
        </w:rPr>
        <w:t xml:space="preserve"> create</w:t>
      </w:r>
      <w:r w:rsidR="00FD31D8" w:rsidRPr="00196E92">
        <w:rPr>
          <w:rFonts w:cs="Arial"/>
          <w:b w:val="0"/>
          <w:i w:val="0"/>
          <w:color w:val="auto"/>
        </w:rPr>
        <w:t xml:space="preserve"> a stock screening request to notify distribution activities to screen for potentially quality deficient/defective </w:t>
      </w:r>
      <w:r w:rsidR="00B27359" w:rsidRPr="00196E92">
        <w:rPr>
          <w:rFonts w:cs="Arial"/>
          <w:b w:val="0"/>
          <w:i w:val="0"/>
          <w:color w:val="auto"/>
        </w:rPr>
        <w:t>materiel</w:t>
      </w:r>
      <w:r w:rsidR="00FD31D8" w:rsidRPr="00196E92">
        <w:rPr>
          <w:rFonts w:cs="Arial"/>
          <w:b w:val="0"/>
          <w:i w:val="0"/>
          <w:color w:val="auto"/>
        </w:rPr>
        <w:t xml:space="preserve">.  Triggers for stock screening actions include a Product Quality Deficiency Report (PQDR), Supply Discrepancy Report (SDR), the </w:t>
      </w:r>
      <w:r w:rsidR="000B2D7A" w:rsidRPr="00196E92">
        <w:rPr>
          <w:rFonts w:cs="Arial"/>
          <w:b w:val="0"/>
          <w:i w:val="0"/>
          <w:color w:val="auto"/>
        </w:rPr>
        <w:t xml:space="preserve">critical item management </w:t>
      </w:r>
      <w:r w:rsidR="00FD31D8" w:rsidRPr="00196E92">
        <w:rPr>
          <w:rFonts w:cs="Arial"/>
          <w:b w:val="0"/>
          <w:i w:val="0"/>
          <w:color w:val="auto"/>
        </w:rPr>
        <w:t xml:space="preserve">(CIM) process, or other notification of defect.  The </w:t>
      </w:r>
      <w:r w:rsidR="00B27359" w:rsidRPr="00196E92">
        <w:rPr>
          <w:rFonts w:cs="Arial"/>
          <w:b w:val="0"/>
          <w:i w:val="0"/>
          <w:color w:val="auto"/>
        </w:rPr>
        <w:t>materiel</w:t>
      </w:r>
      <w:r w:rsidR="00FD31D8" w:rsidRPr="00196E92">
        <w:rPr>
          <w:rFonts w:cs="Arial"/>
          <w:b w:val="0"/>
          <w:i w:val="0"/>
          <w:color w:val="auto"/>
        </w:rPr>
        <w:t xml:space="preserve"> owner/manager </w:t>
      </w:r>
      <w:r w:rsidR="004E0D1C" w:rsidRPr="00196E92">
        <w:rPr>
          <w:rFonts w:cs="Arial"/>
          <w:b w:val="0"/>
          <w:i w:val="0"/>
          <w:color w:val="auto"/>
        </w:rPr>
        <w:t>will</w:t>
      </w:r>
      <w:r w:rsidR="00DC605D" w:rsidRPr="00196E92">
        <w:rPr>
          <w:rFonts w:cs="Arial"/>
          <w:b w:val="0"/>
          <w:i w:val="0"/>
          <w:color w:val="auto"/>
        </w:rPr>
        <w:t xml:space="preserve"> </w:t>
      </w:r>
      <w:r w:rsidR="00FD31D8" w:rsidRPr="00196E92">
        <w:rPr>
          <w:rFonts w:cs="Arial"/>
          <w:b w:val="0"/>
          <w:i w:val="0"/>
          <w:color w:val="auto"/>
        </w:rPr>
        <w:t xml:space="preserve">identify </w:t>
      </w:r>
      <w:r w:rsidR="00B27359" w:rsidRPr="00196E92">
        <w:rPr>
          <w:rFonts w:cs="Arial"/>
          <w:b w:val="0"/>
          <w:i w:val="0"/>
          <w:color w:val="auto"/>
        </w:rPr>
        <w:t>materiel</w:t>
      </w:r>
      <w:r w:rsidR="004E0D1C" w:rsidRPr="00196E92">
        <w:rPr>
          <w:rFonts w:cs="Arial"/>
          <w:b w:val="0"/>
          <w:i w:val="0"/>
          <w:color w:val="auto"/>
        </w:rPr>
        <w:t xml:space="preserve"> to be screened by NSN, </w:t>
      </w:r>
      <w:r w:rsidR="00FD31D8" w:rsidRPr="00196E92">
        <w:rPr>
          <w:rFonts w:cs="Arial"/>
          <w:b w:val="0"/>
          <w:i w:val="0"/>
          <w:color w:val="auto"/>
        </w:rPr>
        <w:t>part number/</w:t>
      </w:r>
      <w:r w:rsidR="00497B6F" w:rsidRPr="00196E92">
        <w:rPr>
          <w:rFonts w:cs="Arial"/>
          <w:b w:val="0"/>
          <w:i w:val="0"/>
          <w:color w:val="auto"/>
        </w:rPr>
        <w:t>CAGE</w:t>
      </w:r>
      <w:r w:rsidR="004E0D1C" w:rsidRPr="00196E92">
        <w:rPr>
          <w:rFonts w:ascii="Times New Roman" w:hAnsi="Times New Roman"/>
          <w:b w:val="0"/>
          <w:i w:val="0"/>
          <w:color w:val="auto"/>
          <w:szCs w:val="24"/>
        </w:rPr>
        <w:t xml:space="preserve"> </w:t>
      </w:r>
      <w:r w:rsidR="004E0D1C" w:rsidRPr="00196E92">
        <w:rPr>
          <w:rFonts w:cs="Arial"/>
          <w:b w:val="0"/>
          <w:i w:val="0"/>
          <w:color w:val="auto"/>
        </w:rPr>
        <w:t>or other authorized form of materiel identification</w:t>
      </w:r>
      <w:r w:rsidR="00FD31D8" w:rsidRPr="00196E92">
        <w:rPr>
          <w:rFonts w:cs="Arial"/>
          <w:b w:val="0"/>
          <w:i w:val="0"/>
          <w:color w:val="auto"/>
        </w:rPr>
        <w:t>, specify the inspection type, and provide detailed instructions for the stock screening criteria (e.g., part numbers, vendor, markings, contract, etc.).  Screening instructions may be defined by data elements within screening request or by narrative remarks.</w:t>
      </w:r>
      <w:r w:rsidR="004E0D1C" w:rsidRPr="00196E92">
        <w:rPr>
          <w:rFonts w:cs="Arial"/>
          <w:b w:val="0"/>
          <w:i w:val="0"/>
          <w:color w:val="auto"/>
        </w:rPr>
        <w:t xml:space="preserve">  Materiel managers can create a stock screening request for all inspection types. </w:t>
      </w:r>
      <w:r w:rsidR="00975207" w:rsidRPr="00196E92">
        <w:rPr>
          <w:rFonts w:cs="Arial"/>
          <w:b w:val="0"/>
          <w:i w:val="0"/>
          <w:color w:val="auto"/>
        </w:rPr>
        <w:t xml:space="preserve"> </w:t>
      </w:r>
      <w:r w:rsidR="004E0D1C" w:rsidRPr="00196E92">
        <w:rPr>
          <w:rFonts w:cs="Arial"/>
          <w:b w:val="0"/>
          <w:i w:val="0"/>
          <w:color w:val="auto"/>
        </w:rPr>
        <w:t xml:space="preserve">Materiel owners may create a stock screening request only for Type Inspection Code P, which is used to request a special inspection at a single storage activity. </w:t>
      </w:r>
      <w:r w:rsidR="006B35AF" w:rsidRPr="00196E92">
        <w:rPr>
          <w:rFonts w:cs="Arial"/>
          <w:b w:val="0"/>
          <w:i w:val="0"/>
          <w:color w:val="auto"/>
        </w:rPr>
        <w:t xml:space="preserve"> </w:t>
      </w:r>
      <w:r w:rsidR="004E0D1C" w:rsidRPr="00196E92">
        <w:rPr>
          <w:rFonts w:cs="Arial"/>
          <w:b w:val="0"/>
          <w:i w:val="0"/>
          <w:color w:val="auto"/>
        </w:rPr>
        <w:t>Materiel owners will coordinate all other stock screening requests with the materiel manager.</w:t>
      </w:r>
    </w:p>
    <w:p w14:paraId="0EA5423A" w14:textId="0FAFA615" w:rsidR="00233037" w:rsidRPr="00196E92" w:rsidRDefault="00A4583E" w:rsidP="007A1953">
      <w:pPr>
        <w:pStyle w:val="Heading3"/>
      </w:pPr>
      <w:r w:rsidRPr="00196E92">
        <w:tab/>
      </w:r>
      <w:r w:rsidR="003A49F9" w:rsidRPr="00196E92">
        <w:t>C21.3.1</w:t>
      </w:r>
      <w:r w:rsidR="00947AA6" w:rsidRPr="00196E92">
        <w:t>.</w:t>
      </w:r>
      <w:r w:rsidR="003A49F9" w:rsidRPr="00196E92">
        <w:t xml:space="preserve">  </w:t>
      </w:r>
      <w:r w:rsidR="009B4A99" w:rsidRPr="00196E92">
        <w:t xml:space="preserve">Under DLMS, the stock screening request is prepared using the </w:t>
      </w:r>
      <w:r w:rsidR="00DC605D" w:rsidRPr="00196E92">
        <w:t xml:space="preserve">DLMS </w:t>
      </w:r>
      <w:r w:rsidR="009B4A99" w:rsidRPr="00196E92">
        <w:t>842C</w:t>
      </w:r>
      <w:r w:rsidR="00DC605D" w:rsidRPr="00196E92">
        <w:t>/</w:t>
      </w:r>
      <w:r w:rsidR="009B4A99" w:rsidRPr="00196E92">
        <w:t xml:space="preserve">I, Stock Screening </w:t>
      </w:r>
      <w:r w:rsidR="00FB6249" w:rsidRPr="00196E92">
        <w:t xml:space="preserve">Request.  The owner/manager </w:t>
      </w:r>
      <w:r w:rsidR="00A620CD" w:rsidRPr="00196E92">
        <w:t>will</w:t>
      </w:r>
      <w:r w:rsidR="009B4A99" w:rsidRPr="00196E92">
        <w:t xml:space="preserve"> create and transmit a separate transaction for each action and information copy recipient (i.e.</w:t>
      </w:r>
      <w:r w:rsidR="00594723" w:rsidRPr="00196E92">
        <w:t>,</w:t>
      </w:r>
      <w:r w:rsidR="009B4A99" w:rsidRPr="00196E92">
        <w:t xml:space="preserve"> 28 transactions prepared for 28 </w:t>
      </w:r>
      <w:r w:rsidR="00145C81" w:rsidRPr="00196E92">
        <w:t>storage activities</w:t>
      </w:r>
      <w:r w:rsidR="00297F9E" w:rsidRPr="00196E92">
        <w:t xml:space="preserve">).  The owner/manager </w:t>
      </w:r>
      <w:r w:rsidR="00A620CD" w:rsidRPr="00196E92">
        <w:t>wil</w:t>
      </w:r>
      <w:r w:rsidR="00297F9E" w:rsidRPr="00196E92">
        <w:t>l</w:t>
      </w:r>
      <w:r w:rsidR="009B4A99" w:rsidRPr="00196E92">
        <w:t xml:space="preserve"> identify as the action recipient those storage </w:t>
      </w:r>
      <w:r w:rsidR="00145C81" w:rsidRPr="00196E92">
        <w:t xml:space="preserve">activities </w:t>
      </w:r>
      <w:r w:rsidR="009B4A99" w:rsidRPr="00196E92">
        <w:t xml:space="preserve">known by the owner/manager to have the </w:t>
      </w:r>
      <w:r w:rsidR="00B27359" w:rsidRPr="00196E92">
        <w:t>materiel</w:t>
      </w:r>
      <w:r w:rsidR="009B4A99" w:rsidRPr="00196E92">
        <w:t xml:space="preserve"> in question in storage.  An information copy </w:t>
      </w:r>
      <w:r w:rsidR="00A620CD" w:rsidRPr="00196E92">
        <w:t>will also</w:t>
      </w:r>
      <w:r w:rsidR="00145C81" w:rsidRPr="00196E92">
        <w:t xml:space="preserve"> </w:t>
      </w:r>
      <w:r w:rsidR="009B4A99" w:rsidRPr="00196E92">
        <w:t xml:space="preserve">be </w:t>
      </w:r>
      <w:r w:rsidR="00A620CD" w:rsidRPr="00196E92">
        <w:t xml:space="preserve">provided </w:t>
      </w:r>
      <w:r w:rsidR="009B4A99" w:rsidRPr="00196E92">
        <w:t xml:space="preserve">to all other storage </w:t>
      </w:r>
      <w:r w:rsidR="00145C81" w:rsidRPr="00196E92">
        <w:t>activities</w:t>
      </w:r>
      <w:r w:rsidR="00A620CD" w:rsidRPr="00196E92">
        <w:t xml:space="preserve"> that might possibly have the identified stock in storage</w:t>
      </w:r>
      <w:r w:rsidR="009B4A99" w:rsidRPr="00196E92">
        <w:t xml:space="preserve">.  </w:t>
      </w:r>
      <w:r w:rsidR="00233037" w:rsidRPr="00196E92">
        <w:t xml:space="preserve">When directing a stock screening request to a DLA Distribution Center, all DLA Distribution Centers must be identified as either action or information copy recipients. </w:t>
      </w:r>
      <w:r w:rsidR="00975207" w:rsidRPr="00196E92">
        <w:t xml:space="preserve"> </w:t>
      </w:r>
      <w:r w:rsidR="009B4A99" w:rsidRPr="00196E92">
        <w:t xml:space="preserve">This process </w:t>
      </w:r>
      <w:r w:rsidR="00233037" w:rsidRPr="00196E92">
        <w:t>wil</w:t>
      </w:r>
      <w:r w:rsidR="00145C81" w:rsidRPr="00196E92">
        <w:t xml:space="preserve">l </w:t>
      </w:r>
      <w:r w:rsidR="009B4A99" w:rsidRPr="00196E92">
        <w:t xml:space="preserve">ensure that all applicable </w:t>
      </w:r>
      <w:r w:rsidR="00B27359" w:rsidRPr="00196E92">
        <w:t>materiel</w:t>
      </w:r>
      <w:r w:rsidR="009B4A99" w:rsidRPr="00196E92">
        <w:t xml:space="preserve"> is screened, to include, for example, DLA-managed </w:t>
      </w:r>
      <w:r w:rsidR="00B27359" w:rsidRPr="00196E92">
        <w:t>materiel</w:t>
      </w:r>
      <w:r w:rsidR="009B4A99" w:rsidRPr="00196E92">
        <w:t xml:space="preserve"> that </w:t>
      </w:r>
      <w:r w:rsidR="00297F9E" w:rsidRPr="00196E92">
        <w:t>is now owned by the DoD Components</w:t>
      </w:r>
      <w:r w:rsidR="009B4A99" w:rsidRPr="00196E92">
        <w:t>.</w:t>
      </w:r>
      <w:r w:rsidR="00233037" w:rsidRPr="00196E92">
        <w:t xml:space="preserve">  The only exception to this is for Type Inspection Code P, which is used to request a special inspection at a single storage activity.  For Type Inspection Code P, information copies will not be provided to other storage activities.</w:t>
      </w:r>
    </w:p>
    <w:p w14:paraId="30D7FB3A" w14:textId="61A2C13A" w:rsidR="009B4A99" w:rsidRPr="00196E92" w:rsidRDefault="0001017B" w:rsidP="007A1953">
      <w:pPr>
        <w:pStyle w:val="Heading3"/>
      </w:pPr>
      <w:r w:rsidRPr="00196E92">
        <w:tab/>
      </w:r>
      <w:r w:rsidR="003A49F9" w:rsidRPr="00196E92">
        <w:t>C21.3.2</w:t>
      </w:r>
      <w:r w:rsidR="00947AA6" w:rsidRPr="00196E92">
        <w:t>.</w:t>
      </w:r>
      <w:r w:rsidR="003A49F9" w:rsidRPr="00196E92">
        <w:t xml:space="preserve">  </w:t>
      </w:r>
      <w:r w:rsidR="009B4A99" w:rsidRPr="00196E92">
        <w:t xml:space="preserve">The stock screening request </w:t>
      </w:r>
      <w:r w:rsidR="001B127C" w:rsidRPr="00196E92">
        <w:t>wi</w:t>
      </w:r>
      <w:r w:rsidR="00145C81" w:rsidRPr="00196E92">
        <w:t xml:space="preserve">ll </w:t>
      </w:r>
      <w:r w:rsidR="009B4A99" w:rsidRPr="00196E92">
        <w:t xml:space="preserve">remain open in the owner/manager application until a reply is received from all the action storage </w:t>
      </w:r>
      <w:r w:rsidR="00145C81" w:rsidRPr="00196E92">
        <w:t>activities/</w:t>
      </w:r>
      <w:r w:rsidR="009B4A99" w:rsidRPr="00196E92">
        <w:t xml:space="preserve">locations indicating that the stock screening has been:  completed with no defects found; completed with SQCR created; </w:t>
      </w:r>
      <w:r w:rsidR="00594723" w:rsidRPr="00196E92">
        <w:t xml:space="preserve">or </w:t>
      </w:r>
      <w:r w:rsidR="009B4A99" w:rsidRPr="00196E92">
        <w:t xml:space="preserve">completed with a “no stock” reply.  An interim reply may be provided under exceptional circumstances with </w:t>
      </w:r>
      <w:r w:rsidR="00594723" w:rsidRPr="00196E92">
        <w:t xml:space="preserve">explanatory </w:t>
      </w:r>
      <w:r w:rsidR="0008728D" w:rsidRPr="00196E92">
        <w:t>comments.</w:t>
      </w:r>
      <w:r w:rsidR="009B4A99" w:rsidRPr="00196E92">
        <w:t xml:space="preserve">  When all action activity replies have been received, the request </w:t>
      </w:r>
      <w:r w:rsidR="001B127C" w:rsidRPr="00196E92">
        <w:t>wil</w:t>
      </w:r>
      <w:r w:rsidR="005F14C4" w:rsidRPr="00196E92">
        <w:t xml:space="preserve">l </w:t>
      </w:r>
      <w:r w:rsidR="009B4A99" w:rsidRPr="00196E92">
        <w:t>be closed.</w:t>
      </w:r>
    </w:p>
    <w:p w14:paraId="30D7FB3B" w14:textId="25238A17" w:rsidR="009B4A99" w:rsidRPr="00196E92" w:rsidRDefault="00A4583E" w:rsidP="007A1953">
      <w:pPr>
        <w:pStyle w:val="Heading3"/>
      </w:pPr>
      <w:r w:rsidRPr="00196E92">
        <w:tab/>
      </w:r>
      <w:r w:rsidR="003A49F9" w:rsidRPr="00196E92">
        <w:t>C21.3.3</w:t>
      </w:r>
      <w:r w:rsidR="00947AA6" w:rsidRPr="00196E92">
        <w:t>.</w:t>
      </w:r>
      <w:r w:rsidR="003A49F9" w:rsidRPr="00196E92">
        <w:t xml:space="preserve">  </w:t>
      </w:r>
      <w:r w:rsidR="009B4A99" w:rsidRPr="00196E92">
        <w:t xml:space="preserve">Under DLMS, the stock screening reply is prepared using the </w:t>
      </w:r>
      <w:r w:rsidR="00594723" w:rsidRPr="00196E92">
        <w:t>DLMS</w:t>
      </w:r>
      <w:r w:rsidR="009B4A99" w:rsidRPr="00196E92">
        <w:t xml:space="preserve"> 842C</w:t>
      </w:r>
      <w:r w:rsidR="00DC605D" w:rsidRPr="00196E92">
        <w:t>/</w:t>
      </w:r>
      <w:r w:rsidR="009B4A99" w:rsidRPr="00196E92">
        <w:t>R, Stock Screening Reply, to close the automated coordination of stock scr</w:t>
      </w:r>
      <w:r w:rsidR="00297F9E" w:rsidRPr="00196E92">
        <w:t xml:space="preserve">eening actions.  </w:t>
      </w:r>
      <w:r w:rsidR="005F14C4" w:rsidRPr="00196E92">
        <w:t>Storage activities</w:t>
      </w:r>
      <w:r w:rsidR="00297F9E" w:rsidRPr="00196E92">
        <w:t xml:space="preserve"> </w:t>
      </w:r>
      <w:r w:rsidR="00305917" w:rsidRPr="00196E92">
        <w:t>wil</w:t>
      </w:r>
      <w:r w:rsidR="00297F9E" w:rsidRPr="00196E92">
        <w:t>l</w:t>
      </w:r>
      <w:r w:rsidR="009B4A99" w:rsidRPr="00196E92">
        <w:t xml:space="preserve"> send a stock screening reply transaction to the </w:t>
      </w:r>
      <w:r w:rsidR="009B4A99" w:rsidRPr="00196E92">
        <w:lastRenderedPageBreak/>
        <w:t xml:space="preserve">owner/manager for </w:t>
      </w:r>
      <w:r w:rsidR="005F14C4" w:rsidRPr="00196E92">
        <w:t xml:space="preserve">storage activities </w:t>
      </w:r>
      <w:r w:rsidR="009B4A99" w:rsidRPr="00196E92">
        <w:t xml:space="preserve">identified for action.  If no stock is stored at a particular </w:t>
      </w:r>
      <w:r w:rsidR="005F14C4" w:rsidRPr="00196E92">
        <w:t>storage activity</w:t>
      </w:r>
      <w:r w:rsidR="009B4A99" w:rsidRPr="00196E92">
        <w:t xml:space="preserve">, the </w:t>
      </w:r>
      <w:r w:rsidR="005F14C4" w:rsidRPr="00196E92">
        <w:t xml:space="preserve">storage activity </w:t>
      </w:r>
      <w:r w:rsidR="00994475" w:rsidRPr="00196E92">
        <w:t>wi</w:t>
      </w:r>
      <w:r w:rsidR="005F14C4" w:rsidRPr="00196E92">
        <w:t xml:space="preserve">ll </w:t>
      </w:r>
      <w:r w:rsidR="009B4A99" w:rsidRPr="00196E92">
        <w:t>send a “no stock” reply where designated for action.</w:t>
      </w:r>
    </w:p>
    <w:p w14:paraId="30D7FB3C" w14:textId="5F756461" w:rsidR="009B4A99" w:rsidRPr="00196E92" w:rsidRDefault="00A4583E" w:rsidP="007A1953">
      <w:pPr>
        <w:pStyle w:val="Heading3"/>
      </w:pPr>
      <w:r w:rsidRPr="00196E92">
        <w:tab/>
      </w:r>
      <w:r w:rsidR="003A49F9" w:rsidRPr="00196E92">
        <w:t>C21.3.4</w:t>
      </w:r>
      <w:r w:rsidR="00947AA6" w:rsidRPr="00196E92">
        <w:t>.</w:t>
      </w:r>
      <w:r w:rsidR="003A49F9" w:rsidRPr="00196E92">
        <w:t xml:space="preserve">  </w:t>
      </w:r>
      <w:r w:rsidR="009B4A99" w:rsidRPr="00196E92">
        <w:t xml:space="preserve">If </w:t>
      </w:r>
      <w:r w:rsidR="005F14C4" w:rsidRPr="00196E92">
        <w:t xml:space="preserve">the storage activity </w:t>
      </w:r>
      <w:r w:rsidR="009B4A99" w:rsidRPr="00196E92">
        <w:t>fi</w:t>
      </w:r>
      <w:r w:rsidR="00297F9E" w:rsidRPr="00196E92">
        <w:t xml:space="preserve">nds stock </w:t>
      </w:r>
      <w:r w:rsidR="005F14C4" w:rsidRPr="00196E92">
        <w:t>within its location</w:t>
      </w:r>
      <w:r w:rsidR="00297F9E" w:rsidRPr="00196E92">
        <w:t xml:space="preserve">, </w:t>
      </w:r>
      <w:r w:rsidR="005F14C4" w:rsidRPr="00196E92">
        <w:t xml:space="preserve">the storage activity </w:t>
      </w:r>
      <w:r w:rsidR="00305917" w:rsidRPr="00196E92">
        <w:t>will</w:t>
      </w:r>
      <w:r w:rsidR="009B4A99" w:rsidRPr="00196E92">
        <w:t xml:space="preserve"> automatically create an inspection workload using the data from the stock screening transaction.  If the inspection type is </w:t>
      </w:r>
      <w:r w:rsidR="000B2D7A" w:rsidRPr="00196E92">
        <w:t>critical safety i</w:t>
      </w:r>
      <w:r w:rsidR="00942A6F" w:rsidRPr="00196E92">
        <w:t>t</w:t>
      </w:r>
      <w:r w:rsidR="000B2D7A" w:rsidRPr="00196E92">
        <w:t xml:space="preserve">em </w:t>
      </w:r>
      <w:r w:rsidR="006D75E0" w:rsidRPr="00196E92">
        <w:t>(</w:t>
      </w:r>
      <w:r w:rsidR="009B4A99" w:rsidRPr="00196E92">
        <w:t>CSI</w:t>
      </w:r>
      <w:r w:rsidR="006D75E0" w:rsidRPr="00196E92">
        <w:t>)</w:t>
      </w:r>
      <w:r w:rsidR="00297F9E" w:rsidRPr="00196E92">
        <w:t xml:space="preserve">, </w:t>
      </w:r>
      <w:r w:rsidR="005F14C4" w:rsidRPr="00196E92">
        <w:t xml:space="preserve">the storage activity </w:t>
      </w:r>
      <w:r w:rsidR="00305917" w:rsidRPr="00196E92">
        <w:t>wi</w:t>
      </w:r>
      <w:r w:rsidR="00297F9E" w:rsidRPr="00196E92">
        <w:t>ll</w:t>
      </w:r>
      <w:r w:rsidR="009B4A99" w:rsidRPr="00196E92">
        <w:t xml:space="preserve"> automatically freeze the stock.  When the inspection is complete, action </w:t>
      </w:r>
      <w:r w:rsidR="005F14C4" w:rsidRPr="00196E92">
        <w:t xml:space="preserve">storage activities </w:t>
      </w:r>
      <w:r w:rsidR="00305917" w:rsidRPr="00196E92">
        <w:t>wi</w:t>
      </w:r>
      <w:r w:rsidR="005F14C4" w:rsidRPr="00196E92">
        <w:t xml:space="preserve">ll </w:t>
      </w:r>
      <w:r w:rsidR="009B4A99" w:rsidRPr="00196E92">
        <w:t xml:space="preserve">send a reply to </w:t>
      </w:r>
      <w:r w:rsidR="005F14C4" w:rsidRPr="00196E92">
        <w:t xml:space="preserve">the </w:t>
      </w:r>
      <w:r w:rsidR="009B4A99" w:rsidRPr="00196E92">
        <w:t xml:space="preserve">owner/manager with the results of the stock screening and close the screening request.  When </w:t>
      </w:r>
      <w:r w:rsidR="00B27359" w:rsidRPr="00196E92">
        <w:t>materiel</w:t>
      </w:r>
      <w:r w:rsidR="009B4A99" w:rsidRPr="00196E92">
        <w:t xml:space="preserve"> is found matching the sc</w:t>
      </w:r>
      <w:r w:rsidR="00297F9E" w:rsidRPr="00196E92">
        <w:t xml:space="preserve">reening criteria, the reply </w:t>
      </w:r>
      <w:r w:rsidR="00305917" w:rsidRPr="00196E92">
        <w:t>wi</w:t>
      </w:r>
      <w:r w:rsidR="00297F9E" w:rsidRPr="00196E92">
        <w:t>ll</w:t>
      </w:r>
      <w:r w:rsidR="009B4A99" w:rsidRPr="00196E92">
        <w:t xml:space="preserve"> specify the quantity and condition of the </w:t>
      </w:r>
      <w:r w:rsidR="00B27359" w:rsidRPr="00196E92">
        <w:t>materiel</w:t>
      </w:r>
      <w:r w:rsidR="009B4A99" w:rsidRPr="00196E92">
        <w:t>.  Depending upon the results of the screening, the reply may indicate that a</w:t>
      </w:r>
      <w:r w:rsidR="00594723" w:rsidRPr="00196E92">
        <w:t>n</w:t>
      </w:r>
      <w:r w:rsidR="009B4A99" w:rsidRPr="00196E92">
        <w:t xml:space="preserve"> SQCR will follow.</w:t>
      </w:r>
    </w:p>
    <w:p w14:paraId="30D7FB3D" w14:textId="3598B6C7" w:rsidR="00FB0E4F" w:rsidRPr="00196E92" w:rsidRDefault="00A4583E" w:rsidP="007A1953">
      <w:pPr>
        <w:pStyle w:val="Heading3"/>
      </w:pPr>
      <w:r w:rsidRPr="00196E92">
        <w:tab/>
      </w:r>
      <w:r w:rsidR="003A49F9" w:rsidRPr="00196E92">
        <w:t>C21.3.5</w:t>
      </w:r>
      <w:r w:rsidR="00947AA6" w:rsidRPr="00196E92">
        <w:t>.</w:t>
      </w:r>
      <w:r w:rsidR="003A49F9" w:rsidRPr="00196E92">
        <w:t xml:space="preserve">  </w:t>
      </w:r>
      <w:r w:rsidR="007F339C" w:rsidRPr="00196E92">
        <w:t xml:space="preserve">No screening reply is prepared by information stock screening request recipients. This is true regardless of the results of the screening.  However, if defective </w:t>
      </w:r>
      <w:r w:rsidR="00B27359" w:rsidRPr="00196E92">
        <w:t>materiel</w:t>
      </w:r>
      <w:r w:rsidR="007F339C" w:rsidRPr="00196E92">
        <w:t xml:space="preserve"> is located at a storage activity receiving only an information copy, a</w:t>
      </w:r>
      <w:r w:rsidR="00594723" w:rsidRPr="00196E92">
        <w:t>n</w:t>
      </w:r>
      <w:r w:rsidR="007F339C" w:rsidRPr="00196E92">
        <w:t xml:space="preserve"> SQCR may be prepared for the </w:t>
      </w:r>
      <w:r w:rsidR="00B27359" w:rsidRPr="00196E92">
        <w:t>materiel</w:t>
      </w:r>
      <w:r w:rsidR="007F339C" w:rsidRPr="00196E92">
        <w:t xml:space="preserve"> owner following guidance below.</w:t>
      </w:r>
    </w:p>
    <w:p w14:paraId="30D7FB3E" w14:textId="5A637117" w:rsidR="007F339C" w:rsidRPr="00196E92" w:rsidRDefault="00A4583E" w:rsidP="007A1953">
      <w:pPr>
        <w:pStyle w:val="Heading3"/>
        <w:rPr>
          <w:rFonts w:eastAsia="Calibri"/>
        </w:rPr>
      </w:pPr>
      <w:r w:rsidRPr="00196E92">
        <w:tab/>
      </w:r>
      <w:r w:rsidR="003A49F9" w:rsidRPr="00196E92">
        <w:t>C21.3.6</w:t>
      </w:r>
      <w:r w:rsidR="00947AA6" w:rsidRPr="00196E92">
        <w:t>.</w:t>
      </w:r>
      <w:r w:rsidR="003A49F9" w:rsidRPr="00196E92">
        <w:t xml:space="preserve">  </w:t>
      </w:r>
      <w:r w:rsidR="007F339C" w:rsidRPr="00196E92">
        <w:rPr>
          <w:bCs/>
          <w:u w:val="single"/>
        </w:rPr>
        <w:t>Detailed Requirements</w:t>
      </w:r>
      <w:r w:rsidR="007F339C" w:rsidRPr="00196E92">
        <w:rPr>
          <w:bCs/>
        </w:rPr>
        <w:t xml:space="preserve">.  </w:t>
      </w:r>
      <w:r w:rsidR="007F339C" w:rsidRPr="00196E92">
        <w:t xml:space="preserve">The owner/manager preparing </w:t>
      </w:r>
      <w:r w:rsidR="00297F9E" w:rsidRPr="00196E92">
        <w:t xml:space="preserve">the stock screening request </w:t>
      </w:r>
      <w:r w:rsidR="00305917" w:rsidRPr="00196E92">
        <w:t>wi</w:t>
      </w:r>
      <w:r w:rsidR="00297F9E" w:rsidRPr="00196E92">
        <w:t>ll</w:t>
      </w:r>
      <w:r w:rsidR="007F339C" w:rsidRPr="00196E92">
        <w:t xml:space="preserve"> assign a suspense date based on the inspection type.  The owner/manager </w:t>
      </w:r>
      <w:r w:rsidR="00B76010" w:rsidRPr="00196E92">
        <w:t>wil</w:t>
      </w:r>
      <w:r w:rsidR="005F14C4" w:rsidRPr="00196E92">
        <w:t xml:space="preserve">l </w:t>
      </w:r>
      <w:r w:rsidR="007F339C" w:rsidRPr="00196E92">
        <w:t xml:space="preserve">specify screening criteria as appropriate.  Only one </w:t>
      </w:r>
      <w:r w:rsidR="007A1953" w:rsidRPr="00196E92">
        <w:t>procurement instrument identifier (PIID)</w:t>
      </w:r>
      <w:r w:rsidR="007A1953" w:rsidRPr="00196E92">
        <w:rPr>
          <w:rStyle w:val="FootnoteReference"/>
        </w:rPr>
        <w:footnoteReference w:id="3"/>
      </w:r>
      <w:r w:rsidR="007A1953" w:rsidRPr="00196E92">
        <w:t xml:space="preserve"> </w:t>
      </w:r>
      <w:r w:rsidR="007F339C" w:rsidRPr="00196E92">
        <w:t>(optionally i</w:t>
      </w:r>
      <w:r w:rsidR="00305917" w:rsidRPr="00196E92">
        <w:t xml:space="preserve">ncluding CLIN) or vendor </w:t>
      </w:r>
      <w:r w:rsidR="007F339C" w:rsidRPr="00196E92">
        <w:t>may be specified per request.</w:t>
      </w:r>
      <w:r w:rsidR="007A1953" w:rsidRPr="00196E92">
        <w:t xml:space="preserve">  </w:t>
      </w:r>
      <w:r w:rsidR="007A1953" w:rsidRPr="00196E92">
        <w:rPr>
          <w:szCs w:val="24"/>
        </w:rPr>
        <w:t>When a PIID call/order number (F in 9th position) is used, provide the value in the PIID field.</w:t>
      </w:r>
      <w:r w:rsidR="007F339C" w:rsidRPr="00196E92">
        <w:t xml:space="preserve">  The </w:t>
      </w:r>
      <w:r w:rsidR="00B27359" w:rsidRPr="00196E92">
        <w:t>materiel</w:t>
      </w:r>
      <w:r w:rsidR="007F339C" w:rsidRPr="00196E92">
        <w:t xml:space="preserve"> owner/manager may specify up to five </w:t>
      </w:r>
      <w:r w:rsidR="005F14C4" w:rsidRPr="00196E92">
        <w:t>CAGE/</w:t>
      </w:r>
      <w:r w:rsidR="007F339C" w:rsidRPr="00196E92">
        <w:t xml:space="preserve">part number </w:t>
      </w:r>
      <w:r w:rsidR="001E2418" w:rsidRPr="00196E92">
        <w:t xml:space="preserve">or batch/lot number </w:t>
      </w:r>
      <w:r w:rsidR="007F339C" w:rsidRPr="00196E92">
        <w:t xml:space="preserve">combinations associated with an NSN, </w:t>
      </w:r>
      <w:r w:rsidR="001E2418" w:rsidRPr="00196E92">
        <w:t>(</w:t>
      </w:r>
      <w:r w:rsidR="007F339C" w:rsidRPr="00196E92">
        <w:t>e.g., for CSI inspections</w:t>
      </w:r>
      <w:r w:rsidR="001E2418" w:rsidRPr="00196E92">
        <w:t>)</w:t>
      </w:r>
      <w:r w:rsidR="007F339C" w:rsidRPr="00196E92">
        <w:t xml:space="preserve">.  The owner/manager </w:t>
      </w:r>
      <w:r w:rsidR="001E2418" w:rsidRPr="00196E92">
        <w:t>wil</w:t>
      </w:r>
      <w:r w:rsidR="00AE4B61" w:rsidRPr="00196E92">
        <w:t xml:space="preserve">l </w:t>
      </w:r>
      <w:r w:rsidR="007F339C" w:rsidRPr="00196E92">
        <w:t xml:space="preserve">assign </w:t>
      </w:r>
      <w:r w:rsidR="008635F1" w:rsidRPr="00196E92">
        <w:t xml:space="preserve">an internal reference number for identification of the stock screening request, that may be used to associate the request with the triggering event. </w:t>
      </w:r>
      <w:r w:rsidR="00586C10" w:rsidRPr="00196E92">
        <w:t xml:space="preserve"> </w:t>
      </w:r>
      <w:r w:rsidR="008635F1" w:rsidRPr="00196E92">
        <w:t xml:space="preserve">This reference number may be systemically assigned and will be perpetuated to the stock screening reply and any resulting SQCRs. </w:t>
      </w:r>
      <w:r w:rsidR="00586C10" w:rsidRPr="00196E92">
        <w:t xml:space="preserve"> </w:t>
      </w:r>
      <w:r w:rsidR="008635F1" w:rsidRPr="00196E92">
        <w:t xml:space="preserve">A document number is required to ensure a DoD-wide unique control number. </w:t>
      </w:r>
      <w:r w:rsidR="00586C10" w:rsidRPr="00196E92">
        <w:t xml:space="preserve"> </w:t>
      </w:r>
      <w:r w:rsidR="008635F1" w:rsidRPr="00196E92">
        <w:t xml:space="preserve">Both the stock screening reference number and the document number must be included in all transactions. </w:t>
      </w:r>
      <w:r w:rsidR="00586C10" w:rsidRPr="00196E92">
        <w:t xml:space="preserve"> </w:t>
      </w:r>
      <w:r w:rsidR="008635F1" w:rsidRPr="00196E92">
        <w:t>In addition, when applicable, the Product Quality Deficiency Report (PQDR) report control number (RCN) or the SDR document number will be included to provide a cross reference when the screening action is triggered by a PQDR or SDR.</w:t>
      </w:r>
    </w:p>
    <w:p w14:paraId="4DF707BA" w14:textId="1557D0BB" w:rsidR="00582D34" w:rsidRPr="00196E92" w:rsidRDefault="00CD4EA6" w:rsidP="007A1953">
      <w:pPr>
        <w:pStyle w:val="Style1"/>
      </w:pPr>
      <w:r w:rsidRPr="00196E92">
        <w:tab/>
      </w:r>
      <w:r w:rsidRPr="00196E92">
        <w:tab/>
      </w:r>
      <w:r w:rsidR="00703F63" w:rsidRPr="00196E92">
        <w:t>C21.3.6.1</w:t>
      </w:r>
      <w:r w:rsidR="00947AA6" w:rsidRPr="00196E92">
        <w:t>.</w:t>
      </w:r>
      <w:r w:rsidR="00703F63" w:rsidRPr="00196E92">
        <w:t xml:space="preserve"> </w:t>
      </w:r>
      <w:r w:rsidR="00975207" w:rsidRPr="00196E92">
        <w:t xml:space="preserve"> </w:t>
      </w:r>
      <w:r w:rsidR="00703F63" w:rsidRPr="00196E92">
        <w:rPr>
          <w:u w:val="single"/>
        </w:rPr>
        <w:t>Receipt Restriction</w:t>
      </w:r>
      <w:r w:rsidR="00703F63" w:rsidRPr="00196E92">
        <w:t>.  During Stock Screening Request creation, the owner/manager is required to identify if a receipt restriction is needed to identify and suspend materiel matching the screening criteria during receipt.</w:t>
      </w:r>
      <w:r w:rsidR="00703F63" w:rsidRPr="00196E92">
        <w:rPr>
          <w:vertAlign w:val="superscript"/>
        </w:rPr>
        <w:footnoteReference w:id="4"/>
      </w:r>
      <w:r w:rsidR="00703F63" w:rsidRPr="00196E92">
        <w:t xml:space="preserve">  If a receipt restriction is needed, the owner/manager will have the option to provide an expiration date of the receipt restriction.  If an expiration date is not provided, the storage activity must be contacted to modify or delete receipt restrictions.  Suspended materiel identified through </w:t>
      </w:r>
      <w:r w:rsidR="00703F63" w:rsidRPr="00196E92">
        <w:lastRenderedPageBreak/>
        <w:t>the receipt restriction will be reported to the owner via SDR receipt notification under Chapter 17 pending enhanced procedures to notify both the owner and the manager.</w:t>
      </w:r>
      <w:r w:rsidR="00703F63" w:rsidRPr="00196E92">
        <w:rPr>
          <w:vertAlign w:val="superscript"/>
        </w:rPr>
        <w:footnoteReference w:id="5"/>
      </w:r>
      <w:r w:rsidR="00703F63" w:rsidRPr="00196E92">
        <w:t xml:space="preserve"> </w:t>
      </w:r>
      <w:r w:rsidR="00703F63" w:rsidRPr="00196E92">
        <w:tab/>
      </w:r>
    </w:p>
    <w:p w14:paraId="7027DEA8" w14:textId="42CE4E13" w:rsidR="00703F63" w:rsidRPr="00196E92" w:rsidRDefault="00CD4EA6" w:rsidP="007A1953">
      <w:pPr>
        <w:pStyle w:val="Heading3"/>
      </w:pPr>
      <w:r w:rsidRPr="00196E92">
        <w:tab/>
      </w:r>
      <w:r w:rsidR="00911A25" w:rsidRPr="00196E92">
        <w:tab/>
      </w:r>
      <w:r w:rsidR="007F339C" w:rsidRPr="00196E92">
        <w:t>C21.3.</w:t>
      </w:r>
      <w:r w:rsidR="00703F63" w:rsidRPr="00196E92">
        <w:t>6.2</w:t>
      </w:r>
      <w:r w:rsidR="007F339C" w:rsidRPr="00196E92">
        <w:t xml:space="preserve">.  </w:t>
      </w:r>
      <w:r w:rsidR="009E793F" w:rsidRPr="00196E92">
        <w:rPr>
          <w:u w:val="single"/>
        </w:rPr>
        <w:t>Inspection Types</w:t>
      </w:r>
      <w:r w:rsidR="009E793F" w:rsidRPr="00196E92">
        <w:t>.</w:t>
      </w:r>
      <w:r w:rsidR="006E4401" w:rsidRPr="00196E92">
        <w:rPr>
          <w:rStyle w:val="FootnoteReference"/>
        </w:rPr>
        <w:footnoteReference w:id="6"/>
      </w:r>
      <w:r w:rsidR="009E793F" w:rsidRPr="00196E92">
        <w:t xml:space="preserve"> </w:t>
      </w:r>
      <w:r w:rsidR="003B48B1" w:rsidRPr="00196E92">
        <w:t xml:space="preserve"> </w:t>
      </w:r>
      <w:r w:rsidR="009E793F" w:rsidRPr="00196E92">
        <w:t>Stock screening requests may be prepared for the</w:t>
      </w:r>
      <w:r w:rsidR="008F5A0C" w:rsidRPr="00196E92">
        <w:t xml:space="preserve"> </w:t>
      </w:r>
      <w:r w:rsidR="007A3A47" w:rsidRPr="00196E92">
        <w:t>inspection types</w:t>
      </w:r>
      <w:r w:rsidR="00703F63" w:rsidRPr="00196E92">
        <w:t xml:space="preserve"> listed in Table C21</w:t>
      </w:r>
      <w:r w:rsidR="002E53E3" w:rsidRPr="00196E92">
        <w:t>.T1</w:t>
      </w:r>
      <w:r w:rsidR="00703F63" w:rsidRPr="00196E92">
        <w:t>.</w:t>
      </w:r>
      <w:r w:rsidR="007A3A47" w:rsidRPr="00196E92">
        <w:t xml:space="preserve"> </w:t>
      </w:r>
      <w:r w:rsidR="00703F63" w:rsidRPr="00196E92">
        <w:t xml:space="preserve"> </w:t>
      </w:r>
      <w:r w:rsidR="009E793F" w:rsidRPr="00196E92">
        <w:t>Inspection type is identified within the screening request and reply by the Type Inspection Code.</w:t>
      </w:r>
      <w:r w:rsidR="00703F63" w:rsidRPr="00196E92">
        <w:t xml:space="preserve">  The suspense date for completion of the screening action by the storage activity will be based upon the type of inspection reque</w:t>
      </w:r>
      <w:r w:rsidR="002E53E3" w:rsidRPr="00196E92">
        <w:t>sted per Table C21.T1.</w:t>
      </w:r>
    </w:p>
    <w:p w14:paraId="7F95FCC0" w14:textId="7575418E" w:rsidR="00EF2033" w:rsidRPr="00196E92" w:rsidRDefault="00EF2033" w:rsidP="00EF2033">
      <w:pPr>
        <w:pStyle w:val="Heading3"/>
        <w:jc w:val="center"/>
      </w:pPr>
      <w:r w:rsidRPr="00196E92">
        <w:t xml:space="preserve">Table C21.T1. </w:t>
      </w:r>
      <w:r w:rsidRPr="00196E92">
        <w:rPr>
          <w:u w:val="single"/>
        </w:rPr>
        <w:t>Type Inspection Code and Suspense Table</w:t>
      </w:r>
    </w:p>
    <w:tbl>
      <w:tblPr>
        <w:tblStyle w:val="TableGrid"/>
        <w:tblW w:w="9378" w:type="dxa"/>
        <w:jc w:val="center"/>
        <w:tblLook w:val="04A0" w:firstRow="1" w:lastRow="0" w:firstColumn="1" w:lastColumn="0" w:noHBand="0" w:noVBand="1"/>
        <w:tblCaption w:val="Table C21.T1. "/>
        <w:tblDescription w:val="Type Inspection Code and Suspense Table"/>
      </w:tblPr>
      <w:tblGrid>
        <w:gridCol w:w="1417"/>
        <w:gridCol w:w="2612"/>
        <w:gridCol w:w="3999"/>
        <w:gridCol w:w="1350"/>
      </w:tblGrid>
      <w:tr w:rsidR="00703F63" w:rsidRPr="00196E92" w14:paraId="7CC84FE1" w14:textId="77777777" w:rsidTr="00EF2033">
        <w:trPr>
          <w:trHeight w:val="674"/>
          <w:tblHeader/>
          <w:jc w:val="center"/>
        </w:trPr>
        <w:tc>
          <w:tcPr>
            <w:tcW w:w="1417" w:type="dxa"/>
            <w:tcBorders>
              <w:top w:val="single" w:sz="4" w:space="0" w:color="auto"/>
            </w:tcBorders>
          </w:tcPr>
          <w:p w14:paraId="5961ED4B" w14:textId="5796B2D0"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Type Inspection</w:t>
            </w:r>
            <w:r w:rsidR="00947AA6" w:rsidRPr="00196E92">
              <w:rPr>
                <w:rFonts w:cs="Arial"/>
                <w:szCs w:val="24"/>
              </w:rPr>
              <w:t xml:space="preserve"> </w:t>
            </w:r>
            <w:r w:rsidRPr="00196E92">
              <w:rPr>
                <w:rFonts w:cs="Arial"/>
                <w:szCs w:val="24"/>
              </w:rPr>
              <w:t>Code</w:t>
            </w:r>
          </w:p>
        </w:tc>
        <w:tc>
          <w:tcPr>
            <w:tcW w:w="2612" w:type="dxa"/>
            <w:tcBorders>
              <w:top w:val="single" w:sz="4" w:space="0" w:color="auto"/>
            </w:tcBorders>
          </w:tcPr>
          <w:p w14:paraId="1CD93183" w14:textId="26249BCD"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Definition</w:t>
            </w:r>
          </w:p>
        </w:tc>
        <w:tc>
          <w:tcPr>
            <w:tcW w:w="3999" w:type="dxa"/>
            <w:tcBorders>
              <w:top w:val="single" w:sz="4" w:space="0" w:color="auto"/>
            </w:tcBorders>
          </w:tcPr>
          <w:p w14:paraId="534D2B35" w14:textId="6579E176"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Usage</w:t>
            </w:r>
          </w:p>
        </w:tc>
        <w:tc>
          <w:tcPr>
            <w:tcW w:w="1350" w:type="dxa"/>
            <w:tcBorders>
              <w:top w:val="single" w:sz="4" w:space="0" w:color="auto"/>
            </w:tcBorders>
          </w:tcPr>
          <w:p w14:paraId="527F6812" w14:textId="77777777"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Storage Activity Suspense</w:t>
            </w:r>
          </w:p>
        </w:tc>
      </w:tr>
      <w:tr w:rsidR="00703F63" w:rsidRPr="00196E92" w14:paraId="03BFA06C" w14:textId="77777777" w:rsidTr="00EF2033">
        <w:trPr>
          <w:jc w:val="center"/>
        </w:trPr>
        <w:tc>
          <w:tcPr>
            <w:tcW w:w="1417" w:type="dxa"/>
          </w:tcPr>
          <w:p w14:paraId="2BAD66AC" w14:textId="77777777"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F</w:t>
            </w:r>
          </w:p>
        </w:tc>
        <w:tc>
          <w:tcPr>
            <w:tcW w:w="2612" w:type="dxa"/>
          </w:tcPr>
          <w:p w14:paraId="36489898"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 xml:space="preserve">Safety of Flight (SOF) </w:t>
            </w:r>
          </w:p>
        </w:tc>
        <w:tc>
          <w:tcPr>
            <w:tcW w:w="3999" w:type="dxa"/>
          </w:tcPr>
          <w:p w14:paraId="1A12DD55"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Special inspection of SOF materiel or Aviation Safety Action Message (ASAM)</w:t>
            </w:r>
          </w:p>
        </w:tc>
        <w:tc>
          <w:tcPr>
            <w:tcW w:w="1350" w:type="dxa"/>
          </w:tcPr>
          <w:p w14:paraId="60C1BEBF"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5 days</w:t>
            </w:r>
          </w:p>
        </w:tc>
      </w:tr>
      <w:tr w:rsidR="00703F63" w:rsidRPr="00196E92" w14:paraId="73751D40" w14:textId="77777777" w:rsidTr="00EF2033">
        <w:trPr>
          <w:jc w:val="center"/>
        </w:trPr>
        <w:tc>
          <w:tcPr>
            <w:tcW w:w="1417" w:type="dxa"/>
          </w:tcPr>
          <w:p w14:paraId="697A0C73" w14:textId="77777777"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P</w:t>
            </w:r>
          </w:p>
        </w:tc>
        <w:tc>
          <w:tcPr>
            <w:tcW w:w="2612" w:type="dxa"/>
          </w:tcPr>
          <w:p w14:paraId="0A3C80FB"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 xml:space="preserve">Special Inspection for Single Location </w:t>
            </w:r>
          </w:p>
        </w:tc>
        <w:tc>
          <w:tcPr>
            <w:tcW w:w="3999" w:type="dxa"/>
          </w:tcPr>
          <w:p w14:paraId="4E2CD18F"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Specific to one storage activity (for example, take pictures of materiel at specific location)</w:t>
            </w:r>
          </w:p>
        </w:tc>
        <w:tc>
          <w:tcPr>
            <w:tcW w:w="1350" w:type="dxa"/>
          </w:tcPr>
          <w:p w14:paraId="28703384"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15 days</w:t>
            </w:r>
          </w:p>
        </w:tc>
      </w:tr>
      <w:tr w:rsidR="00703F63" w:rsidRPr="00196E92" w14:paraId="7083F73C" w14:textId="77777777" w:rsidTr="00EF2033">
        <w:trPr>
          <w:jc w:val="center"/>
        </w:trPr>
        <w:tc>
          <w:tcPr>
            <w:tcW w:w="1417" w:type="dxa"/>
          </w:tcPr>
          <w:p w14:paraId="6EF01955" w14:textId="77777777"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Q</w:t>
            </w:r>
          </w:p>
        </w:tc>
        <w:tc>
          <w:tcPr>
            <w:tcW w:w="2612" w:type="dxa"/>
          </w:tcPr>
          <w:p w14:paraId="0C08C01A"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 xml:space="preserve">Quality Related </w:t>
            </w:r>
          </w:p>
        </w:tc>
        <w:tc>
          <w:tcPr>
            <w:tcW w:w="3999" w:type="dxa"/>
          </w:tcPr>
          <w:p w14:paraId="46BE606A"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Applicable to screening subsequent to PQDR or SDR</w:t>
            </w:r>
          </w:p>
        </w:tc>
        <w:tc>
          <w:tcPr>
            <w:tcW w:w="1350" w:type="dxa"/>
          </w:tcPr>
          <w:p w14:paraId="10859A7A"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15 days</w:t>
            </w:r>
          </w:p>
        </w:tc>
      </w:tr>
      <w:tr w:rsidR="00703F63" w:rsidRPr="00196E92" w14:paraId="791DD913" w14:textId="77777777" w:rsidTr="00EF2033">
        <w:trPr>
          <w:jc w:val="center"/>
        </w:trPr>
        <w:tc>
          <w:tcPr>
            <w:tcW w:w="1417" w:type="dxa"/>
          </w:tcPr>
          <w:p w14:paraId="11B0AC7D" w14:textId="77777777"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R</w:t>
            </w:r>
          </w:p>
        </w:tc>
        <w:tc>
          <w:tcPr>
            <w:tcW w:w="2612" w:type="dxa"/>
          </w:tcPr>
          <w:p w14:paraId="41D5FC45"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Reimbursable</w:t>
            </w:r>
          </w:p>
        </w:tc>
        <w:tc>
          <w:tcPr>
            <w:tcW w:w="3999" w:type="dxa"/>
          </w:tcPr>
          <w:p w14:paraId="493BBA22"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Reimbursable special inspection.  Goes to all DLA Distribution storage locations (action copy to those known to have materiel in stock and info copy to all others)</w:t>
            </w:r>
          </w:p>
        </w:tc>
        <w:tc>
          <w:tcPr>
            <w:tcW w:w="1350" w:type="dxa"/>
          </w:tcPr>
          <w:p w14:paraId="136086BE"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30 days</w:t>
            </w:r>
          </w:p>
        </w:tc>
      </w:tr>
      <w:tr w:rsidR="00703F63" w:rsidRPr="00196E92" w14:paraId="112A967D" w14:textId="77777777" w:rsidTr="00EF2033">
        <w:trPr>
          <w:jc w:val="center"/>
        </w:trPr>
        <w:tc>
          <w:tcPr>
            <w:tcW w:w="1417" w:type="dxa"/>
          </w:tcPr>
          <w:p w14:paraId="091D94A2" w14:textId="77777777"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U</w:t>
            </w:r>
          </w:p>
        </w:tc>
        <w:tc>
          <w:tcPr>
            <w:tcW w:w="2612" w:type="dxa"/>
          </w:tcPr>
          <w:p w14:paraId="4EDBBF87"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Safety of Use (SOU)</w:t>
            </w:r>
          </w:p>
        </w:tc>
        <w:tc>
          <w:tcPr>
            <w:tcW w:w="3999" w:type="dxa"/>
          </w:tcPr>
          <w:p w14:paraId="5F4F6C1E"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Special inspection of SOU materiel</w:t>
            </w:r>
          </w:p>
        </w:tc>
        <w:tc>
          <w:tcPr>
            <w:tcW w:w="1350" w:type="dxa"/>
          </w:tcPr>
          <w:p w14:paraId="04F39F15"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5 days</w:t>
            </w:r>
          </w:p>
        </w:tc>
      </w:tr>
      <w:tr w:rsidR="00703F63" w:rsidRPr="00196E92" w14:paraId="4BD993F6" w14:textId="77777777" w:rsidTr="00EF2033">
        <w:trPr>
          <w:jc w:val="center"/>
        </w:trPr>
        <w:tc>
          <w:tcPr>
            <w:tcW w:w="1417" w:type="dxa"/>
          </w:tcPr>
          <w:p w14:paraId="29DBF32E" w14:textId="77777777"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X</w:t>
            </w:r>
          </w:p>
        </w:tc>
        <w:tc>
          <w:tcPr>
            <w:tcW w:w="2612" w:type="dxa"/>
          </w:tcPr>
          <w:p w14:paraId="760D0745"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Critical Safety Item (CSI)</w:t>
            </w:r>
          </w:p>
        </w:tc>
        <w:tc>
          <w:tcPr>
            <w:tcW w:w="3999" w:type="dxa"/>
          </w:tcPr>
          <w:p w14:paraId="6CDCE0EB"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 xml:space="preserve">Special inspection of CSI materiel </w:t>
            </w:r>
          </w:p>
        </w:tc>
        <w:tc>
          <w:tcPr>
            <w:tcW w:w="1350" w:type="dxa"/>
          </w:tcPr>
          <w:p w14:paraId="70AD8523"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5 days</w:t>
            </w:r>
          </w:p>
        </w:tc>
      </w:tr>
      <w:tr w:rsidR="00703F63" w:rsidRPr="00196E92" w14:paraId="2463B9E2" w14:textId="77777777" w:rsidTr="00EF2033">
        <w:trPr>
          <w:jc w:val="center"/>
        </w:trPr>
        <w:tc>
          <w:tcPr>
            <w:tcW w:w="1417" w:type="dxa"/>
          </w:tcPr>
          <w:p w14:paraId="750E3522" w14:textId="77777777" w:rsidR="00703F63" w:rsidRPr="00196E92" w:rsidRDefault="00703F63"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Z</w:t>
            </w:r>
          </w:p>
        </w:tc>
        <w:tc>
          <w:tcPr>
            <w:tcW w:w="2612" w:type="dxa"/>
          </w:tcPr>
          <w:p w14:paraId="3D19415A"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Suspect counterfeit</w:t>
            </w:r>
          </w:p>
        </w:tc>
        <w:tc>
          <w:tcPr>
            <w:tcW w:w="3999" w:type="dxa"/>
          </w:tcPr>
          <w:p w14:paraId="0CECF809"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Inspection triggered by suspected counterfeit materiel/unauthorized product substitution (CMUPS)</w:t>
            </w:r>
          </w:p>
        </w:tc>
        <w:tc>
          <w:tcPr>
            <w:tcW w:w="1350" w:type="dxa"/>
          </w:tcPr>
          <w:p w14:paraId="79F418AE" w14:textId="77777777" w:rsidR="00703F63" w:rsidRPr="00196E92" w:rsidRDefault="00703F63"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15 days</w:t>
            </w:r>
          </w:p>
        </w:tc>
      </w:tr>
    </w:tbl>
    <w:p w14:paraId="30D7FB40" w14:textId="799D6A9A" w:rsidR="007A674F" w:rsidRPr="00196E92" w:rsidRDefault="00911A25" w:rsidP="00E904BD">
      <w:pPr>
        <w:pStyle w:val="Heading3"/>
        <w:keepNext/>
      </w:pPr>
      <w:r w:rsidRPr="00196E92">
        <w:tab/>
      </w:r>
      <w:r w:rsidRPr="00196E92">
        <w:tab/>
      </w:r>
      <w:r w:rsidR="009E793F" w:rsidRPr="00196E92">
        <w:t>C21.3.</w:t>
      </w:r>
      <w:r w:rsidR="006E4401" w:rsidRPr="00196E92">
        <w:t>6.3</w:t>
      </w:r>
      <w:r w:rsidR="009E793F" w:rsidRPr="00196E92">
        <w:t>.  The owner/manager request format performs four functions:</w:t>
      </w:r>
    </w:p>
    <w:p w14:paraId="30D7FB41" w14:textId="04B2B84A" w:rsidR="00004844" w:rsidRPr="00196E92" w:rsidRDefault="00004844" w:rsidP="007A1953">
      <w:pPr>
        <w:pStyle w:val="Heading3"/>
      </w:pPr>
      <w:r w:rsidRPr="00196E92">
        <w:tab/>
      </w:r>
      <w:r w:rsidRPr="00196E92">
        <w:tab/>
      </w:r>
      <w:r w:rsidR="006E4401" w:rsidRPr="00196E92">
        <w:tab/>
      </w:r>
      <w:r w:rsidRPr="00196E92">
        <w:t>C21.3.</w:t>
      </w:r>
      <w:r w:rsidR="006E4401" w:rsidRPr="00196E92">
        <w:t>6</w:t>
      </w:r>
      <w:r w:rsidRPr="00196E92">
        <w:t>.</w:t>
      </w:r>
      <w:r w:rsidR="006E4401" w:rsidRPr="00196E92">
        <w:t>3.</w:t>
      </w:r>
      <w:r w:rsidRPr="00196E92">
        <w:t xml:space="preserve">1.  </w:t>
      </w:r>
      <w:r w:rsidRPr="00196E92">
        <w:rPr>
          <w:u w:val="single"/>
        </w:rPr>
        <w:t>Stock Screen</w:t>
      </w:r>
      <w:r w:rsidR="007A3A47" w:rsidRPr="00196E92">
        <w:rPr>
          <w:u w:val="single"/>
        </w:rPr>
        <w:t>ing</w:t>
      </w:r>
      <w:r w:rsidRPr="00196E92">
        <w:rPr>
          <w:u w:val="single"/>
        </w:rPr>
        <w:t xml:space="preserve"> Request for Action</w:t>
      </w:r>
      <w:r w:rsidRPr="00196E92">
        <w:t xml:space="preserve">.  This is the basic request sent to storage locations where </w:t>
      </w:r>
      <w:r w:rsidR="00B27359" w:rsidRPr="00196E92">
        <w:t>materiel</w:t>
      </w:r>
      <w:r w:rsidRPr="00196E92">
        <w:t xml:space="preserve"> matching screening criteria is known to be held.</w:t>
      </w:r>
    </w:p>
    <w:p w14:paraId="30D7FB42" w14:textId="580FBDB5" w:rsidR="00004844" w:rsidRPr="00196E92" w:rsidRDefault="009D7C92" w:rsidP="006D4746">
      <w:pPr>
        <w:tabs>
          <w:tab w:val="left" w:pos="547"/>
          <w:tab w:val="left" w:pos="1080"/>
          <w:tab w:val="left" w:pos="1627"/>
          <w:tab w:val="left" w:pos="2232"/>
          <w:tab w:val="left" w:pos="2707"/>
          <w:tab w:val="left" w:pos="3240"/>
        </w:tabs>
        <w:spacing w:after="240"/>
        <w:rPr>
          <w:rFonts w:cs="Arial"/>
        </w:rPr>
      </w:pPr>
      <w:r w:rsidRPr="00196E92">
        <w:rPr>
          <w:rFonts w:cs="Arial"/>
        </w:rPr>
        <w:lastRenderedPageBreak/>
        <w:tab/>
      </w:r>
      <w:r w:rsidRPr="00196E92">
        <w:rPr>
          <w:rFonts w:cs="Arial"/>
        </w:rPr>
        <w:tab/>
      </w:r>
      <w:r w:rsidRPr="00196E92">
        <w:rPr>
          <w:rFonts w:cs="Arial"/>
        </w:rPr>
        <w:tab/>
      </w:r>
      <w:r w:rsidR="00004844" w:rsidRPr="00196E92">
        <w:rPr>
          <w:rFonts w:cs="Arial"/>
        </w:rPr>
        <w:t>C21.3.</w:t>
      </w:r>
      <w:r w:rsidR="00B8263F" w:rsidRPr="00196E92">
        <w:rPr>
          <w:rFonts w:cs="Arial"/>
        </w:rPr>
        <w:t>6</w:t>
      </w:r>
      <w:r w:rsidR="00004844" w:rsidRPr="00196E92">
        <w:rPr>
          <w:rFonts w:cs="Arial"/>
        </w:rPr>
        <w:t>.</w:t>
      </w:r>
      <w:r w:rsidR="00B8263F" w:rsidRPr="00196E92">
        <w:rPr>
          <w:rFonts w:cs="Arial"/>
        </w:rPr>
        <w:t>3.2</w:t>
      </w:r>
      <w:r w:rsidR="00004844" w:rsidRPr="00196E92">
        <w:rPr>
          <w:rFonts w:cs="Arial"/>
        </w:rPr>
        <w:t xml:space="preserve">.  </w:t>
      </w:r>
      <w:r w:rsidR="00004844" w:rsidRPr="00196E92">
        <w:rPr>
          <w:rFonts w:cs="Arial"/>
          <w:bCs/>
          <w:u w:val="single"/>
        </w:rPr>
        <w:t>Informational Stock Screening</w:t>
      </w:r>
      <w:r w:rsidR="00004844" w:rsidRPr="00196E92">
        <w:rPr>
          <w:rFonts w:cs="Arial"/>
        </w:rPr>
        <w:t xml:space="preserve">.  This is sent to storage locations where </w:t>
      </w:r>
      <w:r w:rsidR="00B27359" w:rsidRPr="00196E92">
        <w:rPr>
          <w:rFonts w:cs="Arial"/>
        </w:rPr>
        <w:t>materiel</w:t>
      </w:r>
      <w:r w:rsidR="00004844" w:rsidRPr="00196E92">
        <w:rPr>
          <w:rFonts w:cs="Arial"/>
        </w:rPr>
        <w:t xml:space="preserve"> matching screening criteria is not known to be held, but which may hold such </w:t>
      </w:r>
      <w:r w:rsidR="00B27359" w:rsidRPr="00196E92">
        <w:rPr>
          <w:rFonts w:cs="Arial"/>
        </w:rPr>
        <w:t>materiel</w:t>
      </w:r>
      <w:r w:rsidR="00004844" w:rsidRPr="00196E92">
        <w:rPr>
          <w:rFonts w:cs="Arial"/>
        </w:rPr>
        <w:t xml:space="preserve"> owned by other organizations.</w:t>
      </w:r>
    </w:p>
    <w:p w14:paraId="30D7FB43" w14:textId="764A7081" w:rsidR="00004844" w:rsidRPr="00196E92" w:rsidRDefault="00004844"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00B8263F" w:rsidRPr="00196E92">
        <w:rPr>
          <w:rFonts w:cs="Arial"/>
        </w:rPr>
        <w:tab/>
      </w:r>
      <w:r w:rsidR="00DB6BE5" w:rsidRPr="00196E92">
        <w:rPr>
          <w:rFonts w:cs="Arial"/>
        </w:rPr>
        <w:t>C21.</w:t>
      </w:r>
      <w:r w:rsidRPr="00196E92">
        <w:rPr>
          <w:rFonts w:cs="Arial"/>
        </w:rPr>
        <w:t>3.</w:t>
      </w:r>
      <w:r w:rsidR="00B8263F" w:rsidRPr="00196E92">
        <w:rPr>
          <w:rFonts w:cs="Arial"/>
        </w:rPr>
        <w:t>6</w:t>
      </w:r>
      <w:r w:rsidRPr="00196E92">
        <w:rPr>
          <w:rFonts w:cs="Arial"/>
        </w:rPr>
        <w:t>.3.</w:t>
      </w:r>
      <w:r w:rsidR="00B8263F" w:rsidRPr="00196E92">
        <w:rPr>
          <w:rFonts w:cs="Arial"/>
        </w:rPr>
        <w:t>3.</w:t>
      </w:r>
      <w:r w:rsidRPr="00196E92">
        <w:rPr>
          <w:rFonts w:cs="Arial"/>
        </w:rPr>
        <w:t xml:space="preserve">  </w:t>
      </w:r>
      <w:r w:rsidR="00DB6BE5" w:rsidRPr="00196E92">
        <w:rPr>
          <w:rFonts w:cs="Arial"/>
          <w:bCs/>
          <w:u w:val="single"/>
        </w:rPr>
        <w:t>Cancellation</w:t>
      </w:r>
      <w:r w:rsidR="00DB6BE5" w:rsidRPr="00196E92">
        <w:rPr>
          <w:rFonts w:cs="Arial"/>
        </w:rPr>
        <w:t>.  This cancels a previously transmitted request.</w:t>
      </w:r>
    </w:p>
    <w:p w14:paraId="30D7FB44" w14:textId="79D5DDB7" w:rsidR="003450EB" w:rsidRPr="00196E92" w:rsidRDefault="00DB6BE5"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00B8263F" w:rsidRPr="00196E92">
        <w:rPr>
          <w:rFonts w:cs="Arial"/>
        </w:rPr>
        <w:tab/>
      </w:r>
      <w:r w:rsidRPr="00196E92">
        <w:rPr>
          <w:rFonts w:cs="Arial"/>
        </w:rPr>
        <w:t>C21.3.</w:t>
      </w:r>
      <w:r w:rsidR="00B8263F" w:rsidRPr="00196E92">
        <w:rPr>
          <w:rFonts w:cs="Arial"/>
        </w:rPr>
        <w:t>6.3</w:t>
      </w:r>
      <w:r w:rsidRPr="00196E92">
        <w:rPr>
          <w:rFonts w:cs="Arial"/>
        </w:rPr>
        <w:t xml:space="preserve">.4.  </w:t>
      </w:r>
      <w:r w:rsidRPr="00196E92">
        <w:rPr>
          <w:rFonts w:cs="Arial"/>
          <w:bCs/>
          <w:u w:val="single"/>
        </w:rPr>
        <w:t>Additional Comments</w:t>
      </w:r>
      <w:r w:rsidRPr="00196E92">
        <w:rPr>
          <w:rFonts w:cs="Arial"/>
          <w:bCs/>
        </w:rPr>
        <w:t xml:space="preserve">.  </w:t>
      </w:r>
      <w:r w:rsidRPr="00196E92">
        <w:rPr>
          <w:rFonts w:cs="Arial"/>
        </w:rPr>
        <w:t xml:space="preserve">This identifies a follow-on separate transmission </w:t>
      </w:r>
      <w:r w:rsidR="0095575E" w:rsidRPr="00196E92">
        <w:rPr>
          <w:rFonts w:cs="Arial"/>
        </w:rPr>
        <w:t>that</w:t>
      </w:r>
      <w:r w:rsidRPr="00196E92">
        <w:rPr>
          <w:rFonts w:cs="Arial"/>
        </w:rPr>
        <w:t xml:space="preserve"> provides clarification of the original request.</w:t>
      </w:r>
    </w:p>
    <w:p w14:paraId="30D7FB45" w14:textId="25E81318" w:rsidR="003450EB" w:rsidRPr="00196E92" w:rsidRDefault="003450EB" w:rsidP="006D4746">
      <w:pPr>
        <w:keepNext/>
        <w:keepLines/>
        <w:tabs>
          <w:tab w:val="left" w:pos="547"/>
          <w:tab w:val="left" w:pos="1080"/>
          <w:tab w:val="left" w:pos="1627"/>
          <w:tab w:val="left" w:pos="2232"/>
          <w:tab w:val="left" w:pos="2707"/>
          <w:tab w:val="left" w:pos="3240"/>
        </w:tabs>
        <w:spacing w:after="240"/>
        <w:rPr>
          <w:rFonts w:cs="Arial"/>
        </w:rPr>
      </w:pPr>
      <w:r w:rsidRPr="00196E92">
        <w:rPr>
          <w:rFonts w:cs="Arial"/>
        </w:rPr>
        <w:tab/>
        <w:t>C21.3.</w:t>
      </w:r>
      <w:r w:rsidR="00B8263F" w:rsidRPr="00196E92">
        <w:rPr>
          <w:rFonts w:cs="Arial"/>
        </w:rPr>
        <w:t>7</w:t>
      </w:r>
      <w:r w:rsidRPr="00196E92">
        <w:rPr>
          <w:rFonts w:cs="Arial"/>
        </w:rPr>
        <w:t>.  The storage location reply format performs five functions:</w:t>
      </w:r>
    </w:p>
    <w:p w14:paraId="30D7FB46" w14:textId="25208D53" w:rsidR="003450EB" w:rsidRPr="00196E92" w:rsidRDefault="003450EB" w:rsidP="006D4746">
      <w:pPr>
        <w:keepNext/>
        <w:keepLines/>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C21.3.</w:t>
      </w:r>
      <w:r w:rsidR="00B8263F" w:rsidRPr="00196E92">
        <w:rPr>
          <w:rFonts w:cs="Arial"/>
        </w:rPr>
        <w:t>7</w:t>
      </w:r>
      <w:r w:rsidRPr="00196E92">
        <w:rPr>
          <w:rFonts w:cs="Arial"/>
        </w:rPr>
        <w:t xml:space="preserve">.1.  </w:t>
      </w:r>
      <w:r w:rsidRPr="00196E92">
        <w:rPr>
          <w:rFonts w:cs="Arial"/>
          <w:bCs/>
          <w:u w:val="single"/>
        </w:rPr>
        <w:t>No Stock Found</w:t>
      </w:r>
      <w:r w:rsidRPr="00196E92">
        <w:rPr>
          <w:rFonts w:cs="Arial"/>
          <w:bCs/>
        </w:rPr>
        <w:t xml:space="preserve">. </w:t>
      </w:r>
      <w:r w:rsidR="008747E0" w:rsidRPr="00196E92">
        <w:rPr>
          <w:rFonts w:cs="Arial"/>
          <w:bCs/>
        </w:rPr>
        <w:t xml:space="preserve"> </w:t>
      </w:r>
      <w:r w:rsidRPr="00196E92">
        <w:rPr>
          <w:rFonts w:cs="Arial"/>
        </w:rPr>
        <w:t xml:space="preserve">Used by action </w:t>
      </w:r>
      <w:r w:rsidR="005F14C4" w:rsidRPr="00196E92">
        <w:rPr>
          <w:rFonts w:cs="Arial"/>
        </w:rPr>
        <w:t xml:space="preserve">storage activities </w:t>
      </w:r>
      <w:r w:rsidRPr="00196E92">
        <w:rPr>
          <w:rFonts w:cs="Arial"/>
        </w:rPr>
        <w:t xml:space="preserve">to inform the owner/manager that no </w:t>
      </w:r>
      <w:r w:rsidR="00B27359" w:rsidRPr="00196E92">
        <w:rPr>
          <w:rFonts w:cs="Arial"/>
        </w:rPr>
        <w:t>materiel</w:t>
      </w:r>
      <w:r w:rsidRPr="00196E92">
        <w:rPr>
          <w:rFonts w:cs="Arial"/>
        </w:rPr>
        <w:t xml:space="preserve"> matching the screening criteria was located.</w:t>
      </w:r>
    </w:p>
    <w:p w14:paraId="30D7FB47" w14:textId="1308DCAB" w:rsidR="008747E0" w:rsidRPr="00196E92" w:rsidRDefault="008747E0"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C21.3.</w:t>
      </w:r>
      <w:r w:rsidR="00B8263F" w:rsidRPr="00196E92">
        <w:rPr>
          <w:rFonts w:cs="Arial"/>
        </w:rPr>
        <w:t>7</w:t>
      </w:r>
      <w:r w:rsidRPr="00196E92">
        <w:rPr>
          <w:rFonts w:cs="Arial"/>
        </w:rPr>
        <w:t xml:space="preserve">.2.  </w:t>
      </w:r>
      <w:r w:rsidRPr="00196E92">
        <w:rPr>
          <w:rFonts w:cs="Arial"/>
          <w:bCs/>
          <w:u w:val="single"/>
        </w:rPr>
        <w:t>Stock Screening Completed</w:t>
      </w:r>
      <w:r w:rsidRPr="00196E92">
        <w:rPr>
          <w:rFonts w:cs="Arial"/>
          <w:bCs/>
        </w:rPr>
        <w:t xml:space="preserve">.  </w:t>
      </w:r>
      <w:r w:rsidRPr="00196E92">
        <w:rPr>
          <w:rFonts w:cs="Arial"/>
        </w:rPr>
        <w:t xml:space="preserve">Used by action </w:t>
      </w:r>
      <w:r w:rsidR="0096420C" w:rsidRPr="00196E92">
        <w:rPr>
          <w:rFonts w:cs="Arial"/>
        </w:rPr>
        <w:t xml:space="preserve">storage activities </w:t>
      </w:r>
      <w:r w:rsidRPr="00196E92">
        <w:rPr>
          <w:rFonts w:cs="Arial"/>
        </w:rPr>
        <w:t>to inform the owner/manager that the stock screening action is complete and provide the results of the screening.</w:t>
      </w:r>
    </w:p>
    <w:p w14:paraId="30D7FB48" w14:textId="49B9D722" w:rsidR="008747E0" w:rsidRPr="00196E92" w:rsidRDefault="008747E0"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C21.3.</w:t>
      </w:r>
      <w:r w:rsidR="00B8263F" w:rsidRPr="00196E92">
        <w:rPr>
          <w:rFonts w:cs="Arial"/>
        </w:rPr>
        <w:t>7</w:t>
      </w:r>
      <w:r w:rsidRPr="00196E92">
        <w:rPr>
          <w:rFonts w:cs="Arial"/>
        </w:rPr>
        <w:t xml:space="preserve">.3.  </w:t>
      </w:r>
      <w:r w:rsidRPr="00196E92">
        <w:rPr>
          <w:rFonts w:cs="Arial"/>
          <w:bCs/>
          <w:u w:val="single"/>
        </w:rPr>
        <w:t>Interim Reply – Comments Provided</w:t>
      </w:r>
      <w:r w:rsidRPr="00196E92">
        <w:rPr>
          <w:rFonts w:cs="Arial"/>
          <w:bCs/>
        </w:rPr>
        <w:t xml:space="preserve">.  </w:t>
      </w:r>
      <w:r w:rsidRPr="00196E92">
        <w:rPr>
          <w:rFonts w:cs="Arial"/>
        </w:rPr>
        <w:t>This is used by exception when necessary to communicate with the owner/manager prior to completion of the screening action, e.g., to request additional time or clarification of the screening criteria.</w:t>
      </w:r>
    </w:p>
    <w:p w14:paraId="30D7FB49" w14:textId="18B9F307" w:rsidR="008747E0" w:rsidRPr="00196E92" w:rsidRDefault="008747E0"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C21.3.</w:t>
      </w:r>
      <w:r w:rsidR="00B8263F" w:rsidRPr="00196E92">
        <w:rPr>
          <w:rFonts w:cs="Arial"/>
        </w:rPr>
        <w:t>7</w:t>
      </w:r>
      <w:r w:rsidRPr="00196E92">
        <w:rPr>
          <w:rFonts w:cs="Arial"/>
        </w:rPr>
        <w:t xml:space="preserve">.4.  </w:t>
      </w:r>
      <w:r w:rsidRPr="00196E92">
        <w:rPr>
          <w:rFonts w:cs="Arial"/>
          <w:bCs/>
          <w:u w:val="single"/>
        </w:rPr>
        <w:t>Not Processed – Additional Comments Rejected</w:t>
      </w:r>
      <w:r w:rsidRPr="00196E92">
        <w:rPr>
          <w:rFonts w:cs="Arial"/>
          <w:bCs/>
        </w:rPr>
        <w:t xml:space="preserve">.  </w:t>
      </w:r>
      <w:r w:rsidRPr="00196E92">
        <w:rPr>
          <w:rFonts w:cs="Arial"/>
        </w:rPr>
        <w:t>This is used to provide notification that the additional comments from the owner/manager cannot be processed because the screening action has been completed and closed.</w:t>
      </w:r>
    </w:p>
    <w:p w14:paraId="30D7FB4A" w14:textId="7D31AB9A" w:rsidR="008747E0" w:rsidRPr="00196E92" w:rsidRDefault="008747E0"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C21.3.</w:t>
      </w:r>
      <w:r w:rsidR="00B8263F" w:rsidRPr="00196E92">
        <w:rPr>
          <w:rFonts w:cs="Arial"/>
        </w:rPr>
        <w:t>7</w:t>
      </w:r>
      <w:r w:rsidRPr="00196E92">
        <w:rPr>
          <w:rFonts w:cs="Arial"/>
        </w:rPr>
        <w:t xml:space="preserve">.5.  </w:t>
      </w:r>
      <w:r w:rsidRPr="00196E92">
        <w:rPr>
          <w:rFonts w:cs="Arial"/>
          <w:u w:val="single"/>
        </w:rPr>
        <w:t>Cancellation</w:t>
      </w:r>
      <w:r w:rsidRPr="00196E92">
        <w:rPr>
          <w:rFonts w:cs="Arial"/>
        </w:rPr>
        <w:t>.  This cancels a previously transmitted reply so that a corrected reply may be provided.</w:t>
      </w:r>
    </w:p>
    <w:p w14:paraId="30D7FB4B" w14:textId="777AE4BD" w:rsidR="00DB6BE5" w:rsidRPr="00196E92" w:rsidRDefault="008747E0" w:rsidP="00EF2033">
      <w:pPr>
        <w:tabs>
          <w:tab w:val="left" w:pos="547"/>
          <w:tab w:val="left" w:pos="1080"/>
          <w:tab w:val="left" w:pos="1627"/>
          <w:tab w:val="left" w:pos="2232"/>
          <w:tab w:val="left" w:pos="2707"/>
          <w:tab w:val="left" w:pos="3240"/>
        </w:tabs>
        <w:spacing w:after="240"/>
        <w:outlineLvl w:val="0"/>
        <w:rPr>
          <w:rFonts w:cs="Arial"/>
        </w:rPr>
      </w:pPr>
      <w:r w:rsidRPr="00196E92">
        <w:rPr>
          <w:rFonts w:cs="Arial"/>
        </w:rPr>
        <w:t xml:space="preserve">C21.4.  </w:t>
      </w:r>
      <w:r w:rsidR="00DE6E29" w:rsidRPr="00196E92">
        <w:rPr>
          <w:rFonts w:cs="Arial"/>
          <w:u w:val="single"/>
        </w:rPr>
        <w:t xml:space="preserve">STORAGE QUALITY CONTROL REPORT </w:t>
      </w:r>
      <w:r w:rsidR="00DE6E29" w:rsidRPr="00196E92">
        <w:rPr>
          <w:rFonts w:cs="Arial"/>
          <w:bCs/>
          <w:u w:val="single"/>
        </w:rPr>
        <w:t xml:space="preserve">PROCESS </w:t>
      </w:r>
      <w:r w:rsidRPr="00196E92">
        <w:rPr>
          <w:rFonts w:cs="Arial"/>
          <w:bCs/>
          <w:u w:val="single"/>
        </w:rPr>
        <w:t>OVERVIEW</w:t>
      </w:r>
      <w:r w:rsidRPr="00196E92">
        <w:rPr>
          <w:rFonts w:cs="Arial"/>
          <w:bCs/>
        </w:rPr>
        <w:t xml:space="preserve">.  </w:t>
      </w:r>
      <w:r w:rsidRPr="00196E92">
        <w:rPr>
          <w:rFonts w:cs="Arial"/>
        </w:rPr>
        <w:t xml:space="preserve">The SQCR is submitted by </w:t>
      </w:r>
      <w:r w:rsidR="0096420C" w:rsidRPr="00196E92">
        <w:rPr>
          <w:rFonts w:cs="Arial"/>
        </w:rPr>
        <w:t xml:space="preserve">storage </w:t>
      </w:r>
      <w:r w:rsidRPr="00196E92">
        <w:rPr>
          <w:rFonts w:cs="Arial"/>
        </w:rPr>
        <w:t>activities when changes in the condition of stocks are discovered during stock surveillance</w:t>
      </w:r>
      <w:r w:rsidR="0095575E" w:rsidRPr="00196E92">
        <w:rPr>
          <w:rFonts w:cs="Arial"/>
        </w:rPr>
        <w:t>,</w:t>
      </w:r>
      <w:r w:rsidRPr="00196E92">
        <w:rPr>
          <w:rFonts w:cs="Arial"/>
        </w:rPr>
        <w:t xml:space="preserve"> inspections/screening, or during distribution processes requiring stock inspection/screening.  The SQCR is forwarded to the </w:t>
      </w:r>
      <w:r w:rsidR="00B27359" w:rsidRPr="00196E92">
        <w:rPr>
          <w:rFonts w:cs="Arial"/>
        </w:rPr>
        <w:t>materiel</w:t>
      </w:r>
      <w:r w:rsidRPr="00196E92">
        <w:rPr>
          <w:rFonts w:cs="Arial"/>
        </w:rPr>
        <w:t xml:space="preserve"> owner to obtain disposition instructions, to include approval for reimbursable stock</w:t>
      </w:r>
      <w:r w:rsidR="00107D97" w:rsidRPr="00196E92">
        <w:rPr>
          <w:rFonts w:cs="Arial"/>
        </w:rPr>
        <w:t xml:space="preserve"> </w:t>
      </w:r>
      <w:r w:rsidRPr="00196E92">
        <w:rPr>
          <w:rFonts w:cs="Arial"/>
        </w:rPr>
        <w:t>readiness work, e.g. repair, repackaging, testing, etc.</w:t>
      </w:r>
    </w:p>
    <w:p w14:paraId="30D7FB4C" w14:textId="77777777" w:rsidR="00107D97" w:rsidRPr="00196E92" w:rsidRDefault="00107D97" w:rsidP="006D4746">
      <w:pPr>
        <w:tabs>
          <w:tab w:val="left" w:pos="547"/>
          <w:tab w:val="left" w:pos="1080"/>
          <w:tab w:val="left" w:pos="1627"/>
          <w:tab w:val="left" w:pos="2232"/>
          <w:tab w:val="left" w:pos="2707"/>
          <w:tab w:val="left" w:pos="3240"/>
        </w:tabs>
        <w:spacing w:after="240"/>
        <w:rPr>
          <w:rFonts w:cs="Arial"/>
        </w:rPr>
      </w:pPr>
      <w:r w:rsidRPr="00196E92">
        <w:rPr>
          <w:rFonts w:cs="Arial"/>
        </w:rPr>
        <w:tab/>
        <w:t>C21.4.1.  Triggers for preparation of the SQCR include:</w:t>
      </w:r>
    </w:p>
    <w:p w14:paraId="30D7FB4D" w14:textId="51A437B6" w:rsidR="00107D97" w:rsidRPr="00196E92" w:rsidRDefault="00107D97"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 xml:space="preserve">C21.4.1.1.  Changes to an unserviceable condition when it is determined that there may be contractor liability for unserviceability under the terms of warranty clauses or unserviceability is due to a latent </w:t>
      </w:r>
      <w:r w:rsidR="00BC4C7E" w:rsidRPr="00196E92">
        <w:rPr>
          <w:rFonts w:cs="Arial"/>
        </w:rPr>
        <w:t xml:space="preserve">quality </w:t>
      </w:r>
      <w:r w:rsidRPr="00196E92">
        <w:rPr>
          <w:rFonts w:cs="Arial"/>
        </w:rPr>
        <w:t xml:space="preserve">defect.  </w:t>
      </w:r>
      <w:r w:rsidR="00B27359" w:rsidRPr="00196E92">
        <w:rPr>
          <w:rFonts w:cs="Arial"/>
        </w:rPr>
        <w:t>Materiel</w:t>
      </w:r>
      <w:r w:rsidRPr="00196E92">
        <w:rPr>
          <w:rFonts w:cs="Arial"/>
        </w:rPr>
        <w:t xml:space="preserve"> in this condition </w:t>
      </w:r>
      <w:r w:rsidR="00BC4C7E" w:rsidRPr="00196E92">
        <w:rPr>
          <w:rFonts w:cs="Arial"/>
        </w:rPr>
        <w:t>must</w:t>
      </w:r>
      <w:r w:rsidR="0096420C" w:rsidRPr="00196E92">
        <w:rPr>
          <w:rFonts w:cs="Arial"/>
        </w:rPr>
        <w:t xml:space="preserve"> </w:t>
      </w:r>
      <w:r w:rsidRPr="00196E92">
        <w:rPr>
          <w:rFonts w:cs="Arial"/>
        </w:rPr>
        <w:t xml:space="preserve">be transferred to </w:t>
      </w:r>
      <w:r w:rsidR="0096420C" w:rsidRPr="00196E92">
        <w:rPr>
          <w:rFonts w:cs="Arial"/>
        </w:rPr>
        <w:t>SCC</w:t>
      </w:r>
      <w:r w:rsidRPr="00196E92">
        <w:rPr>
          <w:rFonts w:cs="Arial"/>
        </w:rPr>
        <w:t xml:space="preserve"> L (suspended litigation) pending negotiation with contractor(s) or receipt of disposition instructions.</w:t>
      </w:r>
    </w:p>
    <w:p w14:paraId="30D7FB4E" w14:textId="20F27B31" w:rsidR="00107D97" w:rsidRPr="00196E92" w:rsidRDefault="00107D97"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 xml:space="preserve">C21.4.1.2.  Transfers to </w:t>
      </w:r>
      <w:r w:rsidR="0096420C" w:rsidRPr="00196E92">
        <w:rPr>
          <w:rFonts w:cs="Arial"/>
        </w:rPr>
        <w:t>SCC</w:t>
      </w:r>
      <w:r w:rsidRPr="00196E92">
        <w:rPr>
          <w:rFonts w:cs="Arial"/>
        </w:rPr>
        <w:t xml:space="preserve"> D (serviceable –  test/modification), </w:t>
      </w:r>
      <w:r w:rsidR="00B468CD" w:rsidRPr="00196E92">
        <w:rPr>
          <w:rFonts w:cs="Arial"/>
        </w:rPr>
        <w:br/>
      </w:r>
      <w:r w:rsidRPr="00196E92">
        <w:rPr>
          <w:rFonts w:cs="Arial"/>
        </w:rPr>
        <w:t xml:space="preserve">E (unserviceable – limited restoration), F (unserviceable </w:t>
      </w:r>
      <w:r w:rsidR="00B468CD" w:rsidRPr="00196E92">
        <w:rPr>
          <w:rFonts w:cs="Arial"/>
        </w:rPr>
        <w:t>–</w:t>
      </w:r>
      <w:r w:rsidRPr="00196E92">
        <w:rPr>
          <w:rFonts w:cs="Arial"/>
        </w:rPr>
        <w:t xml:space="preserve"> repa</w:t>
      </w:r>
      <w:r w:rsidR="00061083" w:rsidRPr="00196E92">
        <w:rPr>
          <w:rFonts w:cs="Arial"/>
        </w:rPr>
        <w:t>i</w:t>
      </w:r>
      <w:r w:rsidRPr="00196E92">
        <w:rPr>
          <w:rFonts w:cs="Arial"/>
        </w:rPr>
        <w:t>rable), G (unserviceable – incomplete), J (suspended in stock), and L (suspended – litigation).</w:t>
      </w:r>
    </w:p>
    <w:p w14:paraId="30D7FB4F" w14:textId="77777777" w:rsidR="00351F4C" w:rsidRPr="00196E92" w:rsidRDefault="00351F4C" w:rsidP="006D4746">
      <w:pPr>
        <w:tabs>
          <w:tab w:val="left" w:pos="547"/>
          <w:tab w:val="left" w:pos="1080"/>
          <w:tab w:val="left" w:pos="1627"/>
          <w:tab w:val="left" w:pos="2232"/>
          <w:tab w:val="left" w:pos="2707"/>
          <w:tab w:val="left" w:pos="3240"/>
        </w:tabs>
        <w:spacing w:after="240"/>
        <w:rPr>
          <w:rFonts w:cs="Arial"/>
        </w:rPr>
      </w:pPr>
      <w:r w:rsidRPr="00196E92">
        <w:rPr>
          <w:rFonts w:cs="Arial"/>
        </w:rPr>
        <w:lastRenderedPageBreak/>
        <w:tab/>
      </w:r>
      <w:r w:rsidRPr="00196E92">
        <w:rPr>
          <w:rFonts w:cs="Arial"/>
        </w:rPr>
        <w:tab/>
        <w:t>C21.4.1.3.  Changes in condition of d</w:t>
      </w:r>
      <w:r w:rsidR="00F0005A" w:rsidRPr="00196E92">
        <w:rPr>
          <w:rFonts w:cs="Arial"/>
        </w:rPr>
        <w:t xml:space="preserve">ated, limited shelf-life </w:t>
      </w:r>
      <w:r w:rsidR="00B27359" w:rsidRPr="00196E92">
        <w:rPr>
          <w:rFonts w:cs="Arial"/>
        </w:rPr>
        <w:t>materiel</w:t>
      </w:r>
      <w:r w:rsidRPr="00196E92">
        <w:rPr>
          <w:rFonts w:cs="Arial"/>
        </w:rPr>
        <w:t>, medical, or subsistence items.</w:t>
      </w:r>
    </w:p>
    <w:p w14:paraId="30D7FB50" w14:textId="77777777" w:rsidR="00351F4C" w:rsidRPr="00196E92" w:rsidRDefault="00351F4C"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C21.4.1.4.  The item in stock is unidentified or misidentified.</w:t>
      </w:r>
    </w:p>
    <w:p w14:paraId="30D7FB51" w14:textId="5A0C8473" w:rsidR="00351F4C" w:rsidRPr="00196E92" w:rsidRDefault="00351F4C" w:rsidP="006D4746">
      <w:pPr>
        <w:tabs>
          <w:tab w:val="left" w:pos="547"/>
          <w:tab w:val="left" w:pos="1080"/>
          <w:tab w:val="left" w:pos="1627"/>
          <w:tab w:val="left" w:pos="2232"/>
          <w:tab w:val="left" w:pos="2707"/>
          <w:tab w:val="left" w:pos="3240"/>
        </w:tabs>
        <w:spacing w:after="240"/>
        <w:rPr>
          <w:rFonts w:cs="Arial"/>
        </w:rPr>
      </w:pPr>
      <w:r w:rsidRPr="00196E92">
        <w:rPr>
          <w:rFonts w:cs="Arial"/>
        </w:rPr>
        <w:tab/>
        <w:t xml:space="preserve">C21.4.2.  Under DLMS, the SQCR is prepared by using the </w:t>
      </w:r>
      <w:r w:rsidR="00061083" w:rsidRPr="00196E92">
        <w:rPr>
          <w:rFonts w:cs="Arial"/>
        </w:rPr>
        <w:t xml:space="preserve">DLMS </w:t>
      </w:r>
      <w:r w:rsidRPr="00196E92">
        <w:rPr>
          <w:rFonts w:cs="Arial"/>
        </w:rPr>
        <w:t>842S</w:t>
      </w:r>
      <w:r w:rsidR="00061083" w:rsidRPr="00196E92">
        <w:rPr>
          <w:rFonts w:cs="Arial"/>
        </w:rPr>
        <w:t>/</w:t>
      </w:r>
      <w:r w:rsidRPr="00196E92">
        <w:rPr>
          <w:rFonts w:cs="Arial"/>
        </w:rPr>
        <w:t xml:space="preserve">Q, SQCR.  Where DLMS is not supported, the SQCR </w:t>
      </w:r>
      <w:r w:rsidR="00BC4C7E" w:rsidRPr="00196E92">
        <w:rPr>
          <w:rFonts w:cs="Arial"/>
        </w:rPr>
        <w:t>will be entered via WebSQCR</w:t>
      </w:r>
      <w:r w:rsidR="00BC4C7E" w:rsidRPr="00196E92">
        <w:rPr>
          <w:rFonts w:cs="Arial"/>
          <w:vertAlign w:val="superscript"/>
        </w:rPr>
        <w:footnoteReference w:id="7"/>
      </w:r>
      <w:r w:rsidR="00BC4C7E" w:rsidRPr="00196E92">
        <w:rPr>
          <w:rFonts w:cs="Arial"/>
        </w:rPr>
        <w:t xml:space="preserve"> </w:t>
      </w:r>
      <w:r w:rsidRPr="00196E92">
        <w:rPr>
          <w:rFonts w:cs="Arial"/>
        </w:rPr>
        <w:t xml:space="preserve">to the </w:t>
      </w:r>
      <w:r w:rsidR="00B27359" w:rsidRPr="00196E92">
        <w:rPr>
          <w:rFonts w:cs="Arial"/>
        </w:rPr>
        <w:t>materiel</w:t>
      </w:r>
      <w:r w:rsidRPr="00196E92">
        <w:rPr>
          <w:rFonts w:cs="Arial"/>
        </w:rPr>
        <w:t xml:space="preserve"> owner pending implementation of the DLMS or DAAS capability to convert transactions to email.</w:t>
      </w:r>
    </w:p>
    <w:p w14:paraId="30D7FB52" w14:textId="1A2EBBAE" w:rsidR="00351F4C" w:rsidRPr="00196E92" w:rsidRDefault="00351F4C" w:rsidP="006D4746">
      <w:pPr>
        <w:tabs>
          <w:tab w:val="left" w:pos="547"/>
          <w:tab w:val="left" w:pos="1080"/>
          <w:tab w:val="left" w:pos="1627"/>
          <w:tab w:val="left" w:pos="2232"/>
          <w:tab w:val="left" w:pos="2707"/>
          <w:tab w:val="left" w:pos="3240"/>
        </w:tabs>
        <w:spacing w:after="240"/>
        <w:rPr>
          <w:rFonts w:cs="Arial"/>
        </w:rPr>
      </w:pPr>
      <w:r w:rsidRPr="00196E92">
        <w:rPr>
          <w:rFonts w:cs="Arial"/>
        </w:rPr>
        <w:tab/>
        <w:t xml:space="preserve">C21.4.3.  Under DLMS, the SQCR response is prepared using the </w:t>
      </w:r>
      <w:r w:rsidR="00061083" w:rsidRPr="00196E92">
        <w:rPr>
          <w:rFonts w:cs="Arial"/>
        </w:rPr>
        <w:t>DLMS</w:t>
      </w:r>
      <w:r w:rsidRPr="00196E92">
        <w:rPr>
          <w:rFonts w:cs="Arial"/>
        </w:rPr>
        <w:t xml:space="preserve"> 842S</w:t>
      </w:r>
      <w:r w:rsidR="00061083" w:rsidRPr="00196E92">
        <w:rPr>
          <w:rFonts w:cs="Arial"/>
        </w:rPr>
        <w:t>/</w:t>
      </w:r>
      <w:r w:rsidRPr="00196E92">
        <w:rPr>
          <w:rFonts w:cs="Arial"/>
        </w:rPr>
        <w:t xml:space="preserve">R, SQCR Reply.  Where DLMS is not supported, the </w:t>
      </w:r>
      <w:r w:rsidR="00B27359" w:rsidRPr="00196E92">
        <w:rPr>
          <w:rFonts w:cs="Arial"/>
        </w:rPr>
        <w:t>materiel</w:t>
      </w:r>
      <w:r w:rsidRPr="00196E92">
        <w:rPr>
          <w:rFonts w:cs="Arial"/>
        </w:rPr>
        <w:t xml:space="preserve"> owner </w:t>
      </w:r>
      <w:r w:rsidR="00D3131A" w:rsidRPr="00196E92">
        <w:rPr>
          <w:rFonts w:cs="Arial"/>
        </w:rPr>
        <w:t>will reply via WebSQCR.</w:t>
      </w:r>
      <w:r w:rsidR="00D3131A" w:rsidRPr="00196E92">
        <w:rPr>
          <w:rFonts w:cs="Arial"/>
          <w:vertAlign w:val="superscript"/>
        </w:rPr>
        <w:footnoteReference w:id="8"/>
      </w:r>
    </w:p>
    <w:p w14:paraId="30D7FB53" w14:textId="1E8BE3B0" w:rsidR="00107D97" w:rsidRPr="00196E92" w:rsidRDefault="0039015D" w:rsidP="00EF2033">
      <w:pPr>
        <w:tabs>
          <w:tab w:val="left" w:pos="547"/>
          <w:tab w:val="left" w:pos="1080"/>
          <w:tab w:val="left" w:pos="1627"/>
          <w:tab w:val="left" w:pos="2232"/>
          <w:tab w:val="left" w:pos="2707"/>
          <w:tab w:val="left" w:pos="3240"/>
        </w:tabs>
        <w:spacing w:after="240"/>
        <w:outlineLvl w:val="1"/>
        <w:rPr>
          <w:rFonts w:cs="Arial"/>
        </w:rPr>
      </w:pPr>
      <w:r w:rsidRPr="00196E92">
        <w:rPr>
          <w:rFonts w:cs="Arial"/>
        </w:rPr>
        <w:tab/>
        <w:t xml:space="preserve">C21.4.4.  Upon completion of authorized reimbursable stock </w:t>
      </w:r>
      <w:r w:rsidR="007A674F" w:rsidRPr="00196E92">
        <w:rPr>
          <w:rFonts w:cs="Arial"/>
        </w:rPr>
        <w:t xml:space="preserve">readiness work, the </w:t>
      </w:r>
      <w:r w:rsidR="0096420C" w:rsidRPr="00196E92">
        <w:rPr>
          <w:rFonts w:cs="Arial"/>
        </w:rPr>
        <w:t xml:space="preserve">storage activity </w:t>
      </w:r>
      <w:r w:rsidR="00D3131A" w:rsidRPr="00196E92">
        <w:rPr>
          <w:rFonts w:cs="Arial"/>
        </w:rPr>
        <w:t xml:space="preserve">will provide a completion notice </w:t>
      </w:r>
      <w:r w:rsidRPr="00196E92">
        <w:rPr>
          <w:rFonts w:cs="Arial"/>
        </w:rPr>
        <w:t xml:space="preserve">to the </w:t>
      </w:r>
      <w:r w:rsidR="00B27359" w:rsidRPr="00196E92">
        <w:rPr>
          <w:rFonts w:cs="Arial"/>
        </w:rPr>
        <w:t>materiel</w:t>
      </w:r>
      <w:r w:rsidR="0014663A" w:rsidRPr="00196E92">
        <w:rPr>
          <w:rFonts w:cs="Arial"/>
        </w:rPr>
        <w:t xml:space="preserve"> owner.</w:t>
      </w:r>
    </w:p>
    <w:p w14:paraId="30D7FB54" w14:textId="545EA36B" w:rsidR="0039015D" w:rsidRPr="00196E92" w:rsidRDefault="0039015D" w:rsidP="006D4746">
      <w:pPr>
        <w:tabs>
          <w:tab w:val="left" w:pos="547"/>
          <w:tab w:val="left" w:pos="1080"/>
          <w:tab w:val="left" w:pos="1627"/>
          <w:tab w:val="left" w:pos="2232"/>
          <w:tab w:val="left" w:pos="2707"/>
          <w:tab w:val="left" w:pos="3240"/>
        </w:tabs>
        <w:spacing w:after="240"/>
        <w:rPr>
          <w:rFonts w:cs="Arial"/>
        </w:rPr>
      </w:pPr>
      <w:r w:rsidRPr="00196E92">
        <w:rPr>
          <w:rFonts w:cs="Arial"/>
        </w:rPr>
        <w:tab/>
        <w:t xml:space="preserve">C21.4.5.  </w:t>
      </w:r>
      <w:r w:rsidRPr="00196E92">
        <w:rPr>
          <w:rFonts w:cs="Arial"/>
          <w:bCs/>
          <w:u w:val="single"/>
        </w:rPr>
        <w:t>Detailed Requirements</w:t>
      </w:r>
      <w:r w:rsidRPr="00196E92">
        <w:rPr>
          <w:rFonts w:cs="Arial"/>
          <w:bCs/>
        </w:rPr>
        <w:t xml:space="preserve">.  </w:t>
      </w:r>
      <w:r w:rsidRPr="00196E92">
        <w:rPr>
          <w:rFonts w:cs="Arial"/>
        </w:rPr>
        <w:t>Th</w:t>
      </w:r>
      <w:r w:rsidR="007A674F" w:rsidRPr="00196E92">
        <w:rPr>
          <w:rFonts w:cs="Arial"/>
        </w:rPr>
        <w:t xml:space="preserve">e </w:t>
      </w:r>
      <w:r w:rsidR="00BC4C7E" w:rsidRPr="00196E92">
        <w:rPr>
          <w:rFonts w:cs="Arial"/>
        </w:rPr>
        <w:t xml:space="preserve">storage </w:t>
      </w:r>
      <w:r w:rsidR="007A674F" w:rsidRPr="00196E92">
        <w:rPr>
          <w:rFonts w:cs="Arial"/>
        </w:rPr>
        <w:t xml:space="preserve">activity </w:t>
      </w:r>
      <w:r w:rsidR="00BC4C7E" w:rsidRPr="00196E92">
        <w:rPr>
          <w:rFonts w:cs="Arial"/>
        </w:rPr>
        <w:t>must</w:t>
      </w:r>
      <w:r w:rsidR="007A674F" w:rsidRPr="00196E92">
        <w:rPr>
          <w:rFonts w:cs="Arial"/>
        </w:rPr>
        <w:t xml:space="preserve"> prepare</w:t>
      </w:r>
      <w:r w:rsidRPr="00196E92">
        <w:rPr>
          <w:rFonts w:cs="Arial"/>
        </w:rPr>
        <w:t xml:space="preserve"> a</w:t>
      </w:r>
      <w:r w:rsidR="00594723" w:rsidRPr="00196E92">
        <w:rPr>
          <w:rFonts w:cs="Arial"/>
        </w:rPr>
        <w:t>n</w:t>
      </w:r>
      <w:r w:rsidRPr="00196E92">
        <w:rPr>
          <w:rFonts w:cs="Arial"/>
        </w:rPr>
        <w:t xml:space="preserve"> SQCR for each item, reporting quantity by condition code.  </w:t>
      </w:r>
      <w:r w:rsidR="00164E31" w:rsidRPr="00196E92">
        <w:rPr>
          <w:rFonts w:cs="Arial"/>
        </w:rPr>
        <w:t>The storage location may also be provided (up to 20 locations may be identified per SQCR)</w:t>
      </w:r>
      <w:r w:rsidR="00F57017" w:rsidRPr="00196E92">
        <w:rPr>
          <w:rFonts w:cs="Arial"/>
        </w:rPr>
        <w:t>.</w:t>
      </w:r>
      <w:r w:rsidR="00164E31" w:rsidRPr="00196E92">
        <w:rPr>
          <w:rFonts w:cs="Arial"/>
        </w:rPr>
        <w:t xml:space="preserve">  Notification of </w:t>
      </w:r>
      <w:r w:rsidRPr="00196E92">
        <w:rPr>
          <w:rFonts w:cs="Arial"/>
        </w:rPr>
        <w:t xml:space="preserve">SQCRs are forwarded to the appropriate </w:t>
      </w:r>
      <w:r w:rsidR="00B27359" w:rsidRPr="00196E92">
        <w:rPr>
          <w:rFonts w:cs="Arial"/>
        </w:rPr>
        <w:t>materiel</w:t>
      </w:r>
      <w:r w:rsidRPr="00196E92">
        <w:rPr>
          <w:rFonts w:cs="Arial"/>
        </w:rPr>
        <w:t xml:space="preserve"> owner stock readiness (SR) coordinator for response</w:t>
      </w:r>
      <w:r w:rsidR="00FE6504" w:rsidRPr="00196E92">
        <w:rPr>
          <w:rFonts w:ascii="Times New Roman" w:hAnsi="Times New Roman"/>
          <w:szCs w:val="24"/>
        </w:rPr>
        <w:t xml:space="preserve"> </w:t>
      </w:r>
      <w:r w:rsidR="00FE6504" w:rsidRPr="00196E92">
        <w:rPr>
          <w:rFonts w:cs="Arial"/>
        </w:rPr>
        <w:t>by WebSQCR-generated email.  The SQCR will use up to two discrepancy codes in conjunction with narrative remarks to identify the problem being reported.</w:t>
      </w:r>
      <w:r w:rsidRPr="00196E92">
        <w:rPr>
          <w:rFonts w:cs="Arial"/>
        </w:rPr>
        <w:t xml:space="preserve">  The SQCR </w:t>
      </w:r>
      <w:r w:rsidR="00FE6504" w:rsidRPr="00196E92">
        <w:rPr>
          <w:rFonts w:cs="Arial"/>
        </w:rPr>
        <w:t>wil</w:t>
      </w:r>
      <w:r w:rsidR="0096420C" w:rsidRPr="00196E92">
        <w:rPr>
          <w:rFonts w:cs="Arial"/>
        </w:rPr>
        <w:t xml:space="preserve">l </w:t>
      </w:r>
      <w:r w:rsidRPr="00196E92">
        <w:rPr>
          <w:rFonts w:cs="Arial"/>
        </w:rPr>
        <w:t xml:space="preserve">remain open in at the </w:t>
      </w:r>
      <w:r w:rsidR="0096420C" w:rsidRPr="00196E92">
        <w:rPr>
          <w:rFonts w:cs="Arial"/>
        </w:rPr>
        <w:t xml:space="preserve">storage </w:t>
      </w:r>
      <w:r w:rsidRPr="00196E92">
        <w:rPr>
          <w:rFonts w:cs="Arial"/>
        </w:rPr>
        <w:t xml:space="preserve">activity until disposition is received from the </w:t>
      </w:r>
      <w:r w:rsidR="00B27359" w:rsidRPr="00196E92">
        <w:rPr>
          <w:rFonts w:cs="Arial"/>
        </w:rPr>
        <w:t>materiel</w:t>
      </w:r>
      <w:r w:rsidRPr="00196E92">
        <w:rPr>
          <w:rFonts w:cs="Arial"/>
        </w:rPr>
        <w:t xml:space="preserve"> owner.  The SR coordinator reviews the item for excess stock position, cost of action in relation to the value of </w:t>
      </w:r>
      <w:r w:rsidR="00B27359" w:rsidRPr="00196E92">
        <w:rPr>
          <w:rFonts w:cs="Arial"/>
        </w:rPr>
        <w:t>materiel</w:t>
      </w:r>
      <w:r w:rsidRPr="00196E92">
        <w:rPr>
          <w:rFonts w:cs="Arial"/>
        </w:rPr>
        <w:t xml:space="preserve">, etc., and approves or disapproves the stock readiness action request.  When disapproving the stock readiness request, the SR coordinator </w:t>
      </w:r>
      <w:r w:rsidR="00FE6504" w:rsidRPr="00196E92">
        <w:rPr>
          <w:rFonts w:cs="Arial"/>
        </w:rPr>
        <w:t>will</w:t>
      </w:r>
      <w:r w:rsidRPr="00196E92">
        <w:rPr>
          <w:rFonts w:cs="Arial"/>
        </w:rPr>
        <w:t xml:space="preserve"> concurrently provide disposition instructions for the </w:t>
      </w:r>
      <w:r w:rsidR="00B27359" w:rsidRPr="00196E92">
        <w:rPr>
          <w:rFonts w:cs="Arial"/>
        </w:rPr>
        <w:t>materiel</w:t>
      </w:r>
      <w:r w:rsidRPr="00196E92">
        <w:rPr>
          <w:rFonts w:cs="Arial"/>
        </w:rPr>
        <w:t xml:space="preserve">.  When approving </w:t>
      </w:r>
      <w:r w:rsidR="00F0005A" w:rsidRPr="00196E92">
        <w:rPr>
          <w:rFonts w:cs="Arial"/>
        </w:rPr>
        <w:t>the SR</w:t>
      </w:r>
      <w:r w:rsidRPr="00196E92">
        <w:rPr>
          <w:rFonts w:cs="Arial"/>
        </w:rPr>
        <w:t xml:space="preserve"> request, the SR coordinator </w:t>
      </w:r>
      <w:r w:rsidR="00FE6504" w:rsidRPr="00196E92">
        <w:rPr>
          <w:rFonts w:cs="Arial"/>
        </w:rPr>
        <w:t>will</w:t>
      </w:r>
      <w:r w:rsidRPr="00196E92">
        <w:rPr>
          <w:rFonts w:cs="Arial"/>
        </w:rPr>
        <w:t xml:space="preserve"> reply to </w:t>
      </w:r>
      <w:r w:rsidR="0096420C" w:rsidRPr="00196E92">
        <w:rPr>
          <w:rFonts w:cs="Arial"/>
        </w:rPr>
        <w:t xml:space="preserve">the storage activity </w:t>
      </w:r>
      <w:r w:rsidRPr="00196E92">
        <w:rPr>
          <w:rFonts w:cs="Arial"/>
        </w:rPr>
        <w:t>for action.  A disposition/status reply code is available in the DLMS format to communicate the reply to reduce reliance on narrative text and to facilitate automated tracking/trend analysis.</w:t>
      </w:r>
    </w:p>
    <w:p w14:paraId="30D7FB55" w14:textId="29DA47B1" w:rsidR="0039015D" w:rsidRPr="00196E92" w:rsidRDefault="0039015D" w:rsidP="006D4746">
      <w:pPr>
        <w:tabs>
          <w:tab w:val="left" w:pos="547"/>
          <w:tab w:val="left" w:pos="1080"/>
          <w:tab w:val="left" w:pos="1627"/>
          <w:tab w:val="left" w:pos="2232"/>
          <w:tab w:val="left" w:pos="2707"/>
          <w:tab w:val="left" w:pos="3240"/>
        </w:tabs>
        <w:spacing w:after="240"/>
        <w:rPr>
          <w:rFonts w:cs="Arial"/>
        </w:rPr>
      </w:pPr>
      <w:r w:rsidRPr="00196E92">
        <w:rPr>
          <w:rFonts w:cs="Arial"/>
        </w:rPr>
        <w:tab/>
        <w:t xml:space="preserve">C21.4.6.  </w:t>
      </w:r>
      <w:r w:rsidRPr="00196E92">
        <w:rPr>
          <w:rFonts w:cs="Arial"/>
          <w:bCs/>
          <w:u w:val="single"/>
        </w:rPr>
        <w:t>Inspection Types</w:t>
      </w:r>
      <w:r w:rsidRPr="00196E92">
        <w:rPr>
          <w:rFonts w:cs="Arial"/>
          <w:bCs/>
        </w:rPr>
        <w:t xml:space="preserve">.  </w:t>
      </w:r>
      <w:r w:rsidRPr="00196E92">
        <w:rPr>
          <w:rFonts w:cs="Arial"/>
        </w:rPr>
        <w:t>A</w:t>
      </w:r>
      <w:r w:rsidR="00AE4B61" w:rsidRPr="00196E92">
        <w:rPr>
          <w:rFonts w:cs="Arial"/>
        </w:rPr>
        <w:t>n</w:t>
      </w:r>
      <w:r w:rsidRPr="00196E92">
        <w:rPr>
          <w:rFonts w:cs="Arial"/>
        </w:rPr>
        <w:t xml:space="preserve"> SQCR may be prepared as a result of any of the following inspection types:  </w:t>
      </w:r>
      <w:r w:rsidR="00D11222" w:rsidRPr="00196E92">
        <w:rPr>
          <w:rFonts w:cs="Arial"/>
        </w:rPr>
        <w:t>SOF (</w:t>
      </w:r>
      <w:r w:rsidR="00A73E71" w:rsidRPr="00196E92">
        <w:rPr>
          <w:rFonts w:cs="Arial"/>
        </w:rPr>
        <w:t>including ASAM)</w:t>
      </w:r>
      <w:r w:rsidRPr="00196E92">
        <w:rPr>
          <w:rFonts w:cs="Arial"/>
        </w:rPr>
        <w:t>, special inspection, quality related (</w:t>
      </w:r>
      <w:r w:rsidR="00A73E71" w:rsidRPr="00196E92">
        <w:rPr>
          <w:rFonts w:cs="Arial"/>
        </w:rPr>
        <w:t xml:space="preserve">e.g., investigation resulting from a </w:t>
      </w:r>
      <w:r w:rsidRPr="00196E92">
        <w:rPr>
          <w:rFonts w:cs="Arial"/>
        </w:rPr>
        <w:t>P</w:t>
      </w:r>
      <w:r w:rsidR="00F0005A" w:rsidRPr="00196E92">
        <w:rPr>
          <w:rFonts w:cs="Arial"/>
        </w:rPr>
        <w:t>QDR or SDR), SOU, CSI</w:t>
      </w:r>
      <w:r w:rsidRPr="00196E92">
        <w:rPr>
          <w:rFonts w:cs="Arial"/>
        </w:rPr>
        <w:t xml:space="preserve">, </w:t>
      </w:r>
      <w:r w:rsidR="00A73E71" w:rsidRPr="00196E92">
        <w:rPr>
          <w:rFonts w:cs="Arial"/>
        </w:rPr>
        <w:t>visual (care of supplies in storage (COSIS))</w:t>
      </w:r>
      <w:r w:rsidRPr="00196E92">
        <w:rPr>
          <w:rFonts w:cs="Arial"/>
        </w:rPr>
        <w:t xml:space="preserve"> shelf-life inspection</w:t>
      </w:r>
      <w:r w:rsidR="00A30577" w:rsidRPr="00196E92">
        <w:rPr>
          <w:rFonts w:cs="Arial"/>
        </w:rPr>
        <w:t xml:space="preserve"> (cyclic)</w:t>
      </w:r>
      <w:r w:rsidR="00D15BC9" w:rsidRPr="00196E92">
        <w:rPr>
          <w:rFonts w:cs="Arial"/>
        </w:rPr>
        <w:t xml:space="preserve">, </w:t>
      </w:r>
      <w:r w:rsidRPr="00196E92">
        <w:rPr>
          <w:rFonts w:cs="Arial"/>
        </w:rPr>
        <w:t xml:space="preserve">or </w:t>
      </w:r>
      <w:r w:rsidR="00A73E71" w:rsidRPr="00196E92">
        <w:rPr>
          <w:rFonts w:cs="Arial"/>
        </w:rPr>
        <w:t>suspect counterfeit</w:t>
      </w:r>
      <w:r w:rsidRPr="00196E92">
        <w:rPr>
          <w:rFonts w:cs="Arial"/>
        </w:rPr>
        <w:t>.  The inspection type is identified within the SQCR and reply by the type inspection code.</w:t>
      </w:r>
      <w:r w:rsidR="00582D34" w:rsidRPr="00196E92">
        <w:rPr>
          <w:rFonts w:cs="Arial"/>
          <w:vertAlign w:val="superscript"/>
        </w:rPr>
        <w:footnoteReference w:id="9"/>
      </w:r>
    </w:p>
    <w:p w14:paraId="35FD25AC" w14:textId="38416FC9" w:rsidR="00EF2033" w:rsidRPr="00196E92" w:rsidRDefault="00EF2033" w:rsidP="00EF2033">
      <w:pPr>
        <w:tabs>
          <w:tab w:val="left" w:pos="547"/>
          <w:tab w:val="left" w:pos="1080"/>
          <w:tab w:val="left" w:pos="1627"/>
          <w:tab w:val="left" w:pos="2232"/>
          <w:tab w:val="left" w:pos="2707"/>
          <w:tab w:val="left" w:pos="3240"/>
        </w:tabs>
        <w:spacing w:after="240"/>
        <w:jc w:val="center"/>
        <w:outlineLvl w:val="0"/>
        <w:rPr>
          <w:rFonts w:cs="Arial"/>
        </w:rPr>
      </w:pPr>
      <w:r w:rsidRPr="00196E92">
        <w:rPr>
          <w:rFonts w:cs="Arial"/>
        </w:rPr>
        <w:lastRenderedPageBreak/>
        <w:t xml:space="preserve">Table C21.T2, </w:t>
      </w:r>
      <w:r w:rsidRPr="00196E92">
        <w:rPr>
          <w:rFonts w:cs="Arial"/>
          <w:u w:val="single"/>
        </w:rPr>
        <w:t>Type Inspection Code and Suspense Table</w:t>
      </w:r>
    </w:p>
    <w:tbl>
      <w:tblPr>
        <w:tblStyle w:val="TableGrid1"/>
        <w:tblW w:w="9378" w:type="dxa"/>
        <w:tblInd w:w="-5" w:type="dxa"/>
        <w:tblLayout w:type="fixed"/>
        <w:tblLook w:val="04A0" w:firstRow="1" w:lastRow="0" w:firstColumn="1" w:lastColumn="0" w:noHBand="0" w:noVBand="1"/>
        <w:tblCaption w:val="Table C21.T2, "/>
        <w:tblDescription w:val="Type Inspection Code and Suspense Table"/>
      </w:tblPr>
      <w:tblGrid>
        <w:gridCol w:w="1548"/>
        <w:gridCol w:w="2700"/>
        <w:gridCol w:w="3690"/>
        <w:gridCol w:w="1440"/>
      </w:tblGrid>
      <w:tr w:rsidR="00F41DC2" w:rsidRPr="00196E92" w14:paraId="0A6A0C68" w14:textId="77777777" w:rsidTr="00EF2033">
        <w:trPr>
          <w:trHeight w:val="674"/>
          <w:tblHeader/>
        </w:trPr>
        <w:tc>
          <w:tcPr>
            <w:tcW w:w="1548" w:type="dxa"/>
            <w:tcBorders>
              <w:top w:val="single" w:sz="4" w:space="0" w:color="auto"/>
            </w:tcBorders>
          </w:tcPr>
          <w:p w14:paraId="06452F8E" w14:textId="21947A18" w:rsidR="00F41DC2" w:rsidRPr="00196E92" w:rsidRDefault="00883EBD"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T</w:t>
            </w:r>
            <w:r w:rsidR="00F41DC2" w:rsidRPr="00196E92">
              <w:rPr>
                <w:rFonts w:cs="Arial"/>
                <w:szCs w:val="24"/>
              </w:rPr>
              <w:t>ype Inspection</w:t>
            </w:r>
            <w:r w:rsidR="00F32894" w:rsidRPr="00196E92">
              <w:rPr>
                <w:rFonts w:cs="Arial"/>
                <w:szCs w:val="24"/>
              </w:rPr>
              <w:t xml:space="preserve"> </w:t>
            </w:r>
            <w:r w:rsidR="00F41DC2" w:rsidRPr="00196E92">
              <w:rPr>
                <w:rFonts w:cs="Arial"/>
                <w:szCs w:val="24"/>
              </w:rPr>
              <w:t>Code</w:t>
            </w:r>
          </w:p>
        </w:tc>
        <w:tc>
          <w:tcPr>
            <w:tcW w:w="2700" w:type="dxa"/>
            <w:tcBorders>
              <w:top w:val="single" w:sz="4" w:space="0" w:color="auto"/>
            </w:tcBorders>
          </w:tcPr>
          <w:p w14:paraId="273E0034" w14:textId="73037CBB"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Definition</w:t>
            </w:r>
          </w:p>
        </w:tc>
        <w:tc>
          <w:tcPr>
            <w:tcW w:w="3690" w:type="dxa"/>
            <w:tcBorders>
              <w:top w:val="single" w:sz="4" w:space="0" w:color="auto"/>
            </w:tcBorders>
          </w:tcPr>
          <w:p w14:paraId="109A856A" w14:textId="67D50C4A"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Usage</w:t>
            </w:r>
          </w:p>
        </w:tc>
        <w:tc>
          <w:tcPr>
            <w:tcW w:w="1440" w:type="dxa"/>
            <w:tcBorders>
              <w:top w:val="single" w:sz="4" w:space="0" w:color="auto"/>
            </w:tcBorders>
          </w:tcPr>
          <w:p w14:paraId="12FCE1AB"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Storage Activity Suspense</w:t>
            </w:r>
          </w:p>
        </w:tc>
      </w:tr>
      <w:tr w:rsidR="00F41DC2" w:rsidRPr="00196E92" w14:paraId="305D0BE4" w14:textId="77777777" w:rsidTr="00EF2033">
        <w:tc>
          <w:tcPr>
            <w:tcW w:w="1548" w:type="dxa"/>
          </w:tcPr>
          <w:p w14:paraId="216A9680"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C</w:t>
            </w:r>
          </w:p>
        </w:tc>
        <w:tc>
          <w:tcPr>
            <w:tcW w:w="2700" w:type="dxa"/>
          </w:tcPr>
          <w:p w14:paraId="111C6021" w14:textId="208C4DAD"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Visual</w:t>
            </w:r>
          </w:p>
        </w:tc>
        <w:tc>
          <w:tcPr>
            <w:tcW w:w="3690" w:type="dxa"/>
          </w:tcPr>
          <w:p w14:paraId="08A08B3D"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 xml:space="preserve">Monthly COSIS inspections </w:t>
            </w:r>
          </w:p>
        </w:tc>
        <w:tc>
          <w:tcPr>
            <w:tcW w:w="1440" w:type="dxa"/>
          </w:tcPr>
          <w:p w14:paraId="120A4DF3"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Monthly</w:t>
            </w:r>
          </w:p>
        </w:tc>
      </w:tr>
      <w:tr w:rsidR="00F41DC2" w:rsidRPr="00196E92" w14:paraId="7681DC3E" w14:textId="77777777" w:rsidTr="00EF2033">
        <w:tc>
          <w:tcPr>
            <w:tcW w:w="1548" w:type="dxa"/>
          </w:tcPr>
          <w:p w14:paraId="7C9DEE89"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F</w:t>
            </w:r>
          </w:p>
        </w:tc>
        <w:tc>
          <w:tcPr>
            <w:tcW w:w="2700" w:type="dxa"/>
          </w:tcPr>
          <w:p w14:paraId="51D4ED43" w14:textId="418C9F51"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Safety of Flight (SOF)</w:t>
            </w:r>
          </w:p>
        </w:tc>
        <w:tc>
          <w:tcPr>
            <w:tcW w:w="3690" w:type="dxa"/>
          </w:tcPr>
          <w:p w14:paraId="709F07F7"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Special Inspection of SOF materiel or Aviation Safety Action Message</w:t>
            </w:r>
          </w:p>
        </w:tc>
        <w:tc>
          <w:tcPr>
            <w:tcW w:w="1440" w:type="dxa"/>
          </w:tcPr>
          <w:p w14:paraId="20018CC3"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5 days</w:t>
            </w:r>
          </w:p>
        </w:tc>
      </w:tr>
      <w:tr w:rsidR="00F41DC2" w:rsidRPr="00196E92" w14:paraId="4333D2FF" w14:textId="77777777" w:rsidTr="00EF2033">
        <w:tc>
          <w:tcPr>
            <w:tcW w:w="1548" w:type="dxa"/>
          </w:tcPr>
          <w:p w14:paraId="6EEB3AB2"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P</w:t>
            </w:r>
          </w:p>
        </w:tc>
        <w:tc>
          <w:tcPr>
            <w:tcW w:w="2700" w:type="dxa"/>
          </w:tcPr>
          <w:p w14:paraId="5137A863" w14:textId="4AC8CC7A"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Special Inspection at Single Location</w:t>
            </w:r>
          </w:p>
        </w:tc>
        <w:tc>
          <w:tcPr>
            <w:tcW w:w="3690" w:type="dxa"/>
          </w:tcPr>
          <w:p w14:paraId="5F43C331"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Specific to one storage activity (for example, take pictures of materiel at specific location)</w:t>
            </w:r>
          </w:p>
        </w:tc>
        <w:tc>
          <w:tcPr>
            <w:tcW w:w="1440" w:type="dxa"/>
          </w:tcPr>
          <w:p w14:paraId="45A417DA"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15 days</w:t>
            </w:r>
          </w:p>
        </w:tc>
      </w:tr>
      <w:tr w:rsidR="00F41DC2" w:rsidRPr="00196E92" w14:paraId="06857F9F" w14:textId="77777777" w:rsidTr="00EF2033">
        <w:tc>
          <w:tcPr>
            <w:tcW w:w="1548" w:type="dxa"/>
          </w:tcPr>
          <w:p w14:paraId="36326172"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Q</w:t>
            </w:r>
          </w:p>
        </w:tc>
        <w:tc>
          <w:tcPr>
            <w:tcW w:w="2700" w:type="dxa"/>
          </w:tcPr>
          <w:p w14:paraId="45D11FF7" w14:textId="14594D4C"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Quality Related</w:t>
            </w:r>
          </w:p>
        </w:tc>
        <w:tc>
          <w:tcPr>
            <w:tcW w:w="3690" w:type="dxa"/>
          </w:tcPr>
          <w:p w14:paraId="02C42080"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Applicable to screening subsequent to PQDR or SDR</w:t>
            </w:r>
          </w:p>
        </w:tc>
        <w:tc>
          <w:tcPr>
            <w:tcW w:w="1440" w:type="dxa"/>
          </w:tcPr>
          <w:p w14:paraId="391F72D7"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15 days</w:t>
            </w:r>
          </w:p>
        </w:tc>
      </w:tr>
      <w:tr w:rsidR="00F41DC2" w:rsidRPr="00196E92" w14:paraId="6CE680BD" w14:textId="77777777" w:rsidTr="00EF2033">
        <w:tc>
          <w:tcPr>
            <w:tcW w:w="1548" w:type="dxa"/>
          </w:tcPr>
          <w:p w14:paraId="4A7DB540"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R</w:t>
            </w:r>
          </w:p>
        </w:tc>
        <w:tc>
          <w:tcPr>
            <w:tcW w:w="2700" w:type="dxa"/>
          </w:tcPr>
          <w:p w14:paraId="539F44D2" w14:textId="40F72271"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Reimbursable</w:t>
            </w:r>
          </w:p>
        </w:tc>
        <w:tc>
          <w:tcPr>
            <w:tcW w:w="3690" w:type="dxa"/>
          </w:tcPr>
          <w:p w14:paraId="20200DB3"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Reimbursable special inspection.  Goes to all DLA Distribution storage locations (action copy to those known to have materiel in stock and info copy to all others)</w:t>
            </w:r>
          </w:p>
        </w:tc>
        <w:tc>
          <w:tcPr>
            <w:tcW w:w="1440" w:type="dxa"/>
          </w:tcPr>
          <w:p w14:paraId="08BA449A"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30 days</w:t>
            </w:r>
          </w:p>
        </w:tc>
      </w:tr>
      <w:tr w:rsidR="00F41DC2" w:rsidRPr="00196E92" w14:paraId="5870668C" w14:textId="77777777" w:rsidTr="00EF2033">
        <w:tc>
          <w:tcPr>
            <w:tcW w:w="1548" w:type="dxa"/>
          </w:tcPr>
          <w:p w14:paraId="61E5C6B9"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S</w:t>
            </w:r>
          </w:p>
        </w:tc>
        <w:tc>
          <w:tcPr>
            <w:tcW w:w="2700" w:type="dxa"/>
          </w:tcPr>
          <w:p w14:paraId="47058EFC" w14:textId="63F12DFA"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Shelf Life</w:t>
            </w:r>
          </w:p>
        </w:tc>
        <w:tc>
          <w:tcPr>
            <w:tcW w:w="3690" w:type="dxa"/>
          </w:tcPr>
          <w:p w14:paraId="3B4B22FA" w14:textId="11BC7DB6"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Monthly cyclic inspections for shelf life items</w:t>
            </w:r>
          </w:p>
        </w:tc>
        <w:tc>
          <w:tcPr>
            <w:tcW w:w="1440" w:type="dxa"/>
          </w:tcPr>
          <w:p w14:paraId="4C89AAF5"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Monthly</w:t>
            </w:r>
          </w:p>
        </w:tc>
      </w:tr>
      <w:tr w:rsidR="00F41DC2" w:rsidRPr="00196E92" w14:paraId="420E035E" w14:textId="77777777" w:rsidTr="00EF2033">
        <w:tc>
          <w:tcPr>
            <w:tcW w:w="1548" w:type="dxa"/>
          </w:tcPr>
          <w:p w14:paraId="6B1AF820"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U</w:t>
            </w:r>
          </w:p>
        </w:tc>
        <w:tc>
          <w:tcPr>
            <w:tcW w:w="2700" w:type="dxa"/>
          </w:tcPr>
          <w:p w14:paraId="04ADD9B7"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Safety of Use (SOU)</w:t>
            </w:r>
          </w:p>
        </w:tc>
        <w:tc>
          <w:tcPr>
            <w:tcW w:w="3690" w:type="dxa"/>
          </w:tcPr>
          <w:p w14:paraId="1C85FF26"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Special inspection of SOU materiel</w:t>
            </w:r>
          </w:p>
        </w:tc>
        <w:tc>
          <w:tcPr>
            <w:tcW w:w="1440" w:type="dxa"/>
          </w:tcPr>
          <w:p w14:paraId="5B9A1B16"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5 days</w:t>
            </w:r>
          </w:p>
        </w:tc>
      </w:tr>
      <w:tr w:rsidR="00F41DC2" w:rsidRPr="00196E92" w14:paraId="1F58BE0C" w14:textId="77777777" w:rsidTr="00EF2033">
        <w:tc>
          <w:tcPr>
            <w:tcW w:w="1548" w:type="dxa"/>
          </w:tcPr>
          <w:p w14:paraId="2EA407F7"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X</w:t>
            </w:r>
          </w:p>
        </w:tc>
        <w:tc>
          <w:tcPr>
            <w:tcW w:w="2700" w:type="dxa"/>
          </w:tcPr>
          <w:p w14:paraId="65D247E6"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Critical Safety Item (CSI)</w:t>
            </w:r>
          </w:p>
        </w:tc>
        <w:tc>
          <w:tcPr>
            <w:tcW w:w="3690" w:type="dxa"/>
          </w:tcPr>
          <w:p w14:paraId="4F1D3319" w14:textId="367DC35C"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Special inspection of CSI materiel</w:t>
            </w:r>
          </w:p>
        </w:tc>
        <w:tc>
          <w:tcPr>
            <w:tcW w:w="1440" w:type="dxa"/>
          </w:tcPr>
          <w:p w14:paraId="2E3E192E"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5 days</w:t>
            </w:r>
          </w:p>
        </w:tc>
      </w:tr>
      <w:tr w:rsidR="00F41DC2" w:rsidRPr="00196E92" w14:paraId="0A273844" w14:textId="77777777" w:rsidTr="00EF2033">
        <w:tc>
          <w:tcPr>
            <w:tcW w:w="1548" w:type="dxa"/>
          </w:tcPr>
          <w:p w14:paraId="2A7F9F03" w14:textId="77777777" w:rsidR="00F41DC2" w:rsidRPr="00196E92" w:rsidRDefault="00F41DC2" w:rsidP="006D4746">
            <w:pPr>
              <w:tabs>
                <w:tab w:val="left" w:pos="547"/>
                <w:tab w:val="left" w:pos="1080"/>
                <w:tab w:val="left" w:pos="1627"/>
                <w:tab w:val="left" w:pos="2232"/>
                <w:tab w:val="left" w:pos="2707"/>
                <w:tab w:val="left" w:pos="3240"/>
              </w:tabs>
              <w:spacing w:before="60" w:after="60"/>
              <w:jc w:val="center"/>
              <w:rPr>
                <w:rFonts w:cs="Arial"/>
                <w:szCs w:val="24"/>
              </w:rPr>
            </w:pPr>
            <w:r w:rsidRPr="00196E92">
              <w:rPr>
                <w:rFonts w:cs="Arial"/>
                <w:szCs w:val="24"/>
              </w:rPr>
              <w:t>Z</w:t>
            </w:r>
          </w:p>
        </w:tc>
        <w:tc>
          <w:tcPr>
            <w:tcW w:w="2700" w:type="dxa"/>
          </w:tcPr>
          <w:p w14:paraId="7D0408F5"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Suspect counterfeit</w:t>
            </w:r>
          </w:p>
        </w:tc>
        <w:tc>
          <w:tcPr>
            <w:tcW w:w="3690" w:type="dxa"/>
          </w:tcPr>
          <w:p w14:paraId="1ED89B2A"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Inspection triggered by suspected counterfeit materiel/unauthorized product substitution (CMUPS)</w:t>
            </w:r>
          </w:p>
        </w:tc>
        <w:tc>
          <w:tcPr>
            <w:tcW w:w="1440" w:type="dxa"/>
          </w:tcPr>
          <w:p w14:paraId="76C54CFB" w14:textId="77777777" w:rsidR="00F41DC2" w:rsidRPr="00196E92" w:rsidRDefault="00F41DC2" w:rsidP="006D4746">
            <w:pPr>
              <w:tabs>
                <w:tab w:val="left" w:pos="547"/>
                <w:tab w:val="left" w:pos="1080"/>
                <w:tab w:val="left" w:pos="1627"/>
                <w:tab w:val="left" w:pos="2232"/>
                <w:tab w:val="left" w:pos="2707"/>
                <w:tab w:val="left" w:pos="3240"/>
              </w:tabs>
              <w:spacing w:before="60" w:after="60"/>
              <w:rPr>
                <w:rFonts w:cs="Arial"/>
                <w:szCs w:val="24"/>
              </w:rPr>
            </w:pPr>
            <w:r w:rsidRPr="00196E92">
              <w:rPr>
                <w:rFonts w:cs="Arial"/>
                <w:szCs w:val="24"/>
              </w:rPr>
              <w:t>15 days</w:t>
            </w:r>
          </w:p>
        </w:tc>
      </w:tr>
    </w:tbl>
    <w:p w14:paraId="30D7FB56" w14:textId="5DF3E88E" w:rsidR="0039015D" w:rsidRPr="00196E92" w:rsidRDefault="00950CC6" w:rsidP="006D4746">
      <w:pPr>
        <w:keepNext/>
        <w:keepLines/>
        <w:tabs>
          <w:tab w:val="left" w:pos="547"/>
          <w:tab w:val="left" w:pos="1080"/>
          <w:tab w:val="left" w:pos="1627"/>
          <w:tab w:val="left" w:pos="2232"/>
          <w:tab w:val="left" w:pos="2707"/>
          <w:tab w:val="left" w:pos="3240"/>
        </w:tabs>
        <w:spacing w:before="240" w:after="240"/>
        <w:rPr>
          <w:rFonts w:cs="Arial"/>
        </w:rPr>
      </w:pPr>
      <w:r w:rsidRPr="00196E92">
        <w:rPr>
          <w:rFonts w:cs="Arial"/>
        </w:rPr>
        <w:lastRenderedPageBreak/>
        <w:tab/>
        <w:t>C21.4.7.  Th</w:t>
      </w:r>
      <w:r w:rsidR="007A674F" w:rsidRPr="00196E92">
        <w:rPr>
          <w:rFonts w:cs="Arial"/>
        </w:rPr>
        <w:t xml:space="preserve">e </w:t>
      </w:r>
      <w:r w:rsidR="0096420C" w:rsidRPr="00196E92">
        <w:rPr>
          <w:rFonts w:cs="Arial"/>
        </w:rPr>
        <w:t xml:space="preserve">storage </w:t>
      </w:r>
      <w:r w:rsidR="007A674F" w:rsidRPr="00196E92">
        <w:rPr>
          <w:rFonts w:cs="Arial"/>
        </w:rPr>
        <w:t xml:space="preserve">activity </w:t>
      </w:r>
      <w:r w:rsidR="00745A63" w:rsidRPr="00196E92">
        <w:rPr>
          <w:rFonts w:cs="Arial"/>
        </w:rPr>
        <w:t>wil</w:t>
      </w:r>
      <w:r w:rsidR="007A674F" w:rsidRPr="00196E92">
        <w:rPr>
          <w:rFonts w:cs="Arial"/>
        </w:rPr>
        <w:t>l provide</w:t>
      </w:r>
      <w:r w:rsidRPr="00196E92">
        <w:rPr>
          <w:rFonts w:cs="Arial"/>
        </w:rPr>
        <w:t xml:space="preserve"> </w:t>
      </w:r>
      <w:r w:rsidR="00B27359" w:rsidRPr="00196E92">
        <w:rPr>
          <w:rFonts w:cs="Arial"/>
        </w:rPr>
        <w:t>materiel</w:t>
      </w:r>
      <w:r w:rsidRPr="00196E92">
        <w:rPr>
          <w:rFonts w:cs="Arial"/>
        </w:rPr>
        <w:t xml:space="preserve"> identification by </w:t>
      </w:r>
      <w:r w:rsidR="00D11222" w:rsidRPr="00196E92">
        <w:rPr>
          <w:rFonts w:cs="Arial"/>
        </w:rPr>
        <w:t>NSN manufacturer’s</w:t>
      </w:r>
      <w:r w:rsidR="0096420C" w:rsidRPr="00196E92">
        <w:rPr>
          <w:rFonts w:cs="Arial"/>
        </w:rPr>
        <w:t xml:space="preserve"> CAGE/</w:t>
      </w:r>
      <w:r w:rsidRPr="00196E92">
        <w:rPr>
          <w:rFonts w:cs="Arial"/>
        </w:rPr>
        <w:t>part number</w:t>
      </w:r>
      <w:r w:rsidR="00024CD9" w:rsidRPr="00196E92">
        <w:rPr>
          <w:rFonts w:cs="Arial"/>
        </w:rPr>
        <w:t>, or other form of materiel identification authorized by the DLMS format</w:t>
      </w:r>
      <w:r w:rsidRPr="00196E92">
        <w:rPr>
          <w:rFonts w:cs="Arial"/>
        </w:rPr>
        <w:t xml:space="preserve">.  It </w:t>
      </w:r>
      <w:r w:rsidR="00024CD9" w:rsidRPr="00196E92">
        <w:rPr>
          <w:rFonts w:cs="Arial"/>
        </w:rPr>
        <w:t>wil</w:t>
      </w:r>
      <w:r w:rsidR="0096420C" w:rsidRPr="00196E92">
        <w:rPr>
          <w:rFonts w:cs="Arial"/>
        </w:rPr>
        <w:t xml:space="preserve">l </w:t>
      </w:r>
      <w:r w:rsidRPr="00196E92">
        <w:rPr>
          <w:rFonts w:cs="Arial"/>
        </w:rPr>
        <w:t xml:space="preserve">also support identification by description if needed.  Data content is comparable to the DD </w:t>
      </w:r>
      <w:r w:rsidR="00024CD9" w:rsidRPr="00196E92">
        <w:rPr>
          <w:rFonts w:cs="Arial"/>
        </w:rPr>
        <w:t xml:space="preserve">Form </w:t>
      </w:r>
      <w:r w:rsidRPr="00196E92">
        <w:rPr>
          <w:rFonts w:cs="Arial"/>
        </w:rPr>
        <w:t xml:space="preserve">1225.  When applicable, the report </w:t>
      </w:r>
      <w:r w:rsidR="00024CD9" w:rsidRPr="00196E92">
        <w:rPr>
          <w:rFonts w:cs="Arial"/>
        </w:rPr>
        <w:t>will</w:t>
      </w:r>
      <w:r w:rsidR="0096420C" w:rsidRPr="00196E92">
        <w:rPr>
          <w:rFonts w:cs="Arial"/>
        </w:rPr>
        <w:t xml:space="preserve"> </w:t>
      </w:r>
      <w:r w:rsidRPr="00196E92">
        <w:rPr>
          <w:rFonts w:cs="Arial"/>
        </w:rPr>
        <w:t>include the stock screening request reference number as a cross-reference between the screening request and th</w:t>
      </w:r>
      <w:r w:rsidR="007A674F" w:rsidRPr="00196E92">
        <w:rPr>
          <w:rFonts w:cs="Arial"/>
        </w:rPr>
        <w:t xml:space="preserve">e resulting SQCR.  The SQCR </w:t>
      </w:r>
      <w:r w:rsidR="00024CD9" w:rsidRPr="00196E92">
        <w:rPr>
          <w:rFonts w:cs="Arial"/>
        </w:rPr>
        <w:t>will</w:t>
      </w:r>
      <w:r w:rsidR="007A674F" w:rsidRPr="00196E92">
        <w:rPr>
          <w:rFonts w:cs="Arial"/>
        </w:rPr>
        <w:t xml:space="preserve"> use</w:t>
      </w:r>
      <w:r w:rsidRPr="00196E92">
        <w:rPr>
          <w:rFonts w:cs="Arial"/>
        </w:rPr>
        <w:t xml:space="preserve"> </w:t>
      </w:r>
      <w:r w:rsidR="00024CD9" w:rsidRPr="00196E92">
        <w:rPr>
          <w:rFonts w:cs="Arial"/>
        </w:rPr>
        <w:t xml:space="preserve">up to </w:t>
      </w:r>
      <w:r w:rsidR="00B01D24" w:rsidRPr="00196E92">
        <w:rPr>
          <w:rFonts w:cs="Arial"/>
        </w:rPr>
        <w:t xml:space="preserve">two </w:t>
      </w:r>
      <w:r w:rsidRPr="00196E92">
        <w:rPr>
          <w:rFonts w:cs="Arial"/>
        </w:rPr>
        <w:t>discrepancy code</w:t>
      </w:r>
      <w:r w:rsidR="00024CD9" w:rsidRPr="00196E92">
        <w:rPr>
          <w:rFonts w:cs="Arial"/>
        </w:rPr>
        <w:t>s</w:t>
      </w:r>
      <w:r w:rsidRPr="00196E92">
        <w:rPr>
          <w:rFonts w:cs="Arial"/>
        </w:rPr>
        <w:t xml:space="preserve"> to identify the non-conformance situation.  It provides the estimated/actual cost for repair or repackaging.  </w:t>
      </w:r>
      <w:r w:rsidR="00024CD9" w:rsidRPr="00196E92">
        <w:rPr>
          <w:rFonts w:cs="Arial"/>
        </w:rPr>
        <w:t>Item unique identification (IUID) data requirements will be populated on the SQCR in accordance with DoD Supply Policy when NSNs have an IUID Indicator Y.</w:t>
      </w:r>
      <w:r w:rsidRPr="00196E92">
        <w:rPr>
          <w:rStyle w:val="FootnoteReference"/>
          <w:rFonts w:cs="Arial"/>
        </w:rPr>
        <w:footnoteReference w:id="10"/>
      </w:r>
    </w:p>
    <w:p w14:paraId="30D7FB57" w14:textId="1317EE41" w:rsidR="00950CC6" w:rsidRPr="00196E92" w:rsidRDefault="00950CC6" w:rsidP="00EF2033">
      <w:pPr>
        <w:tabs>
          <w:tab w:val="left" w:pos="547"/>
          <w:tab w:val="left" w:pos="1080"/>
          <w:tab w:val="left" w:pos="1627"/>
          <w:tab w:val="left" w:pos="2232"/>
          <w:tab w:val="left" w:pos="2707"/>
          <w:tab w:val="left" w:pos="3240"/>
        </w:tabs>
        <w:spacing w:after="240"/>
        <w:outlineLvl w:val="1"/>
        <w:rPr>
          <w:rFonts w:cs="Arial"/>
        </w:rPr>
      </w:pPr>
      <w:r w:rsidRPr="00196E92">
        <w:rPr>
          <w:rFonts w:cs="Arial"/>
        </w:rPr>
        <w:tab/>
      </w:r>
      <w:r w:rsidRPr="00196E92">
        <w:rPr>
          <w:rFonts w:cs="Arial"/>
        </w:rPr>
        <w:tab/>
        <w:t xml:space="preserve">C21.4.7.1.  The </w:t>
      </w:r>
      <w:r w:rsidR="0096420C" w:rsidRPr="00196E92">
        <w:rPr>
          <w:rFonts w:cs="Arial"/>
        </w:rPr>
        <w:t xml:space="preserve">storage activity </w:t>
      </w:r>
      <w:r w:rsidRPr="00196E92">
        <w:rPr>
          <w:rFonts w:cs="Arial"/>
        </w:rPr>
        <w:t xml:space="preserve">SQCR format performs </w:t>
      </w:r>
      <w:r w:rsidR="003B48B1" w:rsidRPr="00196E92">
        <w:rPr>
          <w:rFonts w:cs="Arial"/>
        </w:rPr>
        <w:t>five</w:t>
      </w:r>
      <w:r w:rsidRPr="00196E92">
        <w:rPr>
          <w:rFonts w:cs="Arial"/>
        </w:rPr>
        <w:t xml:space="preserve"> functions:</w:t>
      </w:r>
    </w:p>
    <w:p w14:paraId="30D7FB58" w14:textId="5A2B0354" w:rsidR="00950CC6" w:rsidRPr="00196E92" w:rsidRDefault="00950CC6" w:rsidP="006D4746">
      <w:pPr>
        <w:tabs>
          <w:tab w:val="left" w:pos="547"/>
          <w:tab w:val="left" w:pos="1080"/>
          <w:tab w:val="left" w:pos="1627"/>
          <w:tab w:val="left" w:pos="2232"/>
          <w:tab w:val="left" w:pos="2707"/>
          <w:tab w:val="left" w:pos="3240"/>
        </w:tabs>
        <w:spacing w:after="240"/>
        <w:rPr>
          <w:rFonts w:cs="Arial"/>
          <w:u w:val="single"/>
        </w:rPr>
      </w:pPr>
      <w:r w:rsidRPr="00196E92">
        <w:rPr>
          <w:rFonts w:cs="Arial"/>
        </w:rPr>
        <w:tab/>
      </w:r>
      <w:r w:rsidRPr="00196E92">
        <w:rPr>
          <w:rFonts w:cs="Arial"/>
        </w:rPr>
        <w:tab/>
      </w:r>
      <w:r w:rsidRPr="00196E92">
        <w:rPr>
          <w:rFonts w:cs="Arial"/>
        </w:rPr>
        <w:tab/>
        <w:t xml:space="preserve">C21.4.7.1.1.  </w:t>
      </w:r>
      <w:r w:rsidRPr="00196E92">
        <w:rPr>
          <w:rFonts w:cs="Arial"/>
          <w:u w:val="single"/>
        </w:rPr>
        <w:t>Original Report</w:t>
      </w:r>
      <w:r w:rsidR="007D336A" w:rsidRPr="00196E92">
        <w:rPr>
          <w:rFonts w:cs="Arial"/>
          <w:u w:val="single"/>
        </w:rPr>
        <w:t xml:space="preserve"> (Transaction Set Purpose Code 00</w:t>
      </w:r>
      <w:r w:rsidR="006D4746" w:rsidRPr="00196E92">
        <w:rPr>
          <w:rFonts w:cs="Arial"/>
          <w:u w:val="single"/>
        </w:rPr>
        <w:t>)</w:t>
      </w:r>
    </w:p>
    <w:p w14:paraId="30D7FB59" w14:textId="3F2B979D" w:rsidR="00950CC6" w:rsidRPr="00196E92" w:rsidRDefault="00950CC6"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Pr="00196E92">
        <w:rPr>
          <w:rFonts w:cs="Arial"/>
        </w:rPr>
        <w:tab/>
        <w:t xml:space="preserve">C21.4.7.1.2.  </w:t>
      </w:r>
      <w:r w:rsidRPr="00196E92">
        <w:rPr>
          <w:rFonts w:cs="Arial"/>
          <w:u w:val="single"/>
        </w:rPr>
        <w:t>Correction</w:t>
      </w:r>
      <w:r w:rsidR="007D336A" w:rsidRPr="00196E92">
        <w:rPr>
          <w:rFonts w:cs="Arial"/>
          <w:u w:val="single"/>
        </w:rPr>
        <w:t xml:space="preserve"> (Transaction Set Purpose Code CO)</w:t>
      </w:r>
    </w:p>
    <w:p w14:paraId="30D7FB5A" w14:textId="0B47E0AE" w:rsidR="00950CC6" w:rsidRPr="00196E92" w:rsidRDefault="00950CC6"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Pr="00196E92">
        <w:rPr>
          <w:rFonts w:cs="Arial"/>
        </w:rPr>
        <w:tab/>
        <w:t xml:space="preserve">C21.4.7.1.3.  </w:t>
      </w:r>
      <w:r w:rsidRPr="00196E92">
        <w:rPr>
          <w:rFonts w:cs="Arial"/>
          <w:u w:val="single"/>
        </w:rPr>
        <w:t>Cancellation</w:t>
      </w:r>
      <w:r w:rsidR="007D336A" w:rsidRPr="00196E92">
        <w:rPr>
          <w:rFonts w:cs="Arial"/>
          <w:u w:val="single"/>
        </w:rPr>
        <w:t xml:space="preserve"> (Transaction Set Purpose Code 01)</w:t>
      </w:r>
    </w:p>
    <w:p w14:paraId="30D7FB5B" w14:textId="5F83177A" w:rsidR="00950CC6" w:rsidRPr="00196E92" w:rsidRDefault="00950CC6"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Pr="00196E92">
        <w:rPr>
          <w:rFonts w:cs="Arial"/>
        </w:rPr>
        <w:tab/>
        <w:t xml:space="preserve">C21.4.7.1.4.  </w:t>
      </w:r>
      <w:r w:rsidR="00656D88" w:rsidRPr="00196E92">
        <w:rPr>
          <w:rFonts w:cs="Arial"/>
          <w:u w:val="single"/>
        </w:rPr>
        <w:t>Follow-up (Transaction Set Purpose Code 45)</w:t>
      </w:r>
    </w:p>
    <w:p w14:paraId="3A47824F" w14:textId="6D304E71" w:rsidR="00656D88" w:rsidRPr="00196E92" w:rsidRDefault="00656D88"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Pr="00196E92">
        <w:rPr>
          <w:rFonts w:cs="Arial"/>
        </w:rPr>
        <w:tab/>
        <w:t xml:space="preserve">C21.4.7.1.5.  </w:t>
      </w:r>
      <w:r w:rsidRPr="00196E92">
        <w:rPr>
          <w:rFonts w:cs="Arial"/>
          <w:u w:val="single"/>
        </w:rPr>
        <w:t>Reconsideration Request (Transaction Set Purpose Code 15)</w:t>
      </w:r>
      <w:r w:rsidRPr="00196E92">
        <w:rPr>
          <w:rFonts w:cs="Arial"/>
        </w:rPr>
        <w:t>.  This is used when the storage activity does not agree with the requested action, allowing the storage activity an option to reque</w:t>
      </w:r>
      <w:r w:rsidR="00BA6FC4" w:rsidRPr="00196E92">
        <w:rPr>
          <w:rFonts w:cs="Arial"/>
        </w:rPr>
        <w:t>st further review by the owner.</w:t>
      </w:r>
    </w:p>
    <w:p w14:paraId="30D7FB5C" w14:textId="2D52A2F8" w:rsidR="00950CC6" w:rsidRPr="00196E92" w:rsidRDefault="00950CC6" w:rsidP="006D4746">
      <w:pPr>
        <w:keepNext/>
        <w:keepLines/>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t xml:space="preserve">C21.4.7.2.  </w:t>
      </w:r>
      <w:r w:rsidR="00F86AA1" w:rsidRPr="00196E92">
        <w:rPr>
          <w:rFonts w:cs="Arial"/>
        </w:rPr>
        <w:t xml:space="preserve">The SQCR reply format performs </w:t>
      </w:r>
      <w:r w:rsidR="00434412" w:rsidRPr="00196E92">
        <w:rPr>
          <w:rFonts w:cs="Arial"/>
        </w:rPr>
        <w:t>four</w:t>
      </w:r>
      <w:r w:rsidR="00F86AA1" w:rsidRPr="00196E92">
        <w:rPr>
          <w:rFonts w:cs="Arial"/>
        </w:rPr>
        <w:t xml:space="preserve"> functions:</w:t>
      </w:r>
    </w:p>
    <w:p w14:paraId="30D7FB5D" w14:textId="77777777" w:rsidR="00F86AA1" w:rsidRPr="00196E92" w:rsidRDefault="00F86AA1" w:rsidP="006D4746">
      <w:pPr>
        <w:keepNext/>
        <w:keepLines/>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Pr="00196E92">
        <w:rPr>
          <w:rFonts w:cs="Arial"/>
        </w:rPr>
        <w:tab/>
        <w:t xml:space="preserve">C21.4.7.2.1.  </w:t>
      </w:r>
      <w:r w:rsidRPr="00196E92">
        <w:rPr>
          <w:rFonts w:cs="Arial"/>
          <w:bCs/>
          <w:u w:val="single"/>
        </w:rPr>
        <w:t>SQCR Reply</w:t>
      </w:r>
      <w:r w:rsidRPr="00196E92">
        <w:rPr>
          <w:rFonts w:cs="Arial"/>
          <w:bCs/>
        </w:rPr>
        <w:t xml:space="preserve">.  </w:t>
      </w:r>
      <w:r w:rsidRPr="00196E92">
        <w:rPr>
          <w:rFonts w:cs="Arial"/>
        </w:rPr>
        <w:t xml:space="preserve">This is used by the </w:t>
      </w:r>
      <w:r w:rsidR="00B27359" w:rsidRPr="00196E92">
        <w:rPr>
          <w:rFonts w:cs="Arial"/>
        </w:rPr>
        <w:t>materiel</w:t>
      </w:r>
      <w:r w:rsidRPr="00196E92">
        <w:rPr>
          <w:rFonts w:cs="Arial"/>
        </w:rPr>
        <w:t xml:space="preserve"> owner to provide disposition instructions on requested stock readiness work.</w:t>
      </w:r>
    </w:p>
    <w:p w14:paraId="2431556B" w14:textId="28B20420" w:rsidR="00434412" w:rsidRPr="00196E92" w:rsidRDefault="00F86AA1"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Pr="00196E92">
        <w:rPr>
          <w:rFonts w:cs="Arial"/>
        </w:rPr>
        <w:tab/>
        <w:t xml:space="preserve">C21.4.7.2.2.  </w:t>
      </w:r>
      <w:r w:rsidR="00434412" w:rsidRPr="00196E92">
        <w:rPr>
          <w:rFonts w:cs="Arial"/>
          <w:u w:val="single"/>
        </w:rPr>
        <w:t>SQCR Interim Reply</w:t>
      </w:r>
      <w:r w:rsidR="00434412" w:rsidRPr="00196E92">
        <w:rPr>
          <w:rFonts w:cs="Arial"/>
        </w:rPr>
        <w:t xml:space="preserve">.  SQCR interim replies (Transaction Set Purpose Code 11) are used by the materiel owner to request additional information or clarification from the storage activity on requested stock readiness work.  This requires inclusion of Reply Code 104 and </w:t>
      </w:r>
      <w:r w:rsidR="00BA6FC4" w:rsidRPr="00196E92">
        <w:rPr>
          <w:rFonts w:cs="Arial"/>
        </w:rPr>
        <w:t xml:space="preserve">clarifying narrative remarks.  </w:t>
      </w:r>
      <w:r w:rsidR="00434412" w:rsidRPr="00196E92">
        <w:rPr>
          <w:rFonts w:cs="Arial"/>
        </w:rPr>
        <w:t xml:space="preserve">The submitting activity is encouraged to respond immediately, but no later than 31 days from issuance of the request.  In a transactional response to the request for additional information, the submitting activity must provide a status update (Transaction Set Purpose Code SU) using Reply Code 321 to notify the action activity that the requested information is being provided or the submitter may provide clarification via off-line communication.  No more than three request/response transactions per SQCR will be allowed. </w:t>
      </w:r>
      <w:r w:rsidR="00E42A49" w:rsidRPr="00196E92">
        <w:rPr>
          <w:rFonts w:cs="Arial"/>
        </w:rPr>
        <w:t xml:space="preserve"> </w:t>
      </w:r>
      <w:r w:rsidR="00434412" w:rsidRPr="00196E92">
        <w:rPr>
          <w:rFonts w:cs="Arial"/>
        </w:rPr>
        <w:t>A fourth transmission of Reply Code 104 or 321 will result in systemic rejection and will require manual attention.</w:t>
      </w:r>
    </w:p>
    <w:p w14:paraId="6B9E4E7C" w14:textId="5055103F" w:rsidR="00434412" w:rsidRPr="00196E92" w:rsidRDefault="00434412"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Pr="00196E92">
        <w:rPr>
          <w:rFonts w:cs="Arial"/>
        </w:rPr>
        <w:tab/>
      </w:r>
      <w:r w:rsidRPr="00196E92">
        <w:rPr>
          <w:rFonts w:cs="Arial"/>
        </w:rPr>
        <w:tab/>
        <w:t xml:space="preserve">C21.4.7.2.3.  </w:t>
      </w:r>
      <w:r w:rsidRPr="00196E92">
        <w:rPr>
          <w:rFonts w:cs="Arial"/>
          <w:u w:val="single"/>
        </w:rPr>
        <w:t>Status Update</w:t>
      </w:r>
      <w:r w:rsidRPr="00196E92">
        <w:rPr>
          <w:rFonts w:cs="Arial"/>
        </w:rPr>
        <w:t xml:space="preserve">.  A status update (Transaction Set Purpose Code SU) is a form of reply prepared by the activity that submitted the SQCR.  It is used by the storage activity to provide information to the materiel owner, often in response to </w:t>
      </w:r>
      <w:r w:rsidRPr="00196E92">
        <w:rPr>
          <w:rFonts w:cs="Arial"/>
        </w:rPr>
        <w:lastRenderedPageBreak/>
        <w:t xml:space="preserve">an interim reply requesting additional information or clarification. </w:t>
      </w:r>
      <w:r w:rsidR="00BA6FC4" w:rsidRPr="00196E92">
        <w:rPr>
          <w:rFonts w:cs="Arial"/>
        </w:rPr>
        <w:t xml:space="preserve"> </w:t>
      </w:r>
      <w:r w:rsidRPr="00196E92">
        <w:rPr>
          <w:rFonts w:cs="Arial"/>
        </w:rPr>
        <w:t>Using the Status Update allows for two-way communication between the submitting activity and the owner.</w:t>
      </w:r>
    </w:p>
    <w:p w14:paraId="2FE5B510" w14:textId="4FF9591E" w:rsidR="00434412" w:rsidRPr="00196E92" w:rsidRDefault="00434412" w:rsidP="006D4746">
      <w:pPr>
        <w:tabs>
          <w:tab w:val="left" w:pos="547"/>
          <w:tab w:val="left" w:pos="1080"/>
          <w:tab w:val="left" w:pos="1627"/>
          <w:tab w:val="left" w:pos="2232"/>
          <w:tab w:val="left" w:pos="2707"/>
          <w:tab w:val="left" w:pos="3240"/>
        </w:tabs>
        <w:spacing w:after="240"/>
        <w:rPr>
          <w:rFonts w:cs="Arial"/>
          <w:bCs/>
        </w:rPr>
      </w:pPr>
      <w:r w:rsidRPr="00196E92">
        <w:rPr>
          <w:rFonts w:cs="Arial"/>
        </w:rPr>
        <w:tab/>
      </w:r>
      <w:r w:rsidRPr="00196E92">
        <w:rPr>
          <w:rFonts w:cs="Arial"/>
        </w:rPr>
        <w:tab/>
      </w:r>
      <w:r w:rsidRPr="00196E92">
        <w:rPr>
          <w:rFonts w:cs="Arial"/>
        </w:rPr>
        <w:tab/>
        <w:t>C21.4.7.2.4.</w:t>
      </w:r>
      <w:r w:rsidR="00BA6FC4" w:rsidRPr="00196E92">
        <w:rPr>
          <w:rFonts w:cs="Arial"/>
          <w:bCs/>
        </w:rPr>
        <w:t xml:space="preserve">  </w:t>
      </w:r>
      <w:r w:rsidR="00F86AA1" w:rsidRPr="00196E92">
        <w:rPr>
          <w:rFonts w:cs="Arial"/>
          <w:bCs/>
          <w:u w:val="single"/>
        </w:rPr>
        <w:t>Completion Notice</w:t>
      </w:r>
      <w:r w:rsidR="00F86AA1" w:rsidRPr="00196E92">
        <w:rPr>
          <w:rFonts w:cs="Arial"/>
          <w:bCs/>
        </w:rPr>
        <w:t xml:space="preserve">.  </w:t>
      </w:r>
      <w:r w:rsidRPr="00196E92">
        <w:rPr>
          <w:rFonts w:cs="Arial"/>
          <w:bCs/>
        </w:rPr>
        <w:t xml:space="preserve">A completion notice (Transaction Set Purpose Code CN), is used by the storage activity to communicate with the materiel owner that final action has been taken on the SQCR. </w:t>
      </w:r>
      <w:r w:rsidR="00BA6FC4" w:rsidRPr="00196E92">
        <w:rPr>
          <w:rFonts w:cs="Arial"/>
          <w:bCs/>
        </w:rPr>
        <w:t xml:space="preserve"> </w:t>
      </w:r>
      <w:r w:rsidRPr="00196E92">
        <w:rPr>
          <w:rFonts w:cs="Arial"/>
          <w:bCs/>
        </w:rPr>
        <w:t>This is equivalent to indicating the storage activity has closed the SQCR. The completion notice provides closing remarks and the date the closing action was completed.</w:t>
      </w:r>
    </w:p>
    <w:p w14:paraId="2BDCA87E" w14:textId="6915ED73" w:rsidR="00FF650F" w:rsidRPr="00196E92" w:rsidRDefault="00FF650F" w:rsidP="00EF2033">
      <w:pPr>
        <w:tabs>
          <w:tab w:val="left" w:pos="547"/>
          <w:tab w:val="left" w:pos="1080"/>
          <w:tab w:val="left" w:pos="1627"/>
          <w:tab w:val="left" w:pos="2232"/>
          <w:tab w:val="left" w:pos="2707"/>
          <w:tab w:val="left" w:pos="3240"/>
        </w:tabs>
        <w:spacing w:after="240"/>
        <w:outlineLvl w:val="1"/>
        <w:rPr>
          <w:rFonts w:cs="Arial"/>
          <w:bCs/>
        </w:rPr>
      </w:pPr>
      <w:r w:rsidRPr="00196E92">
        <w:rPr>
          <w:rFonts w:cs="Arial"/>
          <w:bCs/>
        </w:rPr>
        <w:tab/>
      </w:r>
      <w:r w:rsidRPr="00196E92">
        <w:rPr>
          <w:rFonts w:cs="Arial"/>
          <w:bCs/>
        </w:rPr>
        <w:tab/>
      </w:r>
      <w:r w:rsidRPr="00196E92">
        <w:rPr>
          <w:rFonts w:cs="Arial"/>
          <w:bCs/>
        </w:rPr>
        <w:tab/>
        <w:t xml:space="preserve">C21.4.8.  </w:t>
      </w:r>
      <w:r w:rsidRPr="00196E92">
        <w:rPr>
          <w:rFonts w:cs="Arial"/>
          <w:u w:val="single"/>
          <w:shd w:val="clear" w:color="auto" w:fill="FFFFFF" w:themeFill="background1"/>
        </w:rPr>
        <w:t>Missing Serial Number</w:t>
      </w:r>
      <w:r w:rsidRPr="00196E92">
        <w:rPr>
          <w:rFonts w:cs="Arial"/>
          <w:shd w:val="clear" w:color="auto" w:fill="FFFFFF" w:themeFill="background1"/>
        </w:rPr>
        <w:t xml:space="preserve">.   In support of Financial Improvement and Audit Readiness (FIAR) </w:t>
      </w:r>
      <w:r w:rsidR="002E37FE" w:rsidRPr="00196E92">
        <w:rPr>
          <w:rFonts w:cs="Arial"/>
          <w:bCs/>
          <w:shd w:val="clear" w:color="auto" w:fill="FFFFFF" w:themeFill="background1"/>
        </w:rPr>
        <w:t>)</w:t>
      </w:r>
      <w:r w:rsidR="002E37FE" w:rsidRPr="00196E92">
        <w:rPr>
          <w:rFonts w:cs="Arial"/>
          <w:b/>
          <w:i/>
          <w:iCs/>
          <w:shd w:val="clear" w:color="auto" w:fill="FFFFFF" w:themeFill="background1"/>
        </w:rPr>
        <w:t>,</w:t>
      </w:r>
      <w:r w:rsidR="002E37FE" w:rsidRPr="00196E92">
        <w:rPr>
          <w:rFonts w:cs="Arial"/>
          <w:bCs/>
          <w:shd w:val="clear" w:color="auto" w:fill="FFFFFF" w:themeFill="background1"/>
        </w:rPr>
        <w:t xml:space="preserve"> accountability and management of capital equipment</w:t>
      </w:r>
      <w:r w:rsidR="000751AD" w:rsidRPr="00196E92">
        <w:rPr>
          <w:rFonts w:cs="Arial"/>
          <w:bCs/>
          <w:shd w:val="clear" w:color="auto" w:fill="FFFFFF" w:themeFill="background1"/>
        </w:rPr>
        <w:t xml:space="preserve"> </w:t>
      </w:r>
      <w:r w:rsidR="002E37FE" w:rsidRPr="00AF624D">
        <w:rPr>
          <w:rFonts w:cs="Arial"/>
          <w:bCs/>
          <w:shd w:val="clear" w:color="auto" w:fill="FFFFFF" w:themeFill="background1"/>
        </w:rPr>
        <w:t>assigned under an established unique Item tracking (UIT) program requires serialization data visibility.  Thus, items with an approved UIT designator code</w:t>
      </w:r>
      <w:r w:rsidR="002E37FE" w:rsidRPr="00196E92">
        <w:rPr>
          <w:rFonts w:cs="Arial"/>
          <w:b/>
          <w:i/>
          <w:iCs/>
          <w:shd w:val="clear" w:color="auto" w:fill="D6E3BC" w:themeFill="accent3" w:themeFillTint="66"/>
        </w:rPr>
        <w:t xml:space="preserve"> </w:t>
      </w:r>
      <w:r w:rsidR="000751AD" w:rsidRPr="00196E92">
        <w:rPr>
          <w:rFonts w:cs="Arial"/>
          <w:shd w:val="clear" w:color="auto" w:fill="FFFFFF" w:themeFill="background1"/>
        </w:rPr>
        <w:t>lo</w:t>
      </w:r>
      <w:r w:rsidRPr="00196E92">
        <w:rPr>
          <w:rFonts w:cs="Arial"/>
          <w:shd w:val="clear" w:color="auto" w:fill="FFFFFF" w:themeFill="background1"/>
        </w:rPr>
        <w:t>cated in storage without a serial number will not only require an SQCR, but will stop the equipment in the supply chain until a serial number is identified and the materiel is marked.  Distribution centers must suspend the item in SCC J and prepare an SQCR.  Cite the applicable discrepancy code and provide clarifying remarks with descriptive information for the item.  If the storage activity is unable to determine the missing serial number from inventory records, the materiel owner is responsible for determining the appropriate serial number and providing disposition for marking the item (Reply Code 611).</w:t>
      </w:r>
      <w:r w:rsidRPr="00196E92">
        <w:rPr>
          <w:rStyle w:val="FootnoteReference"/>
          <w:rFonts w:eastAsia="Calibri"/>
          <w:shd w:val="clear" w:color="auto" w:fill="FFFFFF" w:themeFill="background1"/>
        </w:rPr>
        <w:footnoteReference w:id="11"/>
      </w:r>
    </w:p>
    <w:p w14:paraId="0F80F9C7" w14:textId="7FE4B5F8" w:rsidR="00990345" w:rsidRPr="00196E92" w:rsidRDefault="00434412" w:rsidP="006D4746">
      <w:pPr>
        <w:tabs>
          <w:tab w:val="left" w:pos="547"/>
          <w:tab w:val="left" w:pos="1080"/>
          <w:tab w:val="left" w:pos="1627"/>
          <w:tab w:val="left" w:pos="2232"/>
          <w:tab w:val="left" w:pos="2707"/>
          <w:tab w:val="left" w:pos="3240"/>
        </w:tabs>
        <w:spacing w:after="240"/>
        <w:rPr>
          <w:rFonts w:cs="Arial"/>
          <w:bCs/>
        </w:rPr>
      </w:pPr>
      <w:r w:rsidRPr="00196E92">
        <w:rPr>
          <w:rFonts w:cs="Arial"/>
          <w:bCs/>
        </w:rPr>
        <w:tab/>
      </w:r>
      <w:r w:rsidR="00990345" w:rsidRPr="00196E92">
        <w:rPr>
          <w:rFonts w:cs="Arial"/>
          <w:bCs/>
        </w:rPr>
        <w:t>C21.4.</w:t>
      </w:r>
      <w:r w:rsidR="00FF650F" w:rsidRPr="00196E92">
        <w:rPr>
          <w:rFonts w:cs="Arial"/>
          <w:bCs/>
        </w:rPr>
        <w:t>9</w:t>
      </w:r>
      <w:r w:rsidR="00990345" w:rsidRPr="00196E92">
        <w:rPr>
          <w:rFonts w:cs="Arial"/>
          <w:bCs/>
        </w:rPr>
        <w:t xml:space="preserve">. </w:t>
      </w:r>
      <w:r w:rsidR="00F07D88" w:rsidRPr="00196E92">
        <w:rPr>
          <w:rFonts w:cs="Arial"/>
          <w:bCs/>
        </w:rPr>
        <w:t xml:space="preserve"> </w:t>
      </w:r>
      <w:r w:rsidR="00990345" w:rsidRPr="00196E92">
        <w:rPr>
          <w:rFonts w:cs="Arial"/>
          <w:bCs/>
          <w:u w:val="single"/>
        </w:rPr>
        <w:t>Quality Related Issues Identified as a Result of a Stock Screening Request Initiated by a Non-Owning Manager</w:t>
      </w:r>
      <w:r w:rsidR="00990345" w:rsidRPr="00196E92">
        <w:rPr>
          <w:rFonts w:cs="Arial"/>
          <w:bCs/>
        </w:rPr>
        <w:t>.</w:t>
      </w:r>
      <w:r w:rsidR="00990345" w:rsidRPr="00196E92">
        <w:rPr>
          <w:rFonts w:cs="Arial"/>
          <w:bCs/>
          <w:vertAlign w:val="superscript"/>
        </w:rPr>
        <w:footnoteReference w:id="12"/>
      </w:r>
      <w:r w:rsidR="00990345" w:rsidRPr="00196E92">
        <w:rPr>
          <w:rFonts w:cs="Arial"/>
          <w:bCs/>
        </w:rPr>
        <w:t xml:space="preserve">  When the DLA Distribution Center receives a Stock Screening Request, the inspection workload is automatically generated in DSS.  The DLA storage activity must record the inspection results in DSS and forward to the item manager.  If the inspection results identify non-manager owned suspected non-conforming materiel, the DLA storage activity will suspend the materiel and must prepare a SQCR to the item manager with an information copy to the non-managing owner.  The SQCR will include Action Code 4A indicating the SQCR is for non-manager owned materiel.  The Stock Screening Request number will be perpetuated on the SQCR.  This process is primarily designed to allow the non-managing owner to obtain credit for non-conforming materiel that is located in a DLA storage activity and return that mater</w:t>
      </w:r>
      <w:r w:rsidR="00BA6FC4" w:rsidRPr="00196E92">
        <w:rPr>
          <w:rFonts w:cs="Arial"/>
          <w:bCs/>
        </w:rPr>
        <w:t>iel to the manager’s ownership.</w:t>
      </w:r>
    </w:p>
    <w:p w14:paraId="61FB0482" w14:textId="6AC16C72" w:rsidR="00990345" w:rsidRPr="00196E92" w:rsidRDefault="00990345" w:rsidP="006D4746">
      <w:pPr>
        <w:tabs>
          <w:tab w:val="left" w:pos="547"/>
          <w:tab w:val="left" w:pos="1080"/>
          <w:tab w:val="left" w:pos="1627"/>
          <w:tab w:val="left" w:pos="2232"/>
          <w:tab w:val="left" w:pos="2707"/>
          <w:tab w:val="left" w:pos="3240"/>
        </w:tabs>
        <w:spacing w:after="240"/>
        <w:rPr>
          <w:rFonts w:cs="Arial"/>
          <w:bCs/>
        </w:rPr>
      </w:pPr>
      <w:r w:rsidRPr="00196E92">
        <w:rPr>
          <w:rFonts w:cs="Arial"/>
          <w:bCs/>
        </w:rPr>
        <w:tab/>
      </w:r>
      <w:r w:rsidRPr="00196E92">
        <w:rPr>
          <w:rFonts w:cs="Arial"/>
          <w:bCs/>
        </w:rPr>
        <w:tab/>
        <w:t>C21.4.</w:t>
      </w:r>
      <w:r w:rsidR="00FF650F" w:rsidRPr="00196E92">
        <w:rPr>
          <w:rFonts w:cs="Arial"/>
          <w:bCs/>
        </w:rPr>
        <w:t>9</w:t>
      </w:r>
      <w:r w:rsidRPr="00196E92">
        <w:rPr>
          <w:rFonts w:cs="Arial"/>
          <w:bCs/>
        </w:rPr>
        <w:t xml:space="preserve">.1.  Upon completion of the investigation, if the suspended materiel is found to be non-conforming, the manager will provide an interim SQCR response to the owner(s) using Reply Code </w:t>
      </w:r>
      <w:r w:rsidR="003E166E" w:rsidRPr="003E166E">
        <w:rPr>
          <w:rFonts w:cs="Arial"/>
          <w:b/>
          <w:i/>
          <w:iCs/>
        </w:rPr>
        <w:t>104</w:t>
      </w:r>
      <w:r w:rsidRPr="00196E92">
        <w:rPr>
          <w:rFonts w:cs="Arial"/>
          <w:bCs/>
        </w:rPr>
        <w:t xml:space="preserve"> requesting original requisition numbers and asking the owner to create a ship-in-place MRO to the distribution center(s) where the materiel is located using the manager-provided document number.  Concurrent with the SQCR interim reply, the manager will provide a prepositioned materiel receipt (PMR) to the applicable distribution center(s) identifying the manager as the activity to which the receipt transferring ownership will be directed.  If the owner no longer knows the specific document number under which the materiel was requisitioned, a constructed document </w:t>
      </w:r>
      <w:r w:rsidRPr="00196E92">
        <w:rPr>
          <w:rFonts w:cs="Arial"/>
          <w:bCs/>
        </w:rPr>
        <w:lastRenderedPageBreak/>
        <w:t>number</w:t>
      </w:r>
      <w:r w:rsidR="00826C01">
        <w:rPr>
          <w:rFonts w:cs="Arial"/>
          <w:bCs/>
        </w:rPr>
        <w:t xml:space="preserve"> </w:t>
      </w:r>
      <w:r w:rsidR="00826C01" w:rsidRPr="00826C01">
        <w:rPr>
          <w:rFonts w:cs="Arial"/>
          <w:b/>
          <w:i/>
          <w:iCs/>
        </w:rPr>
        <w:t>must</w:t>
      </w:r>
      <w:r w:rsidRPr="00196E92">
        <w:rPr>
          <w:rFonts w:cs="Arial"/>
          <w:bCs/>
        </w:rPr>
        <w:t xml:space="preserve"> be used. </w:t>
      </w:r>
      <w:r w:rsidR="003E166E" w:rsidRPr="003E166E">
        <w:rPr>
          <w:rFonts w:cs="Arial"/>
          <w:b/>
          <w:i/>
          <w:iCs/>
        </w:rPr>
        <w:t>Failing to provide the original document number for material issued by the source of supply (SOS) will result in no credit to the Component performing the return</w:t>
      </w:r>
      <w:r w:rsidRPr="00196E92">
        <w:rPr>
          <w:rFonts w:cs="Arial"/>
          <w:bCs/>
        </w:rPr>
        <w:t xml:space="preserve"> </w:t>
      </w:r>
      <w:r w:rsidR="003E166E" w:rsidRPr="002F32A4">
        <w:rPr>
          <w:rFonts w:cs="Arial"/>
          <w:bCs/>
        </w:rPr>
        <w:t>w</w:t>
      </w:r>
      <w:r w:rsidRPr="00196E92">
        <w:rPr>
          <w:rFonts w:cs="Arial"/>
          <w:bCs/>
        </w:rPr>
        <w:t>hen</w:t>
      </w:r>
      <w:r w:rsidR="002F32A4">
        <w:rPr>
          <w:rFonts w:cs="Arial"/>
          <w:bCs/>
        </w:rPr>
        <w:t xml:space="preserve"> </w:t>
      </w:r>
      <w:r w:rsidR="002F32A4" w:rsidRPr="002F32A4">
        <w:rPr>
          <w:rFonts w:cs="Arial"/>
          <w:b/>
          <w:i/>
          <w:iCs/>
        </w:rPr>
        <w:t>using</w:t>
      </w:r>
      <w:r w:rsidRPr="00196E92">
        <w:rPr>
          <w:rFonts w:cs="Arial"/>
          <w:bCs/>
        </w:rPr>
        <w:t xml:space="preserve"> a constructed document number</w:t>
      </w:r>
      <w:r w:rsidR="002F32A4">
        <w:rPr>
          <w:rFonts w:cs="Arial"/>
          <w:bCs/>
        </w:rPr>
        <w:t>.</w:t>
      </w:r>
      <w:r w:rsidRPr="00196E92">
        <w:rPr>
          <w:rFonts w:cs="Arial"/>
          <w:bCs/>
        </w:rPr>
        <w:t xml:space="preserve"> </w:t>
      </w:r>
    </w:p>
    <w:p w14:paraId="2F82ADD8" w14:textId="42B4CDD5" w:rsidR="00990345" w:rsidRPr="00196E92" w:rsidRDefault="00990345" w:rsidP="00583218">
      <w:pPr>
        <w:keepNext/>
        <w:tabs>
          <w:tab w:val="left" w:pos="547"/>
          <w:tab w:val="left" w:pos="1080"/>
          <w:tab w:val="left" w:pos="1627"/>
          <w:tab w:val="left" w:pos="2232"/>
          <w:tab w:val="left" w:pos="2707"/>
          <w:tab w:val="left" w:pos="3240"/>
        </w:tabs>
        <w:spacing w:after="240"/>
        <w:rPr>
          <w:rFonts w:cs="Arial"/>
          <w:bCs/>
        </w:rPr>
      </w:pPr>
      <w:r w:rsidRPr="00196E92">
        <w:rPr>
          <w:rFonts w:cs="Arial"/>
          <w:bCs/>
        </w:rPr>
        <w:tab/>
      </w:r>
      <w:r w:rsidRPr="00196E92">
        <w:rPr>
          <w:rFonts w:cs="Arial"/>
          <w:bCs/>
        </w:rPr>
        <w:tab/>
        <w:t>C21.4.</w:t>
      </w:r>
      <w:r w:rsidR="00FF650F" w:rsidRPr="00196E92">
        <w:rPr>
          <w:rFonts w:cs="Arial"/>
          <w:bCs/>
        </w:rPr>
        <w:t>9</w:t>
      </w:r>
      <w:r w:rsidRPr="00196E92">
        <w:rPr>
          <w:rFonts w:cs="Arial"/>
          <w:bCs/>
        </w:rPr>
        <w:t xml:space="preserve">.2.  </w:t>
      </w:r>
      <w:r w:rsidRPr="00196E92">
        <w:rPr>
          <w:rFonts w:cs="Arial"/>
          <w:bCs/>
          <w:u w:val="single"/>
        </w:rPr>
        <w:t>Standard Line of Accounting/Accounting Classification Data Elements</w:t>
      </w:r>
      <w:r w:rsidRPr="00196E92">
        <w:rPr>
          <w:rFonts w:cs="Arial"/>
          <w:bCs/>
        </w:rPr>
        <w:t>.  Under DLMS, logistics transactions with financial implications are r</w:t>
      </w:r>
      <w:r w:rsidR="00F07D88" w:rsidRPr="00196E92">
        <w:rPr>
          <w:rFonts w:cs="Arial"/>
          <w:bCs/>
        </w:rPr>
        <w:t>equired to carry discrete SLOA/</w:t>
      </w:r>
      <w:r w:rsidRPr="00196E92">
        <w:rPr>
          <w:rFonts w:cs="Arial"/>
          <w:bCs/>
        </w:rPr>
        <w:t xml:space="preserve">Accounting Classification data elements.  This requirement </w:t>
      </w:r>
      <w:r w:rsidR="00583218" w:rsidRPr="00583218">
        <w:rPr>
          <w:rFonts w:cs="Arial"/>
          <w:b/>
          <w:i/>
          <w:iCs/>
        </w:rPr>
        <w:t>does</w:t>
      </w:r>
      <w:r w:rsidR="00583218">
        <w:rPr>
          <w:rFonts w:cs="Arial"/>
          <w:bCs/>
        </w:rPr>
        <w:t xml:space="preserve"> </w:t>
      </w:r>
      <w:r w:rsidR="00583218" w:rsidRPr="00583218">
        <w:rPr>
          <w:rFonts w:cs="Arial"/>
          <w:b/>
          <w:i/>
          <w:iCs/>
        </w:rPr>
        <w:t>not</w:t>
      </w:r>
      <w:r w:rsidR="00583218">
        <w:rPr>
          <w:rFonts w:cs="Arial"/>
          <w:bCs/>
        </w:rPr>
        <w:t xml:space="preserve"> </w:t>
      </w:r>
      <w:r w:rsidRPr="00196E92">
        <w:rPr>
          <w:rFonts w:cs="Arial"/>
          <w:bCs/>
        </w:rPr>
        <w:t>appl</w:t>
      </w:r>
      <w:r w:rsidR="00583218">
        <w:rPr>
          <w:rFonts w:cs="Arial"/>
          <w:bCs/>
        </w:rPr>
        <w:t>y</w:t>
      </w:r>
      <w:r w:rsidRPr="00196E92">
        <w:rPr>
          <w:rFonts w:cs="Arial"/>
          <w:bCs/>
        </w:rPr>
        <w:t xml:space="preserve"> to the SQCR Reply where the original SLOA/Accounting Classification data was not previously provided as indicated by the use of a constructed document number by the non-manager owner requesting credit for suspended stock.  </w:t>
      </w:r>
    </w:p>
    <w:p w14:paraId="4353F9EE" w14:textId="25268009" w:rsidR="00990345" w:rsidRPr="00196E92" w:rsidRDefault="00990345" w:rsidP="00EF2033">
      <w:pPr>
        <w:tabs>
          <w:tab w:val="left" w:pos="547"/>
          <w:tab w:val="left" w:pos="1080"/>
          <w:tab w:val="left" w:pos="1627"/>
          <w:tab w:val="left" w:pos="2232"/>
          <w:tab w:val="left" w:pos="2707"/>
          <w:tab w:val="left" w:pos="3240"/>
        </w:tabs>
        <w:spacing w:after="240"/>
        <w:outlineLvl w:val="1"/>
        <w:rPr>
          <w:rFonts w:cs="Arial"/>
          <w:bCs/>
        </w:rPr>
      </w:pPr>
      <w:r w:rsidRPr="00196E92">
        <w:rPr>
          <w:rFonts w:cs="Arial"/>
          <w:bCs/>
        </w:rPr>
        <w:tab/>
      </w:r>
      <w:r w:rsidRPr="00196E92">
        <w:rPr>
          <w:rFonts w:cs="Arial"/>
          <w:bCs/>
        </w:rPr>
        <w:tab/>
        <w:t>C21.4.</w:t>
      </w:r>
      <w:r w:rsidR="00FF650F" w:rsidRPr="00196E92">
        <w:rPr>
          <w:rFonts w:cs="Arial"/>
          <w:bCs/>
        </w:rPr>
        <w:t>9</w:t>
      </w:r>
      <w:r w:rsidRPr="00196E92">
        <w:rPr>
          <w:rFonts w:cs="Arial"/>
          <w:bCs/>
        </w:rPr>
        <w:t>.3.  In order to transfer ownership of the suspended materiel to the manager, the owner will provide a DLMS 940R Materiel Release Order (MRO) to the distribution center.  The MRO must be formatted for shipment-in-place and should reflect the full quantity identified on the SQCR.  Upon processing of the associated receipt, the presence of the SQCR control number in the PMR will trigger the generation of a correction to the SQCR data by the distribution center.  The SQCR correction will cite Action Code 4B and indicate the quantity transferred to ownership of the manager.  Upon successful processing of the receipt for the nonconforming materiel, the manager will provide credit to the owner under MILSBILLS procedures.</w:t>
      </w:r>
    </w:p>
    <w:p w14:paraId="24AB94D4" w14:textId="192CBBBA" w:rsidR="00990345" w:rsidRPr="00196E92" w:rsidRDefault="00990345" w:rsidP="007A1953">
      <w:pPr>
        <w:tabs>
          <w:tab w:val="left" w:pos="547"/>
          <w:tab w:val="left" w:pos="1080"/>
          <w:tab w:val="left" w:pos="1627"/>
          <w:tab w:val="left" w:pos="2232"/>
          <w:tab w:val="left" w:pos="2707"/>
          <w:tab w:val="left" w:pos="3240"/>
        </w:tabs>
        <w:spacing w:after="240"/>
        <w:rPr>
          <w:rFonts w:cs="Arial"/>
          <w:bCs/>
        </w:rPr>
      </w:pPr>
      <w:r w:rsidRPr="00196E92">
        <w:rPr>
          <w:rFonts w:cs="Arial"/>
          <w:bCs/>
        </w:rPr>
        <w:tab/>
      </w:r>
      <w:r w:rsidRPr="00196E92">
        <w:rPr>
          <w:rFonts w:cs="Arial"/>
          <w:bCs/>
        </w:rPr>
        <w:tab/>
        <w:t>C21.4.</w:t>
      </w:r>
      <w:r w:rsidR="00FF650F" w:rsidRPr="00196E92">
        <w:rPr>
          <w:rFonts w:cs="Arial"/>
          <w:bCs/>
        </w:rPr>
        <w:t>9</w:t>
      </w:r>
      <w:r w:rsidRPr="00196E92">
        <w:rPr>
          <w:rFonts w:cs="Arial"/>
          <w:bCs/>
        </w:rPr>
        <w:t>.4.  The manager will provide disposition for all suspended materiel via SQCR reply.  Additionally, the manager will provide a DLMS 940R Materiel Release to the storage activity to trigger shipment or disposal action as required.  Upon completion of the actions identified by the manager’s disposition instructions, the DLA Distribution Center(s) will provide a completion notice to the item manager with an informati</w:t>
      </w:r>
      <w:r w:rsidR="00F07D88" w:rsidRPr="00196E92">
        <w:rPr>
          <w:rFonts w:cs="Arial"/>
          <w:bCs/>
        </w:rPr>
        <w:t>on copy to the original owner.</w:t>
      </w:r>
    </w:p>
    <w:p w14:paraId="74CD0C35" w14:textId="535A4198" w:rsidR="00434412" w:rsidRPr="00196E92" w:rsidRDefault="00990345" w:rsidP="00EF2033">
      <w:pPr>
        <w:keepNext/>
        <w:keepLines/>
        <w:tabs>
          <w:tab w:val="left" w:pos="547"/>
          <w:tab w:val="left" w:pos="1080"/>
          <w:tab w:val="left" w:pos="1627"/>
          <w:tab w:val="left" w:pos="2232"/>
          <w:tab w:val="left" w:pos="2707"/>
          <w:tab w:val="left" w:pos="3240"/>
        </w:tabs>
        <w:spacing w:after="240"/>
        <w:outlineLvl w:val="1"/>
        <w:rPr>
          <w:rFonts w:cs="Arial"/>
          <w:bCs/>
        </w:rPr>
      </w:pPr>
      <w:r w:rsidRPr="00196E92">
        <w:rPr>
          <w:rFonts w:cs="Arial"/>
          <w:bCs/>
        </w:rPr>
        <w:tab/>
      </w:r>
      <w:r w:rsidR="00434412" w:rsidRPr="00196E92">
        <w:rPr>
          <w:rFonts w:cs="Arial"/>
          <w:bCs/>
        </w:rPr>
        <w:t>21.4.</w:t>
      </w:r>
      <w:r w:rsidR="00FF650F" w:rsidRPr="00196E92">
        <w:rPr>
          <w:rFonts w:cs="Arial"/>
          <w:bCs/>
        </w:rPr>
        <w:t>10</w:t>
      </w:r>
      <w:r w:rsidR="00434412" w:rsidRPr="00196E92">
        <w:rPr>
          <w:rFonts w:cs="Arial"/>
          <w:bCs/>
        </w:rPr>
        <w:t xml:space="preserve">.  </w:t>
      </w:r>
      <w:proofErr w:type="spellStart"/>
      <w:r w:rsidR="00434412" w:rsidRPr="00196E92">
        <w:rPr>
          <w:rFonts w:cs="Arial"/>
          <w:bCs/>
          <w:u w:val="single"/>
        </w:rPr>
        <w:t>WebSS</w:t>
      </w:r>
      <w:proofErr w:type="spellEnd"/>
      <w:r w:rsidR="00434412" w:rsidRPr="00196E92">
        <w:rPr>
          <w:rFonts w:cs="Arial"/>
          <w:bCs/>
          <w:u w:val="single"/>
        </w:rPr>
        <w:t xml:space="preserve"> and </w:t>
      </w:r>
      <w:proofErr w:type="spellStart"/>
      <w:r w:rsidR="00434412" w:rsidRPr="00196E92">
        <w:rPr>
          <w:rFonts w:cs="Arial"/>
          <w:bCs/>
          <w:u w:val="single"/>
        </w:rPr>
        <w:t>WebSQCR</w:t>
      </w:r>
      <w:proofErr w:type="spellEnd"/>
      <w:r w:rsidR="00434412" w:rsidRPr="00196E92">
        <w:rPr>
          <w:rFonts w:cs="Arial"/>
          <w:bCs/>
          <w:u w:val="single"/>
        </w:rPr>
        <w:t xml:space="preserve"> Processing</w:t>
      </w:r>
      <w:r w:rsidR="00BF599F" w:rsidRPr="00196E92">
        <w:rPr>
          <w:rFonts w:cs="Arial"/>
          <w:bCs/>
        </w:rPr>
        <w:t>.</w:t>
      </w:r>
    </w:p>
    <w:p w14:paraId="795A51A6" w14:textId="67E341ED" w:rsidR="00434412" w:rsidRPr="00196E92" w:rsidRDefault="00434412" w:rsidP="006D4746">
      <w:pPr>
        <w:keepNext/>
        <w:tabs>
          <w:tab w:val="left" w:pos="547"/>
          <w:tab w:val="left" w:pos="1080"/>
          <w:tab w:val="left" w:pos="1627"/>
          <w:tab w:val="left" w:pos="2232"/>
          <w:tab w:val="left" w:pos="2707"/>
          <w:tab w:val="left" w:pos="3240"/>
        </w:tabs>
        <w:spacing w:after="240"/>
        <w:rPr>
          <w:rFonts w:cs="Arial"/>
          <w:bCs/>
        </w:rPr>
      </w:pPr>
      <w:r w:rsidRPr="00196E92">
        <w:rPr>
          <w:rFonts w:cs="Arial"/>
          <w:bCs/>
        </w:rPr>
        <w:tab/>
      </w:r>
      <w:r w:rsidRPr="00196E92">
        <w:rPr>
          <w:rFonts w:cs="Arial"/>
          <w:bCs/>
        </w:rPr>
        <w:tab/>
        <w:t>C21.4.</w:t>
      </w:r>
      <w:r w:rsidR="00FF650F" w:rsidRPr="00196E92">
        <w:rPr>
          <w:rFonts w:cs="Arial"/>
          <w:bCs/>
        </w:rPr>
        <w:t>10</w:t>
      </w:r>
      <w:r w:rsidRPr="00196E92">
        <w:rPr>
          <w:rFonts w:cs="Arial"/>
          <w:bCs/>
        </w:rPr>
        <w:t>.1.  Owners/managers and storage activities that are not DLMS-capable will prep</w:t>
      </w:r>
      <w:r w:rsidR="00BA6FC4" w:rsidRPr="00196E92">
        <w:rPr>
          <w:rFonts w:cs="Arial"/>
          <w:bCs/>
        </w:rPr>
        <w:t>are the Stock Screening Request</w:t>
      </w:r>
      <w:r w:rsidRPr="00196E92">
        <w:rPr>
          <w:rFonts w:cs="Arial"/>
          <w:bCs/>
        </w:rPr>
        <w:t xml:space="preserve">, SQCR, or associated reply using the </w:t>
      </w:r>
      <w:r w:rsidR="002241CB" w:rsidRPr="00196E92">
        <w:rPr>
          <w:rFonts w:cs="Arial"/>
          <w:bCs/>
        </w:rPr>
        <w:t>DAAS</w:t>
      </w:r>
      <w:r w:rsidRPr="00196E92">
        <w:rPr>
          <w:rFonts w:cs="Arial"/>
          <w:bCs/>
        </w:rPr>
        <w:t xml:space="preserve">-maintained </w:t>
      </w:r>
      <w:proofErr w:type="spellStart"/>
      <w:r w:rsidRPr="00196E92">
        <w:rPr>
          <w:rFonts w:cs="Arial"/>
          <w:bCs/>
        </w:rPr>
        <w:t>WebSS</w:t>
      </w:r>
      <w:proofErr w:type="spellEnd"/>
      <w:r w:rsidRPr="00196E92">
        <w:rPr>
          <w:rFonts w:cs="Arial"/>
          <w:bCs/>
        </w:rPr>
        <w:t xml:space="preserve"> or </w:t>
      </w:r>
      <w:proofErr w:type="spellStart"/>
      <w:r w:rsidRPr="00196E92">
        <w:rPr>
          <w:rFonts w:cs="Arial"/>
          <w:bCs/>
        </w:rPr>
        <w:t>WebSQCR</w:t>
      </w:r>
      <w:proofErr w:type="spellEnd"/>
      <w:r w:rsidRPr="00196E92">
        <w:rPr>
          <w:rFonts w:cs="Arial"/>
          <w:bCs/>
        </w:rPr>
        <w:t xml:space="preserve"> module within DoD WebSDR.  The </w:t>
      </w:r>
      <w:proofErr w:type="spellStart"/>
      <w:r w:rsidRPr="00196E92">
        <w:rPr>
          <w:rFonts w:cs="Arial"/>
          <w:bCs/>
        </w:rPr>
        <w:t>WebSS</w:t>
      </w:r>
      <w:proofErr w:type="spellEnd"/>
      <w:r w:rsidRPr="00196E92">
        <w:rPr>
          <w:rFonts w:cs="Arial"/>
          <w:bCs/>
        </w:rPr>
        <w:t xml:space="preserve"> and </w:t>
      </w:r>
      <w:proofErr w:type="spellStart"/>
      <w:r w:rsidRPr="00196E92">
        <w:rPr>
          <w:rFonts w:cs="Arial"/>
          <w:bCs/>
        </w:rPr>
        <w:t>WebSQCR</w:t>
      </w:r>
      <w:proofErr w:type="spellEnd"/>
      <w:r w:rsidRPr="00196E92">
        <w:rPr>
          <w:rFonts w:cs="Arial"/>
          <w:bCs/>
        </w:rPr>
        <w:t xml:space="preserve"> will convert Web-entered Stock Screening Request, SQCR, and associated replies to DLMS transactions when directed to DLMS-capable Service/Agency systems.  Activities lacking interface connectivity will receive email notification.  Upon receipt of the email notification, authorized users must access the Web to </w:t>
      </w:r>
      <w:r w:rsidR="00BA6FC4" w:rsidRPr="00196E92">
        <w:rPr>
          <w:rFonts w:cs="Arial"/>
          <w:bCs/>
        </w:rPr>
        <w:t xml:space="preserve">obtain applicable information. </w:t>
      </w:r>
      <w:r w:rsidRPr="00196E92">
        <w:rPr>
          <w:rFonts w:cs="Arial"/>
          <w:bCs/>
        </w:rPr>
        <w:t xml:space="preserve"> Users who fail to access the Web within seven (7) calendar days of the notification email will receive a systemic</w:t>
      </w:r>
      <w:r w:rsidR="00BA6FC4" w:rsidRPr="00196E92">
        <w:rPr>
          <w:rFonts w:cs="Arial"/>
          <w:bCs/>
        </w:rPr>
        <w:t>ally-generated reminder email.</w:t>
      </w:r>
    </w:p>
    <w:p w14:paraId="18FB4C03" w14:textId="0E5AD85B" w:rsidR="00434412" w:rsidRPr="00196E92" w:rsidRDefault="00434412" w:rsidP="006D4746">
      <w:pPr>
        <w:tabs>
          <w:tab w:val="left" w:pos="547"/>
          <w:tab w:val="left" w:pos="1080"/>
          <w:tab w:val="left" w:pos="1627"/>
          <w:tab w:val="left" w:pos="2232"/>
          <w:tab w:val="left" w:pos="2707"/>
          <w:tab w:val="left" w:pos="3240"/>
        </w:tabs>
        <w:spacing w:after="240"/>
        <w:rPr>
          <w:rFonts w:cs="Arial"/>
          <w:bCs/>
        </w:rPr>
      </w:pPr>
      <w:r w:rsidRPr="00196E92">
        <w:rPr>
          <w:rFonts w:cs="Arial"/>
          <w:bCs/>
        </w:rPr>
        <w:tab/>
      </w:r>
      <w:r w:rsidRPr="00196E92">
        <w:rPr>
          <w:rFonts w:cs="Arial"/>
          <w:bCs/>
        </w:rPr>
        <w:tab/>
        <w:t>C21.4.</w:t>
      </w:r>
      <w:r w:rsidR="00FF650F" w:rsidRPr="00196E92">
        <w:rPr>
          <w:rFonts w:cs="Arial"/>
          <w:bCs/>
        </w:rPr>
        <w:t>10</w:t>
      </w:r>
      <w:r w:rsidRPr="00196E92">
        <w:rPr>
          <w:rFonts w:cs="Arial"/>
          <w:bCs/>
        </w:rPr>
        <w:t xml:space="preserve">.2.  Stock Readiness coordinators relying on </w:t>
      </w:r>
      <w:proofErr w:type="spellStart"/>
      <w:r w:rsidRPr="00196E92">
        <w:rPr>
          <w:rFonts w:cs="Arial"/>
          <w:bCs/>
        </w:rPr>
        <w:t>WebSS</w:t>
      </w:r>
      <w:proofErr w:type="spellEnd"/>
      <w:r w:rsidRPr="00196E92">
        <w:rPr>
          <w:rFonts w:cs="Arial"/>
          <w:bCs/>
        </w:rPr>
        <w:t xml:space="preserve"> and </w:t>
      </w:r>
      <w:proofErr w:type="spellStart"/>
      <w:r w:rsidRPr="00196E92">
        <w:rPr>
          <w:rFonts w:cs="Arial"/>
          <w:bCs/>
        </w:rPr>
        <w:t>WebSQCR</w:t>
      </w:r>
      <w:proofErr w:type="spellEnd"/>
      <w:r w:rsidRPr="00196E92">
        <w:rPr>
          <w:rFonts w:cs="Arial"/>
          <w:bCs/>
        </w:rPr>
        <w:t xml:space="preserve"> for information exchange must provide email addresses associated with each applicable non-DLMS owner/manager and storage activity</w:t>
      </w:r>
      <w:r w:rsidR="00BA6FC4" w:rsidRPr="00196E92">
        <w:rPr>
          <w:rFonts w:cs="Arial"/>
          <w:bCs/>
        </w:rPr>
        <w:t xml:space="preserve"> Routing Identifier Code (RIC).</w:t>
      </w:r>
    </w:p>
    <w:p w14:paraId="7B9FC88E" w14:textId="5B017D3F" w:rsidR="00434412" w:rsidRPr="00196E92" w:rsidRDefault="00434412" w:rsidP="006D4746">
      <w:pPr>
        <w:tabs>
          <w:tab w:val="left" w:pos="547"/>
          <w:tab w:val="left" w:pos="1080"/>
          <w:tab w:val="left" w:pos="1627"/>
          <w:tab w:val="left" w:pos="2232"/>
          <w:tab w:val="left" w:pos="2707"/>
          <w:tab w:val="left" w:pos="3240"/>
        </w:tabs>
        <w:spacing w:after="240"/>
        <w:rPr>
          <w:rFonts w:cs="Arial"/>
          <w:bCs/>
        </w:rPr>
      </w:pPr>
      <w:r w:rsidRPr="00196E92">
        <w:rPr>
          <w:rFonts w:cs="Arial"/>
          <w:bCs/>
        </w:rPr>
        <w:tab/>
      </w:r>
      <w:r w:rsidRPr="00196E92">
        <w:rPr>
          <w:rFonts w:cs="Arial"/>
          <w:bCs/>
        </w:rPr>
        <w:tab/>
        <w:t>C21.4.</w:t>
      </w:r>
      <w:r w:rsidR="00FF650F" w:rsidRPr="00196E92">
        <w:rPr>
          <w:rFonts w:cs="Arial"/>
          <w:bCs/>
        </w:rPr>
        <w:t>10</w:t>
      </w:r>
      <w:r w:rsidRPr="00196E92">
        <w:rPr>
          <w:rFonts w:cs="Arial"/>
          <w:bCs/>
        </w:rPr>
        <w:t xml:space="preserve">.3.  </w:t>
      </w:r>
      <w:proofErr w:type="spellStart"/>
      <w:r w:rsidRPr="00196E92">
        <w:rPr>
          <w:rFonts w:cs="Arial"/>
          <w:bCs/>
        </w:rPr>
        <w:t>WebSS</w:t>
      </w:r>
      <w:proofErr w:type="spellEnd"/>
      <w:r w:rsidRPr="00196E92">
        <w:rPr>
          <w:rFonts w:cs="Arial"/>
          <w:bCs/>
        </w:rPr>
        <w:t xml:space="preserve"> and </w:t>
      </w:r>
      <w:proofErr w:type="spellStart"/>
      <w:r w:rsidRPr="00196E92">
        <w:rPr>
          <w:rFonts w:cs="Arial"/>
          <w:bCs/>
        </w:rPr>
        <w:t>WebSQCR</w:t>
      </w:r>
      <w:proofErr w:type="spellEnd"/>
      <w:r w:rsidRPr="00196E92">
        <w:rPr>
          <w:rFonts w:cs="Arial"/>
          <w:bCs/>
        </w:rPr>
        <w:t xml:space="preserve"> will block Web input and reject transactions associated with owner/manager or storage activity RICs that are not </w:t>
      </w:r>
      <w:r w:rsidRPr="00196E92">
        <w:rPr>
          <w:rFonts w:cs="Arial"/>
          <w:bCs/>
        </w:rPr>
        <w:lastRenderedPageBreak/>
        <w:t>capable of receiving DLMS transactions or not registered for automated email notification.</w:t>
      </w:r>
    </w:p>
    <w:p w14:paraId="10127A2C" w14:textId="2CADEF9E" w:rsidR="00434412" w:rsidRPr="00196E92" w:rsidRDefault="00434412" w:rsidP="006D4746">
      <w:pPr>
        <w:tabs>
          <w:tab w:val="left" w:pos="547"/>
          <w:tab w:val="left" w:pos="1080"/>
          <w:tab w:val="left" w:pos="1627"/>
          <w:tab w:val="left" w:pos="2232"/>
          <w:tab w:val="left" w:pos="2707"/>
          <w:tab w:val="left" w:pos="3240"/>
        </w:tabs>
        <w:spacing w:after="240"/>
        <w:rPr>
          <w:rFonts w:cs="Arial"/>
        </w:rPr>
      </w:pPr>
      <w:r w:rsidRPr="00196E92">
        <w:rPr>
          <w:rFonts w:cs="Arial"/>
          <w:bCs/>
        </w:rPr>
        <w:tab/>
      </w:r>
      <w:r w:rsidRPr="00196E92">
        <w:rPr>
          <w:rFonts w:cs="Arial"/>
          <w:bCs/>
        </w:rPr>
        <w:tab/>
        <w:t>C21.4.</w:t>
      </w:r>
      <w:r w:rsidR="00FF650F" w:rsidRPr="00196E92">
        <w:rPr>
          <w:rFonts w:cs="Arial"/>
          <w:bCs/>
        </w:rPr>
        <w:t>10</w:t>
      </w:r>
      <w:r w:rsidRPr="00196E92">
        <w:rPr>
          <w:rFonts w:cs="Arial"/>
          <w:bCs/>
        </w:rPr>
        <w:t xml:space="preserve">.4.  </w:t>
      </w:r>
      <w:proofErr w:type="spellStart"/>
      <w:r w:rsidRPr="00196E92">
        <w:rPr>
          <w:rFonts w:cs="Arial"/>
          <w:bCs/>
        </w:rPr>
        <w:t>WebSS</w:t>
      </w:r>
      <w:proofErr w:type="spellEnd"/>
      <w:r w:rsidRPr="00196E92">
        <w:rPr>
          <w:rFonts w:cs="Arial"/>
          <w:bCs/>
        </w:rPr>
        <w:t xml:space="preserve"> and </w:t>
      </w:r>
      <w:proofErr w:type="spellStart"/>
      <w:r w:rsidRPr="00196E92">
        <w:rPr>
          <w:rFonts w:cs="Arial"/>
          <w:bCs/>
        </w:rPr>
        <w:t>WebSQCR</w:t>
      </w:r>
      <w:proofErr w:type="spellEnd"/>
      <w:r w:rsidRPr="00196E92">
        <w:rPr>
          <w:rFonts w:cs="Arial"/>
          <w:bCs/>
        </w:rPr>
        <w:t xml:space="preserve"> will validate Web input and transactions for correct format and valid data content.  Invalid Web input will be blocked and transactions rejected citing the applicable reply code.</w:t>
      </w:r>
    </w:p>
    <w:p w14:paraId="717A60ED" w14:textId="0AE7CEAE" w:rsidR="00434412" w:rsidRPr="00183AC8" w:rsidRDefault="00434412" w:rsidP="006D4746">
      <w:pPr>
        <w:tabs>
          <w:tab w:val="left" w:pos="547"/>
          <w:tab w:val="left" w:pos="1080"/>
          <w:tab w:val="left" w:pos="1627"/>
          <w:tab w:val="left" w:pos="2232"/>
          <w:tab w:val="left" w:pos="2707"/>
          <w:tab w:val="left" w:pos="3240"/>
        </w:tabs>
        <w:spacing w:after="240"/>
        <w:rPr>
          <w:rFonts w:cs="Arial"/>
        </w:rPr>
      </w:pPr>
      <w:r w:rsidRPr="00196E92">
        <w:rPr>
          <w:rFonts w:cs="Arial"/>
        </w:rPr>
        <w:tab/>
      </w:r>
      <w:r w:rsidR="00F86AA1" w:rsidRPr="00196E92">
        <w:rPr>
          <w:rFonts w:cs="Arial"/>
        </w:rPr>
        <w:t>C21.4.</w:t>
      </w:r>
      <w:r w:rsidR="00FF650F" w:rsidRPr="00196E92">
        <w:rPr>
          <w:rFonts w:cs="Arial"/>
        </w:rPr>
        <w:t>11</w:t>
      </w:r>
      <w:r w:rsidR="00F86AA1" w:rsidRPr="00196E92">
        <w:rPr>
          <w:rFonts w:cs="Arial"/>
        </w:rPr>
        <w:t xml:space="preserve">.  </w:t>
      </w:r>
      <w:r w:rsidR="00F86AA1" w:rsidRPr="00196E92">
        <w:rPr>
          <w:rFonts w:cs="Arial"/>
          <w:u w:val="single"/>
        </w:rPr>
        <w:t>DAAS Query Capability</w:t>
      </w:r>
      <w:r w:rsidR="00F86AA1" w:rsidRPr="00196E92">
        <w:rPr>
          <w:rFonts w:cs="Arial"/>
        </w:rPr>
        <w:t>.</w:t>
      </w:r>
      <w:r w:rsidR="00F86AA1" w:rsidRPr="00196E92">
        <w:rPr>
          <w:rStyle w:val="FootnoteReference"/>
          <w:rFonts w:cs="Arial"/>
        </w:rPr>
        <w:footnoteReference w:id="13"/>
      </w:r>
      <w:r w:rsidR="00F86AA1" w:rsidRPr="00196E92">
        <w:rPr>
          <w:rFonts w:cs="Arial"/>
        </w:rPr>
        <w:t xml:space="preserve">  </w:t>
      </w:r>
      <w:proofErr w:type="spellStart"/>
      <w:r w:rsidRPr="00196E92">
        <w:rPr>
          <w:rFonts w:cs="Arial"/>
        </w:rPr>
        <w:t>WebSS</w:t>
      </w:r>
      <w:proofErr w:type="spellEnd"/>
      <w:r w:rsidRPr="00196E92">
        <w:rPr>
          <w:rFonts w:cs="Arial"/>
        </w:rPr>
        <w:t xml:space="preserve"> and </w:t>
      </w:r>
      <w:proofErr w:type="spellStart"/>
      <w:r w:rsidRPr="00196E92">
        <w:rPr>
          <w:rFonts w:cs="Arial"/>
        </w:rPr>
        <w:t>WebSQCR</w:t>
      </w:r>
      <w:proofErr w:type="spellEnd"/>
      <w:r w:rsidRPr="00196E92">
        <w:rPr>
          <w:rFonts w:cs="Arial"/>
        </w:rPr>
        <w:t xml:space="preserve"> </w:t>
      </w:r>
      <w:r w:rsidR="00F86AA1" w:rsidRPr="00196E92">
        <w:rPr>
          <w:rFonts w:cs="Arial"/>
        </w:rPr>
        <w:t xml:space="preserve">will include capability to query to provide historical information by: </w:t>
      </w:r>
      <w:r w:rsidR="00183AC8" w:rsidRPr="00196E92">
        <w:rPr>
          <w:rFonts w:cs="Arial"/>
        </w:rPr>
        <w:t xml:space="preserve"> </w:t>
      </w:r>
      <w:r w:rsidR="00F86AA1" w:rsidRPr="00196E92">
        <w:rPr>
          <w:rFonts w:cs="Arial"/>
        </w:rPr>
        <w:t xml:space="preserve">NSN, </w:t>
      </w:r>
      <w:r w:rsidR="0096420C" w:rsidRPr="00196E92">
        <w:rPr>
          <w:rFonts w:cs="Arial"/>
        </w:rPr>
        <w:t>CAGE/</w:t>
      </w:r>
      <w:r w:rsidR="00F86AA1" w:rsidRPr="00196E92">
        <w:rPr>
          <w:rFonts w:cs="Arial"/>
        </w:rPr>
        <w:t xml:space="preserve">part number, control numbers, </w:t>
      </w:r>
      <w:r w:rsidR="00A2687E" w:rsidRPr="00196E92">
        <w:rPr>
          <w:rFonts w:cs="Arial"/>
        </w:rPr>
        <w:t>PIID</w:t>
      </w:r>
      <w:r w:rsidR="00F86AA1" w:rsidRPr="00196E92">
        <w:rPr>
          <w:rFonts w:cs="Arial"/>
        </w:rPr>
        <w:t xml:space="preserve"> or CAGE, </w:t>
      </w:r>
      <w:r w:rsidRPr="00196E92">
        <w:rPr>
          <w:rFonts w:cs="Arial"/>
        </w:rPr>
        <w:t>date open, date closed, storage activity</w:t>
      </w:r>
      <w:r w:rsidR="00F86AA1" w:rsidRPr="00196E92">
        <w:rPr>
          <w:rFonts w:cs="Arial"/>
        </w:rPr>
        <w:t xml:space="preserve">, </w:t>
      </w:r>
      <w:r w:rsidR="00497B6F" w:rsidRPr="00196E92">
        <w:rPr>
          <w:rFonts w:cs="Arial"/>
        </w:rPr>
        <w:t xml:space="preserve">and </w:t>
      </w:r>
      <w:r w:rsidR="00F86AA1" w:rsidRPr="00196E92">
        <w:rPr>
          <w:rFonts w:cs="Arial"/>
        </w:rPr>
        <w:t>owner/manager.</w:t>
      </w:r>
      <w:r w:rsidRPr="00196E92">
        <w:rPr>
          <w:rFonts w:ascii="Times New Roman" w:hAnsi="Times New Roman"/>
          <w:szCs w:val="24"/>
        </w:rPr>
        <w:t xml:space="preserve">  </w:t>
      </w:r>
      <w:r w:rsidRPr="00196E92">
        <w:rPr>
          <w:rFonts w:cs="Arial"/>
        </w:rPr>
        <w:t>The query function may be used to monitor storage activity responses to requested stock screening actions, displaying which activities have responded and which are outstanding.  The stock screening request query will support drill down capability to review the associated SQCRs.</w:t>
      </w:r>
    </w:p>
    <w:sectPr w:rsidR="00434412" w:rsidRPr="00183AC8" w:rsidSect="009C0F0E">
      <w:headerReference w:type="default" r:id="rId11"/>
      <w:footerReference w:type="even" r:id="rId12"/>
      <w:footerReference w:type="default" r:id="rId13"/>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FB6E" w14:textId="77777777" w:rsidR="00183AC8" w:rsidRDefault="00183AC8">
      <w:r>
        <w:separator/>
      </w:r>
    </w:p>
  </w:endnote>
  <w:endnote w:type="continuationSeparator" w:id="0">
    <w:p w14:paraId="30D7FB6F" w14:textId="77777777" w:rsidR="00183AC8" w:rsidRDefault="0018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FB72" w14:textId="77777777" w:rsidR="00183AC8" w:rsidRDefault="00183AC8" w:rsidP="00A4583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EC23" w14:textId="3710B6EB" w:rsidR="00183AC8" w:rsidRDefault="00183AC8">
    <w:pPr>
      <w:pStyle w:val="Footer"/>
      <w:jc w:val="right"/>
    </w:pPr>
    <w:r>
      <w:t>C21-</w:t>
    </w:r>
    <w:sdt>
      <w:sdtPr>
        <w:id w:val="-183544937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65A0">
          <w:rPr>
            <w:noProof/>
          </w:rPr>
          <w:t>1</w:t>
        </w:r>
        <w:r>
          <w:rPr>
            <w:noProof/>
          </w:rPr>
          <w:fldChar w:fldCharType="end"/>
        </w:r>
        <w:r>
          <w:rPr>
            <w:noProof/>
          </w:rPr>
          <w:tab/>
          <w:t>CHAPTER 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FB6C" w14:textId="77777777" w:rsidR="00183AC8" w:rsidRDefault="00183AC8">
      <w:r>
        <w:separator/>
      </w:r>
    </w:p>
  </w:footnote>
  <w:footnote w:type="continuationSeparator" w:id="0">
    <w:p w14:paraId="30D7FB6D" w14:textId="77777777" w:rsidR="00183AC8" w:rsidRDefault="00183AC8">
      <w:r>
        <w:continuationSeparator/>
      </w:r>
    </w:p>
  </w:footnote>
  <w:footnote w:id="1">
    <w:p w14:paraId="759F8490" w14:textId="30695978" w:rsidR="00183AC8" w:rsidRPr="007A1953" w:rsidRDefault="00183AC8">
      <w:pPr>
        <w:pStyle w:val="FootnoteText"/>
      </w:pPr>
      <w:r w:rsidRPr="007A1953">
        <w:rPr>
          <w:rStyle w:val="FootnoteReference"/>
        </w:rPr>
        <w:footnoteRef/>
      </w:r>
      <w:r w:rsidRPr="007A1953">
        <w:t xml:space="preserve"> Refer to ADC 1045.  Target implementation is 1Q FY 2017.</w:t>
      </w:r>
    </w:p>
  </w:footnote>
  <w:footnote w:id="2">
    <w:p w14:paraId="45F7048E" w14:textId="44B4C1B7" w:rsidR="00183AC8" w:rsidRPr="007A1953" w:rsidRDefault="00183AC8" w:rsidP="001F1AFC">
      <w:pPr>
        <w:pStyle w:val="FootnoteText"/>
      </w:pPr>
      <w:r w:rsidRPr="007A1953">
        <w:rPr>
          <w:rStyle w:val="FootnoteReference"/>
        </w:rPr>
        <w:footnoteRef/>
      </w:r>
      <w:r w:rsidRPr="007A1953">
        <w:t xml:space="preserve"> Ibid.</w:t>
      </w:r>
    </w:p>
  </w:footnote>
  <w:footnote w:id="3">
    <w:p w14:paraId="3CD24B7E" w14:textId="66E8768A" w:rsidR="00183AC8" w:rsidRPr="00183AC8" w:rsidRDefault="00183AC8" w:rsidP="007A1953">
      <w:pPr>
        <w:pStyle w:val="FootnoteText"/>
      </w:pPr>
      <w:r w:rsidRPr="00183AC8">
        <w:rPr>
          <w:rStyle w:val="FootnoteReference"/>
        </w:rPr>
        <w:footnoteRef/>
      </w:r>
      <w:r w:rsidRPr="00183AC8">
        <w:t xml:space="preserve"> </w:t>
      </w:r>
      <w:r w:rsidRPr="00183AC8">
        <w:rPr>
          <w:rFonts w:cs="Arial"/>
        </w:rPr>
        <w:t xml:space="preserve">Use the legacy PIIN pending transition to the PIID.  When using the PIIN, may include the four-position call/order number.  </w:t>
      </w:r>
      <w:r w:rsidRPr="00183AC8">
        <w:t>Refer to ADC 1161A.</w:t>
      </w:r>
    </w:p>
  </w:footnote>
  <w:footnote w:id="4">
    <w:p w14:paraId="0A980A5D" w14:textId="3C2E0245" w:rsidR="00183AC8" w:rsidRPr="007A1953" w:rsidRDefault="00183AC8" w:rsidP="00703F63">
      <w:pPr>
        <w:pStyle w:val="FootnoteText"/>
      </w:pPr>
      <w:r w:rsidRPr="007A1953">
        <w:rPr>
          <w:rStyle w:val="FootnoteReference"/>
        </w:rPr>
        <w:footnoteRef/>
      </w:r>
      <w:r w:rsidRPr="007A1953">
        <w:t xml:space="preserve"> Refer to ADC 1045.  Target implementation is 1Q FY 2017.</w:t>
      </w:r>
    </w:p>
  </w:footnote>
  <w:footnote w:id="5">
    <w:p w14:paraId="05D23C59" w14:textId="77777777" w:rsidR="00183AC8" w:rsidRPr="007A1953" w:rsidRDefault="00183AC8" w:rsidP="00703F63">
      <w:pPr>
        <w:pStyle w:val="FootnoteText"/>
      </w:pPr>
      <w:r w:rsidRPr="007A1953">
        <w:rPr>
          <w:rStyle w:val="FootnoteReference"/>
        </w:rPr>
        <w:footnoteRef/>
      </w:r>
      <w:r w:rsidRPr="007A1953">
        <w:t xml:space="preserve"> Ibid.</w:t>
      </w:r>
    </w:p>
  </w:footnote>
  <w:footnote w:id="6">
    <w:p w14:paraId="64C2F6A5" w14:textId="52C51FB0" w:rsidR="00183AC8" w:rsidRPr="007A1953" w:rsidRDefault="00183AC8">
      <w:pPr>
        <w:pStyle w:val="FootnoteText"/>
      </w:pPr>
      <w:r w:rsidRPr="007A1953">
        <w:rPr>
          <w:rStyle w:val="FootnoteReference"/>
        </w:rPr>
        <w:footnoteRef/>
      </w:r>
      <w:r w:rsidRPr="007A1953">
        <w:t xml:space="preserve"> Ibid.  Pending implementation, Code A (ASAM) will remain available for use.</w:t>
      </w:r>
    </w:p>
  </w:footnote>
  <w:footnote w:id="7">
    <w:p w14:paraId="09D43872" w14:textId="77777777" w:rsidR="00183AC8" w:rsidRPr="007A1953" w:rsidRDefault="00183AC8" w:rsidP="00BC4C7E">
      <w:pPr>
        <w:pStyle w:val="FootnoteText"/>
      </w:pPr>
      <w:r w:rsidRPr="007A1953">
        <w:rPr>
          <w:rStyle w:val="FootnoteReference"/>
        </w:rPr>
        <w:footnoteRef/>
      </w:r>
      <w:r w:rsidRPr="007A1953">
        <w:t xml:space="preserve"> Ibid.  Pending implementation, SQCRs will be forwarded manually.</w:t>
      </w:r>
    </w:p>
  </w:footnote>
  <w:footnote w:id="8">
    <w:p w14:paraId="2EEA07FF" w14:textId="77777777" w:rsidR="00183AC8" w:rsidRPr="007A1953" w:rsidRDefault="00183AC8" w:rsidP="00D3131A">
      <w:pPr>
        <w:pStyle w:val="FootnoteText"/>
      </w:pPr>
      <w:r w:rsidRPr="007A1953">
        <w:rPr>
          <w:rStyle w:val="FootnoteReference"/>
        </w:rPr>
        <w:footnoteRef/>
      </w:r>
      <w:r w:rsidRPr="007A1953">
        <w:t xml:space="preserve"> Refer to ADC 1045; target implementation is 1Q FY 2017.  Pending implementation, the owner will return the SQCR form annotated with the applicable response information.</w:t>
      </w:r>
    </w:p>
  </w:footnote>
  <w:footnote w:id="9">
    <w:p w14:paraId="1987D958" w14:textId="77777777" w:rsidR="00183AC8" w:rsidRPr="007A1953" w:rsidRDefault="00183AC8" w:rsidP="00582D34">
      <w:pPr>
        <w:tabs>
          <w:tab w:val="left" w:pos="540"/>
          <w:tab w:val="left" w:pos="1080"/>
          <w:tab w:val="left" w:pos="1620"/>
          <w:tab w:val="left" w:pos="2160"/>
          <w:tab w:val="left" w:pos="2700"/>
        </w:tabs>
        <w:ind w:right="-234"/>
        <w:rPr>
          <w:sz w:val="20"/>
        </w:rPr>
      </w:pPr>
      <w:r w:rsidRPr="007A1953">
        <w:rPr>
          <w:rStyle w:val="FootnoteReference"/>
          <w:sz w:val="20"/>
        </w:rPr>
        <w:footnoteRef/>
      </w:r>
      <w:r w:rsidRPr="007A1953">
        <w:rPr>
          <w:sz w:val="20"/>
        </w:rPr>
        <w:t xml:space="preserve"> Refer to ADC 1045; target implementation is 1Q FY 2017.  Pending implementation, the following codes will remain available for use:</w:t>
      </w:r>
    </w:p>
    <w:p w14:paraId="078C4DDC" w14:textId="2ACDA068" w:rsidR="00183AC8" w:rsidRPr="007A1953" w:rsidRDefault="00183AC8" w:rsidP="00E62997">
      <w:pPr>
        <w:tabs>
          <w:tab w:val="left" w:pos="540"/>
          <w:tab w:val="left" w:pos="1080"/>
          <w:tab w:val="left" w:pos="1620"/>
          <w:tab w:val="left" w:pos="2160"/>
          <w:tab w:val="left" w:pos="2700"/>
        </w:tabs>
        <w:ind w:right="-234"/>
        <w:rPr>
          <w:sz w:val="20"/>
        </w:rPr>
      </w:pPr>
      <w:r w:rsidRPr="007A1953">
        <w:rPr>
          <w:sz w:val="20"/>
        </w:rPr>
        <w:tab/>
        <w:t>A</w:t>
      </w:r>
      <w:r w:rsidRPr="007A1953">
        <w:rPr>
          <w:sz w:val="20"/>
        </w:rPr>
        <w:tab/>
        <w:t>ASAM</w:t>
      </w:r>
    </w:p>
    <w:p w14:paraId="2C93B209" w14:textId="2CF78915" w:rsidR="00183AC8" w:rsidRPr="007A1953" w:rsidRDefault="00183AC8" w:rsidP="00E62997">
      <w:pPr>
        <w:tabs>
          <w:tab w:val="left" w:pos="540"/>
          <w:tab w:val="left" w:pos="1080"/>
          <w:tab w:val="left" w:pos="1620"/>
          <w:tab w:val="left" w:pos="2160"/>
          <w:tab w:val="left" w:pos="2700"/>
        </w:tabs>
        <w:ind w:right="-234"/>
        <w:rPr>
          <w:sz w:val="20"/>
        </w:rPr>
      </w:pPr>
      <w:r w:rsidRPr="007A1953">
        <w:rPr>
          <w:sz w:val="20"/>
        </w:rPr>
        <w:tab/>
        <w:t>O</w:t>
      </w:r>
      <w:r w:rsidRPr="007A1953">
        <w:rPr>
          <w:sz w:val="20"/>
        </w:rPr>
        <w:tab/>
        <w:t>Outbound Shipment</w:t>
      </w:r>
    </w:p>
    <w:p w14:paraId="665C4DCF" w14:textId="55FB8396" w:rsidR="00183AC8" w:rsidRPr="007A1953" w:rsidRDefault="00183AC8" w:rsidP="00E62997">
      <w:pPr>
        <w:tabs>
          <w:tab w:val="left" w:pos="540"/>
          <w:tab w:val="left" w:pos="1080"/>
          <w:tab w:val="left" w:pos="1620"/>
          <w:tab w:val="left" w:pos="2160"/>
          <w:tab w:val="left" w:pos="2700"/>
        </w:tabs>
        <w:ind w:right="-234"/>
      </w:pPr>
      <w:r w:rsidRPr="007A1953">
        <w:rPr>
          <w:sz w:val="20"/>
        </w:rPr>
        <w:tab/>
        <w:t>T</w:t>
      </w:r>
      <w:r w:rsidRPr="007A1953">
        <w:rPr>
          <w:sz w:val="20"/>
        </w:rPr>
        <w:tab/>
        <w:t>Stock Readiness</w:t>
      </w:r>
    </w:p>
  </w:footnote>
  <w:footnote w:id="10">
    <w:p w14:paraId="30D7FB7A" w14:textId="432879DD" w:rsidR="00183AC8" w:rsidRPr="007A1953" w:rsidRDefault="00183AC8">
      <w:pPr>
        <w:pStyle w:val="FootnoteText"/>
      </w:pPr>
      <w:r w:rsidRPr="007A1953">
        <w:rPr>
          <w:rStyle w:val="FootnoteReference"/>
        </w:rPr>
        <w:footnoteRef/>
      </w:r>
      <w:r w:rsidRPr="007A1953">
        <w:t xml:space="preserve"> Refer to ADC 1045; target implementation is 1Q FY 2017.</w:t>
      </w:r>
    </w:p>
  </w:footnote>
  <w:footnote w:id="11">
    <w:p w14:paraId="6C9DA1CB" w14:textId="11155F7E" w:rsidR="00FF650F" w:rsidRPr="002F575A" w:rsidRDefault="00FF650F" w:rsidP="00FF650F">
      <w:pPr>
        <w:pStyle w:val="FootnoteText"/>
      </w:pPr>
      <w:r w:rsidRPr="002F575A">
        <w:rPr>
          <w:rStyle w:val="FootnoteReference"/>
          <w:rFonts w:eastAsia="Calibri"/>
        </w:rPr>
        <w:footnoteRef/>
      </w:r>
      <w:r w:rsidRPr="002F575A">
        <w:t xml:space="preserve"> </w:t>
      </w:r>
      <w:r w:rsidRPr="002F575A">
        <w:rPr>
          <w:rFonts w:cs="Arial"/>
        </w:rPr>
        <w:t>Refer to ADC 1198A.</w:t>
      </w:r>
    </w:p>
  </w:footnote>
  <w:footnote w:id="12">
    <w:p w14:paraId="52BD6903" w14:textId="77777777" w:rsidR="00183AC8" w:rsidRPr="007A1953" w:rsidRDefault="00183AC8" w:rsidP="00990345">
      <w:pPr>
        <w:pStyle w:val="FootnoteText"/>
      </w:pPr>
      <w:r w:rsidRPr="007A1953">
        <w:rPr>
          <w:rStyle w:val="FootnoteReference"/>
        </w:rPr>
        <w:footnoteRef/>
      </w:r>
      <w:r w:rsidRPr="007A1953">
        <w:t xml:space="preserve"> Refer to ADC 1084.</w:t>
      </w:r>
    </w:p>
  </w:footnote>
  <w:footnote w:id="13">
    <w:p w14:paraId="30D7FB7C" w14:textId="15ACD8A1" w:rsidR="00183AC8" w:rsidRPr="007A1953" w:rsidRDefault="00183AC8">
      <w:pPr>
        <w:pStyle w:val="FootnoteText"/>
      </w:pPr>
      <w:r w:rsidRPr="007A1953">
        <w:rPr>
          <w:rStyle w:val="FootnoteReference"/>
        </w:rPr>
        <w:footnoteRef/>
      </w:r>
      <w:r w:rsidRPr="007A1953">
        <w:t xml:space="preserve"> Query capability not currently available pending full implementation of ADC 240 and ADC 1045 supporting Web-enhanced Stock Screening Requests and SQCRs.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FB71" w14:textId="73D61975" w:rsidR="00183AC8" w:rsidRPr="00AB28BA" w:rsidRDefault="00183AC8" w:rsidP="00923C60">
    <w:pPr>
      <w:pStyle w:val="Header"/>
      <w:tabs>
        <w:tab w:val="clear" w:pos="4320"/>
        <w:tab w:val="clear" w:pos="8640"/>
      </w:tabs>
      <w:jc w:val="right"/>
      <w:rPr>
        <w:i/>
        <w:u w:val="none"/>
      </w:rPr>
    </w:pPr>
    <w:r w:rsidRPr="00AB28BA">
      <w:rPr>
        <w:i/>
        <w:u w:val="none"/>
      </w:rPr>
      <w:t xml:space="preserve">DLM 4000.25, Volume 2, </w:t>
    </w:r>
    <w:r w:rsidR="004824B2" w:rsidRPr="004824B2">
      <w:rPr>
        <w:i/>
        <w:u w:val="none"/>
      </w:rPr>
      <w:t>December 27</w:t>
    </w:r>
    <w:r w:rsidR="009E723E">
      <w:rPr>
        <w:rFonts w:cs="Arial"/>
        <w:i/>
        <w:szCs w:val="24"/>
        <w:u w:val="none"/>
      </w:rPr>
      <w:t>, 2022</w:t>
    </w:r>
  </w:p>
  <w:p w14:paraId="51552530" w14:textId="2211793B" w:rsidR="00183AC8" w:rsidRPr="00AB28BA" w:rsidRDefault="00183AC8" w:rsidP="00923C60">
    <w:pPr>
      <w:pStyle w:val="Header"/>
      <w:tabs>
        <w:tab w:val="clear" w:pos="4320"/>
        <w:tab w:val="clear" w:pos="8640"/>
      </w:tabs>
      <w:jc w:val="right"/>
      <w:rPr>
        <w:i/>
        <w:u w:val="none"/>
      </w:rPr>
    </w:pPr>
    <w:r w:rsidRPr="00AB28BA">
      <w:rPr>
        <w:i/>
        <w:u w:val="none"/>
      </w:rPr>
      <w:t xml:space="preserve">Change </w:t>
    </w:r>
    <w:r>
      <w:rPr>
        <w:i/>
        <w:u w:val="none"/>
      </w:rPr>
      <w:t>1</w:t>
    </w:r>
    <w:r w:rsidR="00C80A47">
      <w:rPr>
        <w:i/>
        <w:u w:val="non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66A5CB6"/>
    <w:lvl w:ilvl="0">
      <w:start w:val="20"/>
      <w:numFmt w:val="none"/>
      <w:pStyle w:val="Heading1"/>
      <w:suff w:val="nothing"/>
      <w:lvlText w:val="C21 CHAPTER 2"/>
      <w:lvlJc w:val="left"/>
      <w:pPr>
        <w:ind w:left="0" w:firstLine="0"/>
      </w:pPr>
      <w:rPr>
        <w:rFonts w:ascii="Arial" w:hAnsi="Arial" w:hint="default"/>
        <w:b/>
        <w:i w:val="0"/>
        <w:sz w:val="48"/>
      </w:rPr>
    </w:lvl>
    <w:lvl w:ilvl="1">
      <w:start w:val="1"/>
      <w:numFmt w:val="decimal"/>
      <w:suff w:val="nothing"/>
      <w:lvlText w:val="C%1.%2  "/>
      <w:lvlJc w:val="left"/>
      <w:pPr>
        <w:ind w:left="18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C%1.%2.%3  "/>
      <w:lvlJc w:val="left"/>
      <w:pPr>
        <w:ind w:left="0" w:firstLine="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C%1.%2.%3.%4  "/>
      <w:lvlJc w:val="left"/>
      <w:pPr>
        <w:ind w:left="0" w:firstLine="720"/>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C%1.%2.%3.%4.%5  "/>
      <w:lvlJc w:val="left"/>
      <w:pPr>
        <w:ind w:left="0" w:firstLine="108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nothing"/>
      <w:lvlText w:val="C%1.%2.%3.%4.%5.%6  "/>
      <w:lvlJc w:val="left"/>
      <w:pPr>
        <w:ind w:left="0" w:firstLine="1440"/>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suff w:val="nothing"/>
      <w:lvlText w:val="C%1.%2.%3.%4.%5.%6.%7  "/>
      <w:lvlJc w:val="left"/>
      <w:pPr>
        <w:ind w:left="0" w:firstLine="180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nothing"/>
      <w:lvlText w:val="C%1.%2.%3.%4.%5.%6.%7.%8  "/>
      <w:lvlJc w:val="left"/>
      <w:pPr>
        <w:ind w:left="0" w:firstLine="21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nothing"/>
      <w:lvlText w:val="C%1.%2.%3.%4.%5.%6.%7.%8.%9  "/>
      <w:lvlJc w:val="left"/>
      <w:pPr>
        <w:ind w:left="0" w:firstLine="252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311750"/>
    <w:multiLevelType w:val="multilevel"/>
    <w:tmpl w:val="78365428"/>
    <w:lvl w:ilvl="0">
      <w:start w:val="20"/>
      <w:numFmt w:val="decimal"/>
      <w:suff w:val="nothing"/>
      <w:lvlText w:val="C%1. CHAPTER 2"/>
      <w:lvlJc w:val="left"/>
      <w:pPr>
        <w:ind w:left="0" w:firstLine="0"/>
      </w:pPr>
      <w:rPr>
        <w:rFonts w:ascii="Arial" w:hAnsi="Arial" w:hint="default"/>
        <w:b/>
        <w:i w:val="0"/>
        <w:sz w:val="48"/>
      </w:rPr>
    </w:lvl>
    <w:lvl w:ilvl="1">
      <w:start w:val="1"/>
      <w:numFmt w:val="decimal"/>
      <w:suff w:val="nothing"/>
      <w:lvlText w:val="C%1.%2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C%1.%2.%3  "/>
      <w:lvlJc w:val="left"/>
      <w:pPr>
        <w:ind w:left="0" w:firstLine="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C%1.%2.%3.%4  "/>
      <w:lvlJc w:val="left"/>
      <w:pPr>
        <w:ind w:left="0" w:firstLine="720"/>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C%1.%2.%3.%4.%5  "/>
      <w:lvlJc w:val="left"/>
      <w:pPr>
        <w:ind w:left="0" w:firstLine="108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C%1.%2.%3.%4.%5.%6  "/>
      <w:lvlJc w:val="left"/>
      <w:pPr>
        <w:ind w:left="0" w:firstLine="1440"/>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C%1.%2.%3.%4.%5.%6.%7  "/>
      <w:lvlJc w:val="left"/>
      <w:pPr>
        <w:ind w:left="0" w:firstLine="180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C%1.%2.%3.%4.%5.%6.%7.%8  "/>
      <w:lvlJc w:val="left"/>
      <w:pPr>
        <w:ind w:left="0" w:firstLine="21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C%1.%2.%3.%4.%5.%6.%7.%8.%9  "/>
      <w:lvlJc w:val="left"/>
      <w:pPr>
        <w:ind w:left="0" w:firstLine="252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FC24225"/>
    <w:multiLevelType w:val="hybridMultilevel"/>
    <w:tmpl w:val="0A54B8A2"/>
    <w:lvl w:ilvl="0" w:tplc="CE1452FA">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8B4B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D13695"/>
    <w:multiLevelType w:val="singleLevel"/>
    <w:tmpl w:val="3B42D866"/>
    <w:lvl w:ilvl="0">
      <w:start w:val="1"/>
      <w:numFmt w:val="bullet"/>
      <w:pStyle w:val="ListBullet"/>
      <w:lvlText w:val=""/>
      <w:lvlJc w:val="left"/>
      <w:pPr>
        <w:tabs>
          <w:tab w:val="num" w:pos="432"/>
        </w:tabs>
        <w:ind w:left="432" w:hanging="432"/>
      </w:pPr>
      <w:rPr>
        <w:rFonts w:ascii="Wingdings" w:hAnsi="Wingdings" w:hint="default"/>
      </w:rPr>
    </w:lvl>
  </w:abstractNum>
  <w:abstractNum w:abstractNumId="5" w15:restartNumberingAfterBreak="0">
    <w:nsid w:val="1BC05353"/>
    <w:multiLevelType w:val="multilevel"/>
    <w:tmpl w:val="4A9CD1DC"/>
    <w:lvl w:ilvl="0">
      <w:start w:val="1"/>
      <w:numFmt w:val="decimal"/>
      <w:suff w:val="space"/>
      <w:lvlText w:val="%1. "/>
      <w:lvlJc w:val="left"/>
      <w:pPr>
        <w:ind w:left="0" w:firstLine="0"/>
      </w:pPr>
      <w:rPr>
        <w:rFonts w:hint="default"/>
        <w:b/>
      </w:rPr>
    </w:lvl>
    <w:lvl w:ilvl="1">
      <w:start w:val="1"/>
      <w:numFmt w:val="lowerLetter"/>
      <w:suff w:val="space"/>
      <w:lvlText w:val="%2. "/>
      <w:lvlJc w:val="left"/>
      <w:pPr>
        <w:ind w:left="0" w:firstLine="720"/>
      </w:pPr>
      <w:rPr>
        <w:rFonts w:hint="default"/>
        <w:b/>
      </w:rPr>
    </w:lvl>
    <w:lvl w:ilvl="2">
      <w:start w:val="1"/>
      <w:numFmt w:val="decimal"/>
      <w:suff w:val="space"/>
      <w:lvlText w:val="(%3) "/>
      <w:lvlJc w:val="left"/>
      <w:pPr>
        <w:ind w:left="0" w:firstLine="1440"/>
      </w:pPr>
      <w:rPr>
        <w:rFonts w:hint="default"/>
        <w:b/>
      </w:rPr>
    </w:lvl>
    <w:lvl w:ilvl="3">
      <w:start w:val="1"/>
      <w:numFmt w:val="lowerLetter"/>
      <w:suff w:val="space"/>
      <w:lvlText w:val="(%4) "/>
      <w:lvlJc w:val="left"/>
      <w:pPr>
        <w:ind w:left="0" w:firstLine="2160"/>
      </w:pPr>
      <w:rPr>
        <w:rFonts w:hint="default"/>
        <w:b/>
      </w:rPr>
    </w:lvl>
    <w:lvl w:ilvl="4">
      <w:start w:val="1"/>
      <w:numFmt w:val="decimal"/>
      <w:suff w:val="space"/>
      <w:lvlText w:val="%5. "/>
      <w:lvlJc w:val="left"/>
      <w:pPr>
        <w:ind w:left="0" w:firstLine="2880"/>
      </w:pPr>
      <w:rPr>
        <w:rFonts w:hint="default"/>
        <w:b/>
        <w:u w:val="words"/>
      </w:rPr>
    </w:lvl>
    <w:lvl w:ilvl="5">
      <w:start w:val="1"/>
      <w:numFmt w:val="lowerLetter"/>
      <w:suff w:val="space"/>
      <w:lvlText w:val="%6. "/>
      <w:lvlJc w:val="left"/>
      <w:pPr>
        <w:ind w:left="0" w:firstLine="3600"/>
      </w:pPr>
      <w:rPr>
        <w:rFonts w:hint="default"/>
        <w:b/>
        <w:u w:val="words"/>
      </w:rPr>
    </w:lvl>
    <w:lvl w:ilvl="6">
      <w:start w:val="1"/>
      <w:numFmt w:val="decimal"/>
      <w:lvlText w:val="%7."/>
      <w:lvlJc w:val="left"/>
      <w:pPr>
        <w:ind w:left="2160" w:firstLine="360"/>
      </w:pPr>
      <w:rPr>
        <w:rFonts w:hint="default"/>
      </w:rPr>
    </w:lvl>
    <w:lvl w:ilvl="7">
      <w:start w:val="1"/>
      <w:numFmt w:val="lowerLetter"/>
      <w:lvlText w:val="%8."/>
      <w:lvlJc w:val="left"/>
      <w:pPr>
        <w:ind w:left="2520" w:firstLine="360"/>
      </w:pPr>
      <w:rPr>
        <w:rFonts w:hint="default"/>
      </w:rPr>
    </w:lvl>
    <w:lvl w:ilvl="8">
      <w:start w:val="1"/>
      <w:numFmt w:val="lowerRoman"/>
      <w:lvlText w:val="%9."/>
      <w:lvlJc w:val="left"/>
      <w:pPr>
        <w:ind w:left="2880" w:firstLine="360"/>
      </w:pPr>
      <w:rPr>
        <w:rFonts w:hint="default"/>
      </w:rPr>
    </w:lvl>
  </w:abstractNum>
  <w:abstractNum w:abstractNumId="6" w15:restartNumberingAfterBreak="0">
    <w:nsid w:val="2CE46A65"/>
    <w:multiLevelType w:val="singleLevel"/>
    <w:tmpl w:val="F084B7E2"/>
    <w:lvl w:ilvl="0">
      <w:start w:val="1"/>
      <w:numFmt w:val="bullet"/>
      <w:pStyle w:val="ListBullet2"/>
      <w:lvlText w:val=""/>
      <w:lvlJc w:val="left"/>
      <w:pPr>
        <w:tabs>
          <w:tab w:val="num" w:pos="432"/>
        </w:tabs>
        <w:ind w:left="432" w:hanging="432"/>
      </w:pPr>
      <w:rPr>
        <w:rFonts w:ascii="Wingdings" w:hAnsi="Wingdings" w:hint="default"/>
      </w:rPr>
    </w:lvl>
  </w:abstractNum>
  <w:abstractNum w:abstractNumId="7" w15:restartNumberingAfterBreak="0">
    <w:nsid w:val="446B01B8"/>
    <w:multiLevelType w:val="multilevel"/>
    <w:tmpl w:val="D66A5CB6"/>
    <w:lvl w:ilvl="0">
      <w:start w:val="20"/>
      <w:numFmt w:val="none"/>
      <w:suff w:val="nothing"/>
      <w:lvlText w:val="C21 CHAPTER 2"/>
      <w:lvlJc w:val="left"/>
      <w:pPr>
        <w:ind w:left="0" w:firstLine="0"/>
      </w:pPr>
      <w:rPr>
        <w:rFonts w:ascii="Arial" w:hAnsi="Arial" w:hint="default"/>
        <w:b/>
        <w:i w:val="0"/>
        <w:sz w:val="48"/>
      </w:rPr>
    </w:lvl>
    <w:lvl w:ilvl="1">
      <w:start w:val="1"/>
      <w:numFmt w:val="decimal"/>
      <w:suff w:val="nothing"/>
      <w:lvlText w:val="C%1.%2  "/>
      <w:lvlJc w:val="left"/>
      <w:pPr>
        <w:ind w:left="18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C%1.%2.%3  "/>
      <w:lvlJc w:val="left"/>
      <w:pPr>
        <w:ind w:left="0" w:firstLine="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C%1.%2.%3.%4  "/>
      <w:lvlJc w:val="left"/>
      <w:pPr>
        <w:ind w:left="0" w:firstLine="720"/>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C%1.%2.%3.%4.%5  "/>
      <w:lvlJc w:val="left"/>
      <w:pPr>
        <w:ind w:left="0" w:firstLine="108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C%1.%2.%3.%4.%5.%6  "/>
      <w:lvlJc w:val="left"/>
      <w:pPr>
        <w:ind w:left="0" w:firstLine="1440"/>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C%1.%2.%3.%4.%5.%6.%7  "/>
      <w:lvlJc w:val="left"/>
      <w:pPr>
        <w:ind w:left="0" w:firstLine="180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C%1.%2.%3.%4.%5.%6.%7.%8  "/>
      <w:lvlJc w:val="left"/>
      <w:pPr>
        <w:ind w:left="0" w:firstLine="21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C%1.%2.%3.%4.%5.%6.%7.%8.%9  "/>
      <w:lvlJc w:val="left"/>
      <w:pPr>
        <w:ind w:left="0" w:firstLine="252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556E2FDF"/>
    <w:multiLevelType w:val="singleLevel"/>
    <w:tmpl w:val="6A302296"/>
    <w:lvl w:ilvl="0">
      <w:start w:val="1"/>
      <w:numFmt w:val="bullet"/>
      <w:pStyle w:val="ListBullet3"/>
      <w:lvlText w:val=""/>
      <w:lvlJc w:val="left"/>
      <w:pPr>
        <w:tabs>
          <w:tab w:val="num" w:pos="432"/>
        </w:tabs>
        <w:ind w:left="432" w:hanging="432"/>
      </w:pPr>
      <w:rPr>
        <w:rFonts w:ascii="Wingdings" w:hAnsi="Wingdings" w:hint="default"/>
      </w:rPr>
    </w:lvl>
  </w:abstractNum>
  <w:abstractNum w:abstractNumId="9" w15:restartNumberingAfterBreak="0">
    <w:nsid w:val="61937EF0"/>
    <w:multiLevelType w:val="multilevel"/>
    <w:tmpl w:val="76A2BEFE"/>
    <w:lvl w:ilvl="0">
      <w:start w:val="10"/>
      <w:numFmt w:val="decimal"/>
      <w:suff w:val="space"/>
      <w:lvlText w:val="%1. "/>
      <w:lvlJc w:val="left"/>
      <w:pPr>
        <w:ind w:left="0" w:firstLine="0"/>
      </w:pPr>
      <w:rPr>
        <w:rFonts w:hint="default"/>
        <w:b/>
      </w:rPr>
    </w:lvl>
    <w:lvl w:ilvl="1">
      <w:start w:val="1"/>
      <w:numFmt w:val="lowerLetter"/>
      <w:suff w:val="space"/>
      <w:lvlText w:val="%2. "/>
      <w:lvlJc w:val="left"/>
      <w:pPr>
        <w:ind w:left="0" w:firstLine="720"/>
      </w:pPr>
      <w:rPr>
        <w:rFonts w:hint="default"/>
        <w:b/>
      </w:rPr>
    </w:lvl>
    <w:lvl w:ilvl="2">
      <w:start w:val="1"/>
      <w:numFmt w:val="decimal"/>
      <w:suff w:val="space"/>
      <w:lvlText w:val="(%3) "/>
      <w:lvlJc w:val="left"/>
      <w:pPr>
        <w:ind w:left="0" w:firstLine="1440"/>
      </w:pPr>
      <w:rPr>
        <w:rFonts w:hint="default"/>
        <w:b/>
      </w:rPr>
    </w:lvl>
    <w:lvl w:ilvl="3">
      <w:start w:val="2"/>
      <w:numFmt w:val="lowerLetter"/>
      <w:suff w:val="space"/>
      <w:lvlText w:val="(%4) "/>
      <w:lvlJc w:val="left"/>
      <w:pPr>
        <w:ind w:left="0" w:firstLine="2160"/>
      </w:pPr>
      <w:rPr>
        <w:rFonts w:hint="default"/>
        <w:b/>
      </w:rPr>
    </w:lvl>
    <w:lvl w:ilvl="4">
      <w:start w:val="1"/>
      <w:numFmt w:val="decimal"/>
      <w:suff w:val="space"/>
      <w:lvlText w:val="%5. "/>
      <w:lvlJc w:val="left"/>
      <w:pPr>
        <w:ind w:left="0" w:firstLine="2880"/>
      </w:pPr>
      <w:rPr>
        <w:rFonts w:hint="default"/>
        <w:b/>
        <w:u w:val="words"/>
      </w:rPr>
    </w:lvl>
    <w:lvl w:ilvl="5">
      <w:start w:val="1"/>
      <w:numFmt w:val="lowerLetter"/>
      <w:suff w:val="space"/>
      <w:lvlText w:val="%6. "/>
      <w:lvlJc w:val="left"/>
      <w:pPr>
        <w:ind w:left="0" w:firstLine="3600"/>
      </w:pPr>
      <w:rPr>
        <w:rFonts w:hint="default"/>
        <w:b/>
        <w:u w:val="words"/>
      </w:rPr>
    </w:lvl>
    <w:lvl w:ilvl="6">
      <w:start w:val="1"/>
      <w:numFmt w:val="decimal"/>
      <w:lvlText w:val="%7."/>
      <w:lvlJc w:val="left"/>
      <w:pPr>
        <w:ind w:left="2160" w:firstLine="360"/>
      </w:pPr>
      <w:rPr>
        <w:rFonts w:hint="default"/>
      </w:rPr>
    </w:lvl>
    <w:lvl w:ilvl="7">
      <w:start w:val="1"/>
      <w:numFmt w:val="lowerLetter"/>
      <w:lvlText w:val="%8."/>
      <w:lvlJc w:val="left"/>
      <w:pPr>
        <w:ind w:left="2520" w:firstLine="360"/>
      </w:pPr>
      <w:rPr>
        <w:rFonts w:hint="default"/>
      </w:rPr>
    </w:lvl>
    <w:lvl w:ilvl="8">
      <w:start w:val="1"/>
      <w:numFmt w:val="lowerRoman"/>
      <w:lvlText w:val="%9."/>
      <w:lvlJc w:val="left"/>
      <w:pPr>
        <w:ind w:left="2880" w:firstLine="360"/>
      </w:pPr>
      <w:rPr>
        <w:rFonts w:hint="default"/>
      </w:rPr>
    </w:lvl>
  </w:abstractNum>
  <w:abstractNum w:abstractNumId="10" w15:restartNumberingAfterBreak="0">
    <w:nsid w:val="72AE4A5B"/>
    <w:multiLevelType w:val="multilevel"/>
    <w:tmpl w:val="837E0FAA"/>
    <w:lvl w:ilvl="0">
      <w:start w:val="2"/>
      <w:numFmt w:val="decimal"/>
      <w:suff w:val="nothing"/>
      <w:lvlText w:val="C%1. CHAPTER 2"/>
      <w:lvlJc w:val="left"/>
      <w:pPr>
        <w:ind w:left="0" w:firstLine="0"/>
      </w:pPr>
      <w:rPr>
        <w:rFonts w:ascii="Arial" w:hAnsi="Arial" w:hint="default"/>
        <w:b/>
        <w:i w:val="0"/>
        <w:sz w:val="48"/>
      </w:rPr>
    </w:lvl>
    <w:lvl w:ilvl="1">
      <w:start w:val="1"/>
      <w:numFmt w:val="decimal"/>
      <w:suff w:val="nothing"/>
      <w:lvlText w:val="C%1.%2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C%1.%2.%3  "/>
      <w:lvlJc w:val="left"/>
      <w:pPr>
        <w:ind w:left="0" w:firstLine="3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C%1.%2.%3.%4  "/>
      <w:lvlJc w:val="left"/>
      <w:pPr>
        <w:ind w:left="0" w:firstLine="720"/>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C%1.%2.%3.%4.%5  "/>
      <w:lvlJc w:val="left"/>
      <w:pPr>
        <w:ind w:left="0" w:firstLine="108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C%1.%2.%3.%4.%5.%6  "/>
      <w:lvlJc w:val="left"/>
      <w:pPr>
        <w:ind w:left="0" w:firstLine="1440"/>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C%1.%2.%3.%4.%5.%6.%7  "/>
      <w:lvlJc w:val="left"/>
      <w:pPr>
        <w:ind w:left="0" w:firstLine="180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C%1.%2.%3.%4.%5.%6.%7.%8  "/>
      <w:lvlJc w:val="left"/>
      <w:pPr>
        <w:ind w:left="0" w:firstLine="216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C%1.%2.%3.%4.%5.%6.%7.%8.%9  "/>
      <w:lvlJc w:val="left"/>
      <w:pPr>
        <w:ind w:left="0" w:firstLine="252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72821555">
    <w:abstractNumId w:val="0"/>
  </w:num>
  <w:num w:numId="2" w16cid:durableId="681514196">
    <w:abstractNumId w:val="3"/>
  </w:num>
  <w:num w:numId="3" w16cid:durableId="403140569">
    <w:abstractNumId w:val="0"/>
  </w:num>
  <w:num w:numId="4" w16cid:durableId="1717705242">
    <w:abstractNumId w:val="0"/>
  </w:num>
  <w:num w:numId="5" w16cid:durableId="943341544">
    <w:abstractNumId w:val="0"/>
  </w:num>
  <w:num w:numId="6" w16cid:durableId="2067100268">
    <w:abstractNumId w:val="0"/>
  </w:num>
  <w:num w:numId="7" w16cid:durableId="542209395">
    <w:abstractNumId w:val="0"/>
  </w:num>
  <w:num w:numId="8" w16cid:durableId="1844933414">
    <w:abstractNumId w:val="0"/>
  </w:num>
  <w:num w:numId="9" w16cid:durableId="370811462">
    <w:abstractNumId w:val="0"/>
  </w:num>
  <w:num w:numId="10" w16cid:durableId="761219582">
    <w:abstractNumId w:val="0"/>
  </w:num>
  <w:num w:numId="11" w16cid:durableId="1138911812">
    <w:abstractNumId w:val="0"/>
  </w:num>
  <w:num w:numId="12" w16cid:durableId="627131400">
    <w:abstractNumId w:val="0"/>
  </w:num>
  <w:num w:numId="13" w16cid:durableId="156697481">
    <w:abstractNumId w:val="0"/>
  </w:num>
  <w:num w:numId="14" w16cid:durableId="221257052">
    <w:abstractNumId w:val="0"/>
  </w:num>
  <w:num w:numId="15" w16cid:durableId="749153960">
    <w:abstractNumId w:val="4"/>
  </w:num>
  <w:num w:numId="16" w16cid:durableId="1800149551">
    <w:abstractNumId w:val="6"/>
  </w:num>
  <w:num w:numId="17" w16cid:durableId="222258443">
    <w:abstractNumId w:val="8"/>
  </w:num>
  <w:num w:numId="18" w16cid:durableId="612247292">
    <w:abstractNumId w:val="10"/>
  </w:num>
  <w:num w:numId="19" w16cid:durableId="927227071">
    <w:abstractNumId w:val="1"/>
  </w:num>
  <w:num w:numId="20" w16cid:durableId="206375702">
    <w:abstractNumId w:val="7"/>
  </w:num>
  <w:num w:numId="21" w16cid:durableId="1683119102">
    <w:abstractNumId w:val="0"/>
  </w:num>
  <w:num w:numId="22" w16cid:durableId="690228442">
    <w:abstractNumId w:val="0"/>
  </w:num>
  <w:num w:numId="23" w16cid:durableId="796990175">
    <w:abstractNumId w:val="0"/>
  </w:num>
  <w:num w:numId="24" w16cid:durableId="1976836305">
    <w:abstractNumId w:val="5"/>
  </w:num>
  <w:num w:numId="25" w16cid:durableId="828596295">
    <w:abstractNumId w:val="2"/>
  </w:num>
  <w:num w:numId="26" w16cid:durableId="1798572896">
    <w:abstractNumId w:val="0"/>
  </w:num>
  <w:num w:numId="27" w16cid:durableId="2006589016">
    <w:abstractNumId w:val="0"/>
  </w:num>
  <w:num w:numId="28" w16cid:durableId="575096094">
    <w:abstractNumId w:val="0"/>
  </w:num>
  <w:num w:numId="29" w16cid:durableId="1841844101">
    <w:abstractNumId w:val="0"/>
  </w:num>
  <w:num w:numId="30" w16cid:durableId="1071318656">
    <w:abstractNumId w:val="0"/>
  </w:num>
  <w:num w:numId="31" w16cid:durableId="895968114">
    <w:abstractNumId w:val="0"/>
  </w:num>
  <w:num w:numId="32" w16cid:durableId="240260683">
    <w:abstractNumId w:val="0"/>
  </w:num>
  <w:num w:numId="33" w16cid:durableId="1789741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157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021"/>
    <w:rsid w:val="00004844"/>
    <w:rsid w:val="0001017B"/>
    <w:rsid w:val="00014BAB"/>
    <w:rsid w:val="00015C5F"/>
    <w:rsid w:val="00017BD9"/>
    <w:rsid w:val="00024CD9"/>
    <w:rsid w:val="00061083"/>
    <w:rsid w:val="000751AD"/>
    <w:rsid w:val="0008728D"/>
    <w:rsid w:val="000B2D7A"/>
    <w:rsid w:val="000B4E90"/>
    <w:rsid w:val="000D3BFF"/>
    <w:rsid w:val="00107D97"/>
    <w:rsid w:val="00126183"/>
    <w:rsid w:val="001359AF"/>
    <w:rsid w:val="00145C81"/>
    <w:rsid w:val="0014663A"/>
    <w:rsid w:val="00164E31"/>
    <w:rsid w:val="001807EE"/>
    <w:rsid w:val="00183AC8"/>
    <w:rsid w:val="00196E92"/>
    <w:rsid w:val="001A4AB4"/>
    <w:rsid w:val="001A7EDA"/>
    <w:rsid w:val="001B067F"/>
    <w:rsid w:val="001B127C"/>
    <w:rsid w:val="001D79E0"/>
    <w:rsid w:val="001E2418"/>
    <w:rsid w:val="001E3111"/>
    <w:rsid w:val="001F1AFC"/>
    <w:rsid w:val="00200B52"/>
    <w:rsid w:val="00203984"/>
    <w:rsid w:val="002241CB"/>
    <w:rsid w:val="00225958"/>
    <w:rsid w:val="00227A74"/>
    <w:rsid w:val="00233037"/>
    <w:rsid w:val="0023678A"/>
    <w:rsid w:val="00246CB4"/>
    <w:rsid w:val="00257AB7"/>
    <w:rsid w:val="00264B4B"/>
    <w:rsid w:val="002715C3"/>
    <w:rsid w:val="00275D46"/>
    <w:rsid w:val="00290D99"/>
    <w:rsid w:val="002917AE"/>
    <w:rsid w:val="00297F9E"/>
    <w:rsid w:val="002E37FE"/>
    <w:rsid w:val="002E53E3"/>
    <w:rsid w:val="002E5722"/>
    <w:rsid w:val="002F1912"/>
    <w:rsid w:val="002F32A4"/>
    <w:rsid w:val="002F575A"/>
    <w:rsid w:val="002F7C16"/>
    <w:rsid w:val="00305917"/>
    <w:rsid w:val="00342926"/>
    <w:rsid w:val="00342B37"/>
    <w:rsid w:val="003450EB"/>
    <w:rsid w:val="00345FE6"/>
    <w:rsid w:val="00351F4C"/>
    <w:rsid w:val="00376E65"/>
    <w:rsid w:val="00382661"/>
    <w:rsid w:val="0039015D"/>
    <w:rsid w:val="003A2537"/>
    <w:rsid w:val="003A3AAF"/>
    <w:rsid w:val="003A49F9"/>
    <w:rsid w:val="003B48B1"/>
    <w:rsid w:val="003B6BDD"/>
    <w:rsid w:val="003D1A6C"/>
    <w:rsid w:val="003E166E"/>
    <w:rsid w:val="00414925"/>
    <w:rsid w:val="00427A19"/>
    <w:rsid w:val="00434412"/>
    <w:rsid w:val="00454ABF"/>
    <w:rsid w:val="00460E1A"/>
    <w:rsid w:val="004824B2"/>
    <w:rsid w:val="0049068E"/>
    <w:rsid w:val="00497B6F"/>
    <w:rsid w:val="004A4199"/>
    <w:rsid w:val="004A7C6F"/>
    <w:rsid w:val="004B4C54"/>
    <w:rsid w:val="004B5760"/>
    <w:rsid w:val="004E0D1C"/>
    <w:rsid w:val="004F3713"/>
    <w:rsid w:val="004F5024"/>
    <w:rsid w:val="00512E4A"/>
    <w:rsid w:val="00520390"/>
    <w:rsid w:val="00525BD0"/>
    <w:rsid w:val="0054233B"/>
    <w:rsid w:val="0054259C"/>
    <w:rsid w:val="005646F2"/>
    <w:rsid w:val="00581C0F"/>
    <w:rsid w:val="00582D34"/>
    <w:rsid w:val="00583218"/>
    <w:rsid w:val="00586C10"/>
    <w:rsid w:val="00594723"/>
    <w:rsid w:val="005A2A75"/>
    <w:rsid w:val="005A6162"/>
    <w:rsid w:val="005E29F2"/>
    <w:rsid w:val="005E29FB"/>
    <w:rsid w:val="005F14C4"/>
    <w:rsid w:val="005F7504"/>
    <w:rsid w:val="00640AEB"/>
    <w:rsid w:val="00643D86"/>
    <w:rsid w:val="006467BA"/>
    <w:rsid w:val="00656D88"/>
    <w:rsid w:val="00662696"/>
    <w:rsid w:val="006715C1"/>
    <w:rsid w:val="0068605A"/>
    <w:rsid w:val="006B0D45"/>
    <w:rsid w:val="006B35AF"/>
    <w:rsid w:val="006B3BB9"/>
    <w:rsid w:val="006C1D74"/>
    <w:rsid w:val="006D3E02"/>
    <w:rsid w:val="006D4746"/>
    <w:rsid w:val="006D75E0"/>
    <w:rsid w:val="006E4401"/>
    <w:rsid w:val="00703F63"/>
    <w:rsid w:val="00711996"/>
    <w:rsid w:val="0071252D"/>
    <w:rsid w:val="0073029B"/>
    <w:rsid w:val="00736953"/>
    <w:rsid w:val="00745A63"/>
    <w:rsid w:val="007502F8"/>
    <w:rsid w:val="007539BC"/>
    <w:rsid w:val="00754E03"/>
    <w:rsid w:val="007741D9"/>
    <w:rsid w:val="00782A2C"/>
    <w:rsid w:val="007A1953"/>
    <w:rsid w:val="007A3A47"/>
    <w:rsid w:val="007A674F"/>
    <w:rsid w:val="007D336A"/>
    <w:rsid w:val="007E2F09"/>
    <w:rsid w:val="007E70F6"/>
    <w:rsid w:val="007F339C"/>
    <w:rsid w:val="008007F5"/>
    <w:rsid w:val="008164C8"/>
    <w:rsid w:val="00826C01"/>
    <w:rsid w:val="008635F1"/>
    <w:rsid w:val="0087033F"/>
    <w:rsid w:val="008747E0"/>
    <w:rsid w:val="00876079"/>
    <w:rsid w:val="00883EBD"/>
    <w:rsid w:val="008B0FEC"/>
    <w:rsid w:val="008C7D5A"/>
    <w:rsid w:val="008D32D8"/>
    <w:rsid w:val="008F12FC"/>
    <w:rsid w:val="008F5A0C"/>
    <w:rsid w:val="00902D67"/>
    <w:rsid w:val="00911A25"/>
    <w:rsid w:val="00923C60"/>
    <w:rsid w:val="00935FAE"/>
    <w:rsid w:val="00942A6F"/>
    <w:rsid w:val="00947AA6"/>
    <w:rsid w:val="00950CC6"/>
    <w:rsid w:val="0095575E"/>
    <w:rsid w:val="0096420C"/>
    <w:rsid w:val="0097290D"/>
    <w:rsid w:val="00975207"/>
    <w:rsid w:val="00977911"/>
    <w:rsid w:val="0098611D"/>
    <w:rsid w:val="00990345"/>
    <w:rsid w:val="00994475"/>
    <w:rsid w:val="009A4A71"/>
    <w:rsid w:val="009B4A99"/>
    <w:rsid w:val="009C0F0E"/>
    <w:rsid w:val="009D4137"/>
    <w:rsid w:val="009D7C92"/>
    <w:rsid w:val="009E723E"/>
    <w:rsid w:val="009E793F"/>
    <w:rsid w:val="00A1481A"/>
    <w:rsid w:val="00A228FA"/>
    <w:rsid w:val="00A2405A"/>
    <w:rsid w:val="00A2687E"/>
    <w:rsid w:val="00A30577"/>
    <w:rsid w:val="00A435B8"/>
    <w:rsid w:val="00A4583E"/>
    <w:rsid w:val="00A620CD"/>
    <w:rsid w:val="00A63103"/>
    <w:rsid w:val="00A73E71"/>
    <w:rsid w:val="00AA0C0D"/>
    <w:rsid w:val="00AB28BA"/>
    <w:rsid w:val="00AE4B61"/>
    <w:rsid w:val="00AF338D"/>
    <w:rsid w:val="00AF624D"/>
    <w:rsid w:val="00B005AA"/>
    <w:rsid w:val="00B01D24"/>
    <w:rsid w:val="00B2526C"/>
    <w:rsid w:val="00B27359"/>
    <w:rsid w:val="00B468CD"/>
    <w:rsid w:val="00B70B49"/>
    <w:rsid w:val="00B76010"/>
    <w:rsid w:val="00B8263F"/>
    <w:rsid w:val="00BA6FC4"/>
    <w:rsid w:val="00BC4C7E"/>
    <w:rsid w:val="00BD1029"/>
    <w:rsid w:val="00BD787A"/>
    <w:rsid w:val="00BF599F"/>
    <w:rsid w:val="00C13B7A"/>
    <w:rsid w:val="00C17835"/>
    <w:rsid w:val="00C239BC"/>
    <w:rsid w:val="00C34CA6"/>
    <w:rsid w:val="00C50778"/>
    <w:rsid w:val="00C52270"/>
    <w:rsid w:val="00C63DA7"/>
    <w:rsid w:val="00C80A47"/>
    <w:rsid w:val="00C864BD"/>
    <w:rsid w:val="00C86621"/>
    <w:rsid w:val="00C908D3"/>
    <w:rsid w:val="00CA65A0"/>
    <w:rsid w:val="00CA7F32"/>
    <w:rsid w:val="00CD4245"/>
    <w:rsid w:val="00CD4EA6"/>
    <w:rsid w:val="00CE13E8"/>
    <w:rsid w:val="00CF18D8"/>
    <w:rsid w:val="00CF21C7"/>
    <w:rsid w:val="00D01EEB"/>
    <w:rsid w:val="00D07297"/>
    <w:rsid w:val="00D11222"/>
    <w:rsid w:val="00D15BC9"/>
    <w:rsid w:val="00D162F1"/>
    <w:rsid w:val="00D303DE"/>
    <w:rsid w:val="00D3131A"/>
    <w:rsid w:val="00D360FA"/>
    <w:rsid w:val="00D4768C"/>
    <w:rsid w:val="00D565CE"/>
    <w:rsid w:val="00D63C12"/>
    <w:rsid w:val="00D946A4"/>
    <w:rsid w:val="00D969F4"/>
    <w:rsid w:val="00D97763"/>
    <w:rsid w:val="00DB4021"/>
    <w:rsid w:val="00DB6BE5"/>
    <w:rsid w:val="00DC605D"/>
    <w:rsid w:val="00DD79E1"/>
    <w:rsid w:val="00DE6E29"/>
    <w:rsid w:val="00E10E8F"/>
    <w:rsid w:val="00E13A1F"/>
    <w:rsid w:val="00E2555C"/>
    <w:rsid w:val="00E42A49"/>
    <w:rsid w:val="00E606B7"/>
    <w:rsid w:val="00E62997"/>
    <w:rsid w:val="00E725DE"/>
    <w:rsid w:val="00E904BD"/>
    <w:rsid w:val="00EF2033"/>
    <w:rsid w:val="00EF7569"/>
    <w:rsid w:val="00EF7EE3"/>
    <w:rsid w:val="00F0005A"/>
    <w:rsid w:val="00F03A94"/>
    <w:rsid w:val="00F07D88"/>
    <w:rsid w:val="00F16675"/>
    <w:rsid w:val="00F1678A"/>
    <w:rsid w:val="00F17B3F"/>
    <w:rsid w:val="00F32894"/>
    <w:rsid w:val="00F33B7C"/>
    <w:rsid w:val="00F41DC2"/>
    <w:rsid w:val="00F530AF"/>
    <w:rsid w:val="00F55953"/>
    <w:rsid w:val="00F57017"/>
    <w:rsid w:val="00F86AA1"/>
    <w:rsid w:val="00FB0E4F"/>
    <w:rsid w:val="00FB6249"/>
    <w:rsid w:val="00FD31D8"/>
    <w:rsid w:val="00FE6504"/>
    <w:rsid w:val="00FE70BF"/>
    <w:rsid w:val="00FF650F"/>
    <w:rsid w:val="00FF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713"/>
    <o:shapelayout v:ext="edit">
      <o:idmap v:ext="edit" data="1"/>
    </o:shapelayout>
  </w:shapeDefaults>
  <w:decimalSymbol w:val="."/>
  <w:listSeparator w:val=","/>
  <w14:docId w14:val="30D7FB32"/>
  <w15:docId w15:val="{F124FFA2-5D4C-4DE5-9EDD-33115DBD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EA6"/>
    <w:rPr>
      <w:rFonts w:ascii="Arial" w:hAnsi="Arial"/>
      <w:sz w:val="24"/>
    </w:rPr>
  </w:style>
  <w:style w:type="paragraph" w:styleId="Heading1">
    <w:name w:val="heading 1"/>
    <w:basedOn w:val="Normal"/>
    <w:autoRedefine/>
    <w:qFormat/>
    <w:rsid w:val="00CD4EA6"/>
    <w:pPr>
      <w:numPr>
        <w:numId w:val="32"/>
      </w:numPr>
      <w:spacing w:before="60" w:after="120"/>
      <w:jc w:val="center"/>
      <w:outlineLvl w:val="0"/>
    </w:pPr>
    <w:rPr>
      <w:b/>
      <w:caps/>
      <w:sz w:val="48"/>
    </w:rPr>
  </w:style>
  <w:style w:type="paragraph" w:styleId="Heading2">
    <w:name w:val="heading 2"/>
    <w:basedOn w:val="Normal"/>
    <w:autoRedefine/>
    <w:qFormat/>
    <w:rsid w:val="00CD4EA6"/>
    <w:pPr>
      <w:spacing w:before="240" w:after="60"/>
      <w:outlineLvl w:val="1"/>
    </w:pPr>
    <w:rPr>
      <w:b/>
      <w:i/>
      <w:iCs/>
      <w:color w:val="FF0000"/>
    </w:rPr>
  </w:style>
  <w:style w:type="paragraph" w:styleId="Heading3">
    <w:name w:val="heading 3"/>
    <w:basedOn w:val="Normal"/>
    <w:link w:val="Heading3Char"/>
    <w:autoRedefine/>
    <w:qFormat/>
    <w:rsid w:val="007A1953"/>
    <w:pPr>
      <w:tabs>
        <w:tab w:val="left" w:pos="547"/>
        <w:tab w:val="left" w:pos="1080"/>
        <w:tab w:val="left" w:pos="1627"/>
        <w:tab w:val="left" w:pos="2232"/>
        <w:tab w:val="left" w:pos="2707"/>
        <w:tab w:val="left" w:pos="3240"/>
      </w:tabs>
      <w:spacing w:before="240" w:after="60"/>
      <w:outlineLvl w:val="2"/>
    </w:pPr>
    <w:rPr>
      <w:rFonts w:cs="Arial"/>
    </w:rPr>
  </w:style>
  <w:style w:type="paragraph" w:styleId="Heading4">
    <w:name w:val="heading 4"/>
    <w:basedOn w:val="Normal"/>
    <w:autoRedefine/>
    <w:qFormat/>
    <w:rsid w:val="00CD4EA6"/>
    <w:pPr>
      <w:numPr>
        <w:ilvl w:val="3"/>
        <w:numId w:val="32"/>
      </w:numPr>
      <w:spacing w:before="60" w:after="120"/>
      <w:outlineLvl w:val="3"/>
    </w:pPr>
  </w:style>
  <w:style w:type="paragraph" w:styleId="Heading5">
    <w:name w:val="heading 5"/>
    <w:basedOn w:val="Normal"/>
    <w:autoRedefine/>
    <w:qFormat/>
    <w:rsid w:val="00CD4EA6"/>
    <w:pPr>
      <w:numPr>
        <w:ilvl w:val="4"/>
        <w:numId w:val="32"/>
      </w:numPr>
      <w:spacing w:before="60" w:after="120"/>
      <w:outlineLvl w:val="4"/>
    </w:pPr>
  </w:style>
  <w:style w:type="paragraph" w:styleId="Heading6">
    <w:name w:val="heading 6"/>
    <w:basedOn w:val="Normal"/>
    <w:autoRedefine/>
    <w:qFormat/>
    <w:rsid w:val="00CD4EA6"/>
    <w:pPr>
      <w:numPr>
        <w:ilvl w:val="5"/>
        <w:numId w:val="32"/>
      </w:numPr>
      <w:tabs>
        <w:tab w:val="left" w:pos="3150"/>
      </w:tabs>
      <w:spacing w:before="60" w:after="120"/>
      <w:outlineLvl w:val="5"/>
    </w:pPr>
  </w:style>
  <w:style w:type="paragraph" w:styleId="Heading7">
    <w:name w:val="heading 7"/>
    <w:basedOn w:val="Normal"/>
    <w:autoRedefine/>
    <w:qFormat/>
    <w:rsid w:val="00CD4EA6"/>
    <w:pPr>
      <w:numPr>
        <w:ilvl w:val="6"/>
        <w:numId w:val="32"/>
      </w:numPr>
      <w:spacing w:before="60" w:after="120"/>
      <w:outlineLvl w:val="6"/>
    </w:pPr>
  </w:style>
  <w:style w:type="paragraph" w:styleId="Heading8">
    <w:name w:val="heading 8"/>
    <w:basedOn w:val="Normal"/>
    <w:next w:val="Heading9"/>
    <w:autoRedefine/>
    <w:qFormat/>
    <w:rsid w:val="00CD4EA6"/>
    <w:pPr>
      <w:numPr>
        <w:ilvl w:val="7"/>
        <w:numId w:val="32"/>
      </w:numPr>
      <w:spacing w:before="60" w:after="120"/>
      <w:outlineLvl w:val="7"/>
    </w:pPr>
  </w:style>
  <w:style w:type="paragraph" w:styleId="Heading9">
    <w:name w:val="heading 9"/>
    <w:basedOn w:val="Normal"/>
    <w:autoRedefine/>
    <w:qFormat/>
    <w:rsid w:val="00CD4EA6"/>
    <w:pPr>
      <w:numPr>
        <w:ilvl w:val="8"/>
        <w:numId w:val="32"/>
      </w:numPr>
      <w:spacing w:before="60" w:after="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A63103"/>
    <w:rPr>
      <w:vertAlign w:val="superscript"/>
    </w:rPr>
  </w:style>
  <w:style w:type="character" w:styleId="FootnoteReference">
    <w:name w:val="footnote reference"/>
    <w:basedOn w:val="DefaultParagraphFont"/>
    <w:rsid w:val="00A63103"/>
    <w:rPr>
      <w:vertAlign w:val="superscript"/>
    </w:rPr>
  </w:style>
  <w:style w:type="character" w:styleId="PageNumber">
    <w:name w:val="page number"/>
    <w:basedOn w:val="DefaultParagraphFont"/>
    <w:rsid w:val="00A63103"/>
    <w:rPr>
      <w:rFonts w:ascii="Arial" w:hAnsi="Arial"/>
      <w:b/>
      <w:sz w:val="24"/>
    </w:rPr>
  </w:style>
  <w:style w:type="paragraph" w:styleId="Footer">
    <w:name w:val="footer"/>
    <w:basedOn w:val="Normal"/>
    <w:link w:val="FooterChar"/>
    <w:uiPriority w:val="99"/>
    <w:rsid w:val="00A63103"/>
    <w:pPr>
      <w:tabs>
        <w:tab w:val="center" w:pos="4320"/>
        <w:tab w:val="right" w:pos="8640"/>
      </w:tabs>
    </w:pPr>
  </w:style>
  <w:style w:type="paragraph" w:styleId="Header">
    <w:name w:val="header"/>
    <w:basedOn w:val="Normal"/>
    <w:rsid w:val="00A63103"/>
    <w:pPr>
      <w:tabs>
        <w:tab w:val="center" w:pos="4320"/>
        <w:tab w:val="right" w:pos="8640"/>
      </w:tabs>
      <w:jc w:val="center"/>
    </w:pPr>
    <w:rPr>
      <w:u w:val="single"/>
    </w:rPr>
  </w:style>
  <w:style w:type="paragraph" w:styleId="FootnoteText">
    <w:name w:val="footnote text"/>
    <w:aliases w:val="ft"/>
    <w:basedOn w:val="Normal"/>
    <w:link w:val="FootnoteTextChar"/>
    <w:rsid w:val="00A63103"/>
    <w:rPr>
      <w:sz w:val="20"/>
    </w:rPr>
  </w:style>
  <w:style w:type="paragraph" w:customStyle="1" w:styleId="SubTitle">
    <w:name w:val="Sub Title"/>
    <w:basedOn w:val="Title"/>
    <w:rsid w:val="00A63103"/>
    <w:rPr>
      <w:sz w:val="28"/>
      <w:u w:val="single"/>
    </w:rPr>
  </w:style>
  <w:style w:type="paragraph" w:styleId="Title">
    <w:name w:val="Title"/>
    <w:basedOn w:val="Normal"/>
    <w:next w:val="Header"/>
    <w:autoRedefine/>
    <w:qFormat/>
    <w:rsid w:val="00CD4EA6"/>
    <w:pPr>
      <w:spacing w:after="240"/>
      <w:jc w:val="center"/>
    </w:pPr>
    <w:rPr>
      <w:b/>
      <w:i/>
      <w:caps/>
      <w:color w:val="FF0000"/>
      <w:kern w:val="28"/>
      <w:sz w:val="48"/>
      <w:szCs w:val="48"/>
    </w:rPr>
  </w:style>
  <w:style w:type="paragraph" w:styleId="Subtitle0">
    <w:name w:val="Subtitle"/>
    <w:basedOn w:val="Normal"/>
    <w:qFormat/>
    <w:rsid w:val="00CD4EA6"/>
    <w:pPr>
      <w:spacing w:after="240"/>
      <w:jc w:val="center"/>
    </w:pPr>
    <w:rPr>
      <w:b/>
      <w:caps/>
      <w:sz w:val="28"/>
      <w:u w:val="single"/>
    </w:rPr>
  </w:style>
  <w:style w:type="paragraph" w:customStyle="1" w:styleId="BodyTextHanging">
    <w:name w:val="Body Text Hanging"/>
    <w:basedOn w:val="Normal"/>
    <w:rsid w:val="00A63103"/>
    <w:pPr>
      <w:spacing w:after="160"/>
      <w:ind w:left="1440"/>
    </w:pPr>
  </w:style>
  <w:style w:type="paragraph" w:styleId="BodyText">
    <w:name w:val="Body Text"/>
    <w:basedOn w:val="Normal"/>
    <w:rsid w:val="00A63103"/>
    <w:pPr>
      <w:spacing w:after="120"/>
    </w:pPr>
  </w:style>
  <w:style w:type="paragraph" w:styleId="ListBullet">
    <w:name w:val="List Bullet"/>
    <w:basedOn w:val="NormalIndent"/>
    <w:autoRedefine/>
    <w:rsid w:val="00A63103"/>
    <w:pPr>
      <w:numPr>
        <w:numId w:val="15"/>
      </w:numPr>
      <w:tabs>
        <w:tab w:val="clear" w:pos="432"/>
        <w:tab w:val="left" w:pos="806"/>
      </w:tabs>
      <w:spacing w:before="60" w:after="60"/>
      <w:ind w:left="792"/>
    </w:pPr>
  </w:style>
  <w:style w:type="paragraph" w:styleId="ListBullet2">
    <w:name w:val="List Bullet 2"/>
    <w:basedOn w:val="NormalIndent"/>
    <w:autoRedefine/>
    <w:rsid w:val="00A63103"/>
    <w:pPr>
      <w:numPr>
        <w:numId w:val="16"/>
      </w:numPr>
      <w:tabs>
        <w:tab w:val="clear" w:pos="432"/>
        <w:tab w:val="left" w:pos="1166"/>
      </w:tabs>
      <w:spacing w:before="60" w:after="60"/>
      <w:ind w:left="1166"/>
    </w:pPr>
  </w:style>
  <w:style w:type="paragraph" w:styleId="ListBullet3">
    <w:name w:val="List Bullet 3"/>
    <w:basedOn w:val="NormalIndent"/>
    <w:autoRedefine/>
    <w:rsid w:val="00A63103"/>
    <w:pPr>
      <w:numPr>
        <w:numId w:val="17"/>
      </w:numPr>
      <w:tabs>
        <w:tab w:val="clear" w:pos="432"/>
        <w:tab w:val="left" w:pos="1714"/>
      </w:tabs>
      <w:spacing w:before="60" w:after="60"/>
      <w:ind w:left="1713" w:hanging="547"/>
    </w:pPr>
  </w:style>
  <w:style w:type="paragraph" w:styleId="ListNumber">
    <w:name w:val="List Number"/>
    <w:basedOn w:val="Normal"/>
    <w:rsid w:val="00A63103"/>
    <w:pPr>
      <w:ind w:left="360" w:hanging="360"/>
    </w:pPr>
  </w:style>
  <w:style w:type="paragraph" w:styleId="ListNumber2">
    <w:name w:val="List Number 2"/>
    <w:basedOn w:val="Normal"/>
    <w:rsid w:val="00A63103"/>
    <w:pPr>
      <w:ind w:left="720" w:hanging="360"/>
    </w:pPr>
  </w:style>
  <w:style w:type="paragraph" w:styleId="ListNumber3">
    <w:name w:val="List Number 3"/>
    <w:basedOn w:val="Normal"/>
    <w:rsid w:val="00A63103"/>
    <w:pPr>
      <w:ind w:left="1080" w:hanging="360"/>
    </w:pPr>
  </w:style>
  <w:style w:type="paragraph" w:styleId="DocumentMap">
    <w:name w:val="Document Map"/>
    <w:basedOn w:val="Normal"/>
    <w:semiHidden/>
    <w:rsid w:val="00A63103"/>
    <w:pPr>
      <w:shd w:val="clear" w:color="auto" w:fill="000080"/>
    </w:pPr>
    <w:rPr>
      <w:rFonts w:ascii="Tahoma" w:hAnsi="Tahoma"/>
    </w:rPr>
  </w:style>
  <w:style w:type="character" w:styleId="CommentReference">
    <w:name w:val="annotation reference"/>
    <w:basedOn w:val="DefaultParagraphFont"/>
    <w:semiHidden/>
    <w:rsid w:val="00A63103"/>
    <w:rPr>
      <w:sz w:val="16"/>
      <w:szCs w:val="16"/>
    </w:rPr>
  </w:style>
  <w:style w:type="paragraph" w:styleId="NormalIndent">
    <w:name w:val="Normal Indent"/>
    <w:basedOn w:val="Normal"/>
    <w:rsid w:val="00A63103"/>
    <w:pPr>
      <w:ind w:left="720"/>
    </w:pPr>
  </w:style>
  <w:style w:type="paragraph" w:styleId="CommentText">
    <w:name w:val="annotation text"/>
    <w:basedOn w:val="Normal"/>
    <w:link w:val="CommentTextChar"/>
    <w:semiHidden/>
    <w:rsid w:val="00A63103"/>
    <w:rPr>
      <w:sz w:val="20"/>
    </w:rPr>
  </w:style>
  <w:style w:type="character" w:styleId="Hyperlink">
    <w:name w:val="Hyperlink"/>
    <w:basedOn w:val="DefaultParagraphFont"/>
    <w:rsid w:val="006B0D45"/>
    <w:rPr>
      <w:color w:val="0000FF"/>
      <w:u w:val="single"/>
    </w:rPr>
  </w:style>
  <w:style w:type="character" w:styleId="FollowedHyperlink">
    <w:name w:val="FollowedHyperlink"/>
    <w:basedOn w:val="DefaultParagraphFont"/>
    <w:rsid w:val="002F7C16"/>
    <w:rPr>
      <w:color w:val="800080"/>
      <w:u w:val="single"/>
    </w:rPr>
  </w:style>
  <w:style w:type="paragraph" w:styleId="BalloonText">
    <w:name w:val="Balloon Text"/>
    <w:basedOn w:val="Normal"/>
    <w:semiHidden/>
    <w:rsid w:val="00454ABF"/>
    <w:rPr>
      <w:rFonts w:ascii="Tahoma" w:hAnsi="Tahoma" w:cs="Tahoma"/>
      <w:sz w:val="16"/>
      <w:szCs w:val="16"/>
    </w:rPr>
  </w:style>
  <w:style w:type="paragraph" w:styleId="CommentSubject">
    <w:name w:val="annotation subject"/>
    <w:basedOn w:val="CommentText"/>
    <w:next w:val="CommentText"/>
    <w:link w:val="CommentSubjectChar"/>
    <w:rsid w:val="00227A74"/>
    <w:rPr>
      <w:b/>
      <w:bCs/>
    </w:rPr>
  </w:style>
  <w:style w:type="character" w:customStyle="1" w:styleId="CommentTextChar">
    <w:name w:val="Comment Text Char"/>
    <w:basedOn w:val="DefaultParagraphFont"/>
    <w:link w:val="CommentText"/>
    <w:semiHidden/>
    <w:rsid w:val="00227A74"/>
    <w:rPr>
      <w:rFonts w:ascii="Arial" w:hAnsi="Arial"/>
    </w:rPr>
  </w:style>
  <w:style w:type="character" w:customStyle="1" w:styleId="CommentSubjectChar">
    <w:name w:val="Comment Subject Char"/>
    <w:basedOn w:val="CommentTextChar"/>
    <w:link w:val="CommentSubject"/>
    <w:rsid w:val="00227A74"/>
    <w:rPr>
      <w:rFonts w:ascii="Arial" w:hAnsi="Arial"/>
      <w:b/>
      <w:bCs/>
    </w:rPr>
  </w:style>
  <w:style w:type="table" w:styleId="TableGrid">
    <w:name w:val="Table Grid"/>
    <w:basedOn w:val="TableNormal"/>
    <w:rsid w:val="00703F6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F41DC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CD4EA6"/>
    <w:rPr>
      <w:i/>
      <w:iCs/>
    </w:rPr>
  </w:style>
  <w:style w:type="paragraph" w:customStyle="1" w:styleId="Style1">
    <w:name w:val="Style1"/>
    <w:basedOn w:val="Heading3"/>
    <w:link w:val="Style1Char"/>
    <w:qFormat/>
    <w:rsid w:val="00CD4EA6"/>
    <w:pPr>
      <w:spacing w:after="240"/>
    </w:pPr>
    <w:rPr>
      <w:rFonts w:eastAsia="Calibri"/>
    </w:rPr>
  </w:style>
  <w:style w:type="character" w:customStyle="1" w:styleId="Heading3Char">
    <w:name w:val="Heading 3 Char"/>
    <w:basedOn w:val="DefaultParagraphFont"/>
    <w:link w:val="Heading3"/>
    <w:rsid w:val="007A1953"/>
    <w:rPr>
      <w:rFonts w:ascii="Arial" w:hAnsi="Arial" w:cs="Arial"/>
      <w:sz w:val="24"/>
    </w:rPr>
  </w:style>
  <w:style w:type="character" w:customStyle="1" w:styleId="Style1Char">
    <w:name w:val="Style1 Char"/>
    <w:basedOn w:val="Heading3Char"/>
    <w:link w:val="Style1"/>
    <w:rsid w:val="00CD4EA6"/>
    <w:rPr>
      <w:rFonts w:ascii="Arial" w:eastAsia="Calibri" w:hAnsi="Arial" w:cs="Arial"/>
      <w:b w:val="0"/>
      <w:i w:val="0"/>
      <w:color w:val="FF0000"/>
      <w:sz w:val="24"/>
    </w:rPr>
  </w:style>
  <w:style w:type="character" w:customStyle="1" w:styleId="FootnoteTextChar">
    <w:name w:val="Footnote Text Char"/>
    <w:aliases w:val="ft Char"/>
    <w:basedOn w:val="DefaultParagraphFont"/>
    <w:link w:val="FootnoteText"/>
    <w:rsid w:val="007A1953"/>
    <w:rPr>
      <w:rFonts w:ascii="Arial" w:hAnsi="Arial"/>
    </w:rPr>
  </w:style>
  <w:style w:type="character" w:customStyle="1" w:styleId="FooterChar">
    <w:name w:val="Footer Char"/>
    <w:basedOn w:val="DefaultParagraphFont"/>
    <w:link w:val="Footer"/>
    <w:uiPriority w:val="99"/>
    <w:rsid w:val="0038266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8005">
      <w:bodyDiv w:val="1"/>
      <w:marLeft w:val="0"/>
      <w:marRight w:val="0"/>
      <w:marTop w:val="0"/>
      <w:marBottom w:val="0"/>
      <w:divBdr>
        <w:top w:val="none" w:sz="0" w:space="0" w:color="auto"/>
        <w:left w:val="none" w:sz="0" w:space="0" w:color="auto"/>
        <w:bottom w:val="none" w:sz="0" w:space="0" w:color="auto"/>
        <w:right w:val="none" w:sz="0" w:space="0" w:color="auto"/>
      </w:divBdr>
    </w:div>
    <w:div w:id="705569079">
      <w:bodyDiv w:val="1"/>
      <w:marLeft w:val="0"/>
      <w:marRight w:val="0"/>
      <w:marTop w:val="0"/>
      <w:marBottom w:val="0"/>
      <w:divBdr>
        <w:top w:val="none" w:sz="0" w:space="0" w:color="auto"/>
        <w:left w:val="none" w:sz="0" w:space="0" w:color="auto"/>
        <w:bottom w:val="none" w:sz="0" w:space="0" w:color="auto"/>
        <w:right w:val="none" w:sz="0" w:space="0" w:color="auto"/>
      </w:divBdr>
    </w:div>
    <w:div w:id="1209073832">
      <w:bodyDiv w:val="1"/>
      <w:marLeft w:val="0"/>
      <w:marRight w:val="0"/>
      <w:marTop w:val="0"/>
      <w:marBottom w:val="0"/>
      <w:divBdr>
        <w:top w:val="none" w:sz="0" w:space="0" w:color="auto"/>
        <w:left w:val="none" w:sz="0" w:space="0" w:color="auto"/>
        <w:bottom w:val="none" w:sz="0" w:space="0" w:color="auto"/>
        <w:right w:val="none" w:sz="0" w:space="0" w:color="auto"/>
      </w:divBdr>
    </w:div>
    <w:div w:id="211605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anuals\Chapter-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FF99999FD8F0478CD0F5BF7D136A8E" ma:contentTypeVersion="6" ma:contentTypeDescription="Create a new document." ma:contentTypeScope="" ma:versionID="c8db4615e6b8fb71c5b6bc9c7b4b632a">
  <xsd:schema xmlns:xsd="http://www.w3.org/2001/XMLSchema" xmlns:xs="http://www.w3.org/2001/XMLSchema" xmlns:p="http://schemas.microsoft.com/office/2006/metadata/properties" xmlns:ns1="http://schemas.microsoft.com/sharepoint/v3" xmlns:ns2="http://schemas.microsoft.com/sharepoint/v4" xmlns:ns3="7de212dc-c478-4e11-849a-cdcc6d13fa3a" targetNamespace="http://schemas.microsoft.com/office/2006/metadata/properties" ma:root="true" ma:fieldsID="2cb8d8f54e3c80bd4338b6133f18bae6" ns1:_="" ns2:_="" ns3:_="">
    <xsd:import namespace="http://schemas.microsoft.com/sharepoint/v3"/>
    <xsd:import namespace="http://schemas.microsoft.com/sharepoint/v4"/>
    <xsd:import namespace="7de212dc-c478-4e11-849a-cdcc6d13fa3a"/>
    <xsd:element name="properties">
      <xsd:complexType>
        <xsd:sequence>
          <xsd:element name="documentManagement">
            <xsd:complexType>
              <xsd:all>
                <xsd:element ref="ns1:_vti_ItemHoldRecordStatus" minOccurs="0"/>
                <xsd:element ref="ns2:IconOverla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e212dc-c478-4e11-849a-cdcc6d13fa3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IconOverlay xmlns="http://schemas.microsoft.com/sharepoint/v4" xsi:nil="true"/>
  </documentManagement>
</p:properties>
</file>

<file path=customXml/itemProps1.xml><?xml version="1.0" encoding="utf-8"?>
<ds:datastoreItem xmlns:ds="http://schemas.openxmlformats.org/officeDocument/2006/customXml" ds:itemID="{9B5FC7B8-22DE-419C-B5EA-8E0339D71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7de212dc-c478-4e11-849a-cdcc6d13f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CA25A4-D21C-47F8-AA75-ED8191F4EFF4}">
  <ds:schemaRefs>
    <ds:schemaRef ds:uri="http://schemas.openxmlformats.org/officeDocument/2006/bibliography"/>
  </ds:schemaRefs>
</ds:datastoreItem>
</file>

<file path=customXml/itemProps3.xml><?xml version="1.0" encoding="utf-8"?>
<ds:datastoreItem xmlns:ds="http://schemas.openxmlformats.org/officeDocument/2006/customXml" ds:itemID="{C172D392-4F6B-41D8-B175-8A7EAE878774}">
  <ds:schemaRefs>
    <ds:schemaRef ds:uri="http://schemas.microsoft.com/sharepoint/v3/contenttype/forms"/>
  </ds:schemaRefs>
</ds:datastoreItem>
</file>

<file path=customXml/itemProps4.xml><?xml version="1.0" encoding="utf-8"?>
<ds:datastoreItem xmlns:ds="http://schemas.openxmlformats.org/officeDocument/2006/customXml" ds:itemID="{1ECEB5D1-8C2D-47B3-B42F-6E786154E428}">
  <ds:schemaRefs>
    <ds:schemaRef ds:uri="http://schemas.microsoft.com/sharepoint/v4"/>
    <ds:schemaRef ds:uri="http://schemas.microsoft.com/office/2006/documentManagement/types"/>
    <ds:schemaRef ds:uri="http://purl.org/dc/elements/1.1/"/>
    <ds:schemaRef ds:uri="http://schemas.microsoft.com/sharepoint/v3"/>
    <ds:schemaRef ds:uri="http://purl.org/dc/dcmitype/"/>
    <ds:schemaRef ds:uri="http://schemas.microsoft.com/office/infopath/2007/PartnerControls"/>
    <ds:schemaRef ds:uri="http://schemas.openxmlformats.org/package/2006/metadata/core-properties"/>
    <ds:schemaRef ds:uri="7de212dc-c478-4e11-849a-cdcc6d13fa3a"/>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Chapter-X</Template>
  <TotalTime>135</TotalTime>
  <Pages>11</Pages>
  <Words>3873</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Chapter 21 - Stock Readiness Program</vt:lpstr>
    </vt:vector>
  </TitlesOfParts>
  <Company>DLA</Company>
  <LinksUpToDate>false</LinksUpToDate>
  <CharactersWithSpaces>26722</CharactersWithSpaces>
  <SharedDoc>false</SharedDoc>
  <HLinks>
    <vt:vector size="6" baseType="variant">
      <vt:variant>
        <vt:i4>3932274</vt:i4>
      </vt:variant>
      <vt:variant>
        <vt:i4>0</vt:i4>
      </vt:variant>
      <vt:variant>
        <vt:i4>0</vt:i4>
      </vt:variant>
      <vt:variant>
        <vt:i4>5</vt:i4>
      </vt:variant>
      <vt:variant>
        <vt:lpwstr>http://www.dla.mil/j-6/dlmso/eLibrary/Manuals/joint.asp</vt:lpwstr>
      </vt:variant>
      <vt:variant>
        <vt:lpwstr>dlai41454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21 - Stock Readiness Program</dc:title>
  <dc:subject>Stock Readiness Program</dc:subject>
  <dc:creator>DLA Logistics Management Standards</dc:creator>
  <cp:lastModifiedBy>Tanner, Larry E CTR DLA INFO OPERATIONS (USA)</cp:lastModifiedBy>
  <cp:revision>38</cp:revision>
  <cp:lastPrinted>2012-05-08T17:43:00Z</cp:lastPrinted>
  <dcterms:created xsi:type="dcterms:W3CDTF">2016-02-25T15:17:00Z</dcterms:created>
  <dcterms:modified xsi:type="dcterms:W3CDTF">2022-12-28T16:02:00Z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0x01010035FF99999FD8F0478CD0F5BF7D136A8E</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Order">
    <vt:r8>2332900</vt:r8>
  </property>
</Properties>
</file>