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06" w:rsidRPr="008134A1" w:rsidRDefault="00DD7E92" w:rsidP="008134A1">
      <w:pPr>
        <w:pStyle w:val="Heading1"/>
      </w:pPr>
      <w:r>
        <w:t>Partnerships</w:t>
      </w:r>
    </w:p>
    <w:p w:rsidR="00DD7E92" w:rsidRPr="00305255" w:rsidRDefault="00DD7E92" w:rsidP="00DD7E92">
      <w:pPr>
        <w:pStyle w:val="BodyText"/>
      </w:pPr>
      <w:r w:rsidRPr="00305255">
        <w:t xml:space="preserve">Establish a </w:t>
      </w:r>
      <w:r>
        <w:t xml:space="preserve">collaborative </w:t>
      </w:r>
      <w:r w:rsidRPr="00305255">
        <w:t xml:space="preserve">partnership that includes, at a minimum the </w:t>
      </w:r>
      <w:r>
        <w:t xml:space="preserve">local </w:t>
      </w:r>
      <w:r w:rsidRPr="00305255">
        <w:t>agencies r</w:t>
      </w:r>
      <w:r w:rsidRPr="00305255">
        <w:t>e</w:t>
      </w:r>
      <w:r w:rsidRPr="00305255">
        <w:t>sponsible for s</w:t>
      </w:r>
      <w:r>
        <w:t>econdary and postsecondary CTE, appropriate</w:t>
      </w:r>
      <w:r w:rsidRPr="00305255">
        <w:t xml:space="preserve"> </w:t>
      </w:r>
      <w:r>
        <w:t>economic and workforce agencies</w:t>
      </w:r>
      <w:r w:rsidRPr="00305255">
        <w:t>, and faculty and administrators from the secondary and postsecondary instit</w:t>
      </w:r>
      <w:r w:rsidRPr="00305255">
        <w:t>u</w:t>
      </w:r>
      <w:r w:rsidRPr="00305255">
        <w:t>tions familiar with the elements of POS.</w:t>
      </w:r>
    </w:p>
    <w:p w:rsidR="00DD7E92" w:rsidRPr="005A6537" w:rsidRDefault="00DD7E92" w:rsidP="00DD7E92">
      <w:pPr>
        <w:pStyle w:val="BodyText"/>
      </w:pPr>
      <w:r w:rsidRPr="005A6537">
        <w:t>Ongoing relationships among education, business, and other community stakeholders are central to POS design, implementation, and maintenance.</w:t>
      </w:r>
      <w:r w:rsidR="005C47FB">
        <w:t xml:space="preserve"> </w:t>
      </w:r>
    </w:p>
    <w:p w:rsidR="00DD7E92" w:rsidRPr="005A6537" w:rsidRDefault="00DD7E92" w:rsidP="00DD7E92">
      <w:pPr>
        <w:pStyle w:val="BodyText"/>
      </w:pPr>
      <w:r w:rsidRPr="005A6537">
        <w:t>Collaborative partnerships should:</w:t>
      </w:r>
    </w:p>
    <w:p w:rsidR="00DD7E92" w:rsidRPr="005A6537" w:rsidRDefault="00DD7E92" w:rsidP="00DD7E92">
      <w:pPr>
        <w:pStyle w:val="ListBullet"/>
      </w:pPr>
      <w:r w:rsidRPr="005A6537">
        <w:t>Create written memoranda of understanding that elaborate the roles and respons</w:t>
      </w:r>
      <w:r w:rsidRPr="005A6537">
        <w:t>i</w:t>
      </w:r>
      <w:r w:rsidRPr="005A6537">
        <w:t>bilities of partnership members.</w:t>
      </w:r>
    </w:p>
    <w:p w:rsidR="00DD7E92" w:rsidRPr="00305255" w:rsidRDefault="00DD7E92" w:rsidP="00DD7E92">
      <w:pPr>
        <w:pStyle w:val="ListBullet"/>
      </w:pPr>
      <w:r w:rsidRPr="00305255">
        <w:t>Ensure the rigor and quality of the POS and articulation agreement</w:t>
      </w:r>
      <w:r>
        <w:t>s</w:t>
      </w:r>
      <w:r w:rsidRPr="00305255">
        <w:t xml:space="preserve"> by involving the partners and delineating responsibilities</w:t>
      </w:r>
      <w:r>
        <w:t>.</w:t>
      </w:r>
    </w:p>
    <w:p w:rsidR="00DD7E92" w:rsidRPr="008716B1" w:rsidRDefault="00DD7E92" w:rsidP="00DD7E92">
      <w:pPr>
        <w:pStyle w:val="ListBullet"/>
      </w:pPr>
      <w:r w:rsidRPr="00305255">
        <w:t xml:space="preserve">Identify and/or develop opportunity for </w:t>
      </w:r>
      <w:r w:rsidR="008219EC">
        <w:t xml:space="preserve">secondary </w:t>
      </w:r>
      <w:r w:rsidRPr="00305255">
        <w:t>students to participate in dual or concurrent enrollments or earn college credit.</w:t>
      </w:r>
    </w:p>
    <w:p w:rsidR="00DD7E92" w:rsidRPr="00305255" w:rsidRDefault="00DD7E92" w:rsidP="00DD7E92">
      <w:pPr>
        <w:pStyle w:val="ListBullet"/>
      </w:pPr>
      <w:r w:rsidRPr="00305255">
        <w:t xml:space="preserve">Partners identify and develop </w:t>
      </w:r>
      <w:r>
        <w:t>college and career readiness</w:t>
      </w:r>
      <w:r w:rsidRPr="00305255">
        <w:t xml:space="preserve"> standards and provide </w:t>
      </w:r>
      <w:r>
        <w:t xml:space="preserve">the coherent sequence through content standards </w:t>
      </w:r>
      <w:r w:rsidRPr="00305255">
        <w:t>analysis.</w:t>
      </w:r>
    </w:p>
    <w:p w:rsidR="00DD7E92" w:rsidRPr="008716B1" w:rsidRDefault="00DD7E92" w:rsidP="00DD7E92">
      <w:pPr>
        <w:pStyle w:val="ListBullet"/>
      </w:pPr>
      <w:r w:rsidRPr="005A6537">
        <w:t>Identify, validate, and keep current the technical and workforce readiness skills that should be taught within a POS.</w:t>
      </w:r>
      <w:r w:rsidRPr="008716B1">
        <w:t xml:space="preserve"> </w:t>
      </w:r>
    </w:p>
    <w:p w:rsidR="00DD7E92" w:rsidRPr="005A6537" w:rsidRDefault="00DD7E92" w:rsidP="00DD7E92">
      <w:pPr>
        <w:pStyle w:val="ListBullet"/>
      </w:pPr>
      <w:r w:rsidRPr="005A6537">
        <w:t>Conduct ongoing analyses of economic and workforce trends to identify statewide (or regional) POS to be created, expanded, or discontinued.</w:t>
      </w:r>
    </w:p>
    <w:p w:rsidR="00DD7E92" w:rsidRPr="008716B1" w:rsidRDefault="00DD7E92" w:rsidP="00DD7E92">
      <w:pPr>
        <w:pStyle w:val="ListBullet"/>
      </w:pPr>
      <w:r w:rsidRPr="005A6537">
        <w:t>Link into existing initiatives that promote workforce and economic development, such as sector strategies and other activities supported by the Workforce Inves</w:t>
      </w:r>
      <w:r w:rsidRPr="005A6537">
        <w:t>t</w:t>
      </w:r>
      <w:r w:rsidRPr="005A6537">
        <w:t>ment Act.</w:t>
      </w:r>
    </w:p>
    <w:p w:rsidR="00DD7E92" w:rsidRPr="00F50796" w:rsidRDefault="00DD7E92" w:rsidP="00DD7E92">
      <w:pPr>
        <w:pStyle w:val="ListBullet"/>
      </w:pPr>
      <w:r w:rsidRPr="00305255">
        <w:t>Partners should have the authority to influence decisions and have the authority to communicate information to decision-makers</w:t>
      </w:r>
      <w:r>
        <w:t>.</w:t>
      </w:r>
    </w:p>
    <w:p w:rsidR="00914919" w:rsidRDefault="00914919" w:rsidP="00914919">
      <w:pPr>
        <w:pStyle w:val="BodyText"/>
      </w:pPr>
    </w:p>
    <w:p w:rsidR="00914919" w:rsidRDefault="00914919" w:rsidP="00914919">
      <w:pPr>
        <w:spacing w:line="240" w:lineRule="auto"/>
        <w:sectPr w:rsidR="00914919" w:rsidSect="00012B59">
          <w:headerReference w:type="even" r:id="rId8"/>
          <w:headerReference w:type="default" r:id="rId9"/>
          <w:headerReference w:type="first" r:id="rId10"/>
          <w:pgSz w:w="12240" w:h="15840" w:code="1"/>
          <w:pgMar w:top="1440" w:right="1440" w:bottom="1440" w:left="1440" w:header="547" w:footer="720" w:gutter="0"/>
          <w:pgNumType w:start="18"/>
          <w:cols w:space="720"/>
          <w:docGrid w:linePitch="360"/>
        </w:sectPr>
      </w:pPr>
    </w:p>
    <w:p w:rsidR="00414ED5" w:rsidRDefault="0087572C" w:rsidP="00414ED5">
      <w:pPr>
        <w:pStyle w:val="Heading2"/>
        <w:spacing w:before="0" w:after="0"/>
        <w:ind w:left="0"/>
      </w:pPr>
      <w:r>
        <w:lastRenderedPageBreak/>
        <w:t>Partnerships</w:t>
      </w:r>
    </w:p>
    <w:p w:rsidR="00914919" w:rsidRPr="009D484C" w:rsidRDefault="00914919" w:rsidP="005E373B">
      <w:pPr>
        <w:pStyle w:val="Heading3"/>
        <w:spacing w:before="0" w:after="60"/>
        <w:ind w:left="0"/>
      </w:pPr>
      <w:r w:rsidRPr="009D484C">
        <w:t xml:space="preserve">Self-Assessment Ranking of Current Implementation Status and Importance </w:t>
      </w:r>
      <w:r>
        <w:t xml:space="preserve">to Your </w:t>
      </w:r>
      <w:r w:rsidRPr="009D484C">
        <w:t xml:space="preserve">Implementation </w:t>
      </w:r>
    </w:p>
    <w:p w:rsidR="00914919" w:rsidRDefault="00B82554" w:rsidP="005E373B">
      <w:pPr>
        <w:pStyle w:val="BodyText"/>
        <w:spacing w:after="60" w:line="280" w:lineRule="atLeast"/>
        <w:ind w:left="0" w:right="0"/>
      </w:pPr>
      <w:r w:rsidRPr="00B82554">
        <w:t>Rank your development and implementation progress for Partnerships according to the measurement criteria listed.</w:t>
      </w:r>
      <w:r w:rsidR="005C47FB">
        <w:t xml:space="preserve"> </w:t>
      </w:r>
      <w:r w:rsidRPr="00B82554">
        <w:t>Determine the level that most closely aligns with the progress made toward Partnerships development and implementation.</w:t>
      </w:r>
      <w:r w:rsidR="005C47FB">
        <w:t xml:space="preserve"> </w:t>
      </w:r>
      <w:r w:rsidRPr="00B82554">
        <w:t>The self-assessment is intended to be an a</w:t>
      </w:r>
      <w:r w:rsidRPr="00B82554">
        <w:t>u</w:t>
      </w:r>
      <w:r w:rsidRPr="00B82554">
        <w:t>thentic gauge of actual implementation.</w:t>
      </w:r>
      <w:r w:rsidR="005C47FB">
        <w:t xml:space="preserve"> </w:t>
      </w:r>
      <w:r w:rsidRPr="00B82554">
        <w:t>Results from the self-assessment can be used to target areas for technical assistance and professional development.</w:t>
      </w:r>
      <w:r w:rsidR="005C47FB">
        <w:t xml:space="preserve"> </w:t>
      </w:r>
      <w:r w:rsidRPr="00B82554">
        <w:t>An analysis of the level of importance can assist in establishing the priority and possible timeline for implementing technical assi</w:t>
      </w:r>
      <w:r w:rsidRPr="00B82554">
        <w:t>s</w:t>
      </w:r>
      <w:r w:rsidRPr="00B82554">
        <w:t xml:space="preserve">tance and scheduling professional development. </w:t>
      </w:r>
    </w:p>
    <w:tbl>
      <w:tblPr>
        <w:tblW w:w="12960" w:type="dxa"/>
        <w:tblInd w:w="41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24" w:type="dxa"/>
          <w:left w:w="41" w:type="dxa"/>
          <w:bottom w:w="19" w:type="dxa"/>
          <w:right w:w="0" w:type="dxa"/>
        </w:tblCellMar>
        <w:tblLook w:val="04A0"/>
      </w:tblPr>
      <w:tblGrid>
        <w:gridCol w:w="8827"/>
        <w:gridCol w:w="2093"/>
        <w:gridCol w:w="2040"/>
      </w:tblGrid>
      <w:tr w:rsidR="005C40EF" w:rsidRPr="00453549" w:rsidTr="00981C6A">
        <w:tc>
          <w:tcPr>
            <w:tcW w:w="8827" w:type="dxa"/>
            <w:shd w:val="clear" w:color="auto" w:fill="F4E6D3" w:themeFill="accent3" w:themeFillTint="66"/>
            <w:tcMar>
              <w:right w:w="240" w:type="dxa"/>
            </w:tcMar>
            <w:vAlign w:val="bottom"/>
          </w:tcPr>
          <w:p w:rsidR="005C40EF" w:rsidRPr="00453549" w:rsidRDefault="00453549" w:rsidP="005E373B">
            <w:pPr>
              <w:spacing w:line="280" w:lineRule="atLeast"/>
              <w:rPr>
                <w:b/>
              </w:rPr>
            </w:pPr>
            <w:r w:rsidRPr="00453549">
              <w:rPr>
                <w:b/>
              </w:rPr>
              <w:t>Implementation Characteristics</w:t>
            </w:r>
          </w:p>
        </w:tc>
        <w:tc>
          <w:tcPr>
            <w:tcW w:w="2093" w:type="dxa"/>
            <w:shd w:val="clear" w:color="auto" w:fill="CD8627" w:themeFill="accent1"/>
            <w:tcMar>
              <w:left w:w="41" w:type="dxa"/>
            </w:tcMar>
            <w:vAlign w:val="bottom"/>
          </w:tcPr>
          <w:p w:rsidR="005C40EF" w:rsidRPr="00453549" w:rsidRDefault="00453549" w:rsidP="005E373B">
            <w:pPr>
              <w:spacing w:line="280" w:lineRule="atLeast"/>
              <w:rPr>
                <w:b/>
                <w:color w:val="FFFFFF" w:themeColor="background1"/>
              </w:rPr>
            </w:pPr>
            <w:r w:rsidRPr="00453549">
              <w:rPr>
                <w:b/>
                <w:color w:val="FFFFFF" w:themeColor="background1"/>
              </w:rPr>
              <w:t>Current Status</w:t>
            </w:r>
          </w:p>
        </w:tc>
        <w:tc>
          <w:tcPr>
            <w:tcW w:w="2040" w:type="dxa"/>
            <w:shd w:val="clear" w:color="auto" w:fill="E5B678" w:themeFill="accent1" w:themeFillTint="99"/>
            <w:tcMar>
              <w:left w:w="41" w:type="dxa"/>
            </w:tcMar>
            <w:vAlign w:val="bottom"/>
          </w:tcPr>
          <w:p w:rsidR="005C40EF" w:rsidRPr="00453549" w:rsidRDefault="00453549" w:rsidP="005E373B">
            <w:pPr>
              <w:spacing w:line="280" w:lineRule="atLeast"/>
              <w:rPr>
                <w:b/>
                <w:color w:val="000000" w:themeColor="text1"/>
              </w:rPr>
            </w:pPr>
            <w:r w:rsidRPr="00453549">
              <w:rPr>
                <w:b/>
                <w:color w:val="000000" w:themeColor="text1"/>
              </w:rPr>
              <w:t>Importance</w:t>
            </w:r>
          </w:p>
        </w:tc>
      </w:tr>
      <w:tr w:rsidR="00E7110D" w:rsidTr="00E7110D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E7110D" w:rsidRPr="00E7110D" w:rsidRDefault="00E7110D" w:rsidP="00E7110D">
            <w:pPr>
              <w:spacing w:line="280" w:lineRule="atLeast"/>
              <w:rPr>
                <w:rFonts w:ascii="Calibri" w:hAnsi="Calibri"/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The partnership operates through a memorandum of understanding that describes the roles and respo</w:t>
            </w:r>
            <w:r w:rsidRPr="00E7110D">
              <w:rPr>
                <w:sz w:val="20"/>
                <w:szCs w:val="20"/>
              </w:rPr>
              <w:t>n</w:t>
            </w:r>
            <w:r w:rsidRPr="00E7110D">
              <w:rPr>
                <w:sz w:val="20"/>
                <w:szCs w:val="20"/>
              </w:rPr>
              <w:t>sibilities of each member of the partnership.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B82554" w:rsidTr="00B82554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B82554" w:rsidRPr="00E7110D" w:rsidRDefault="00E7110D" w:rsidP="00E7110D">
            <w:pPr>
              <w:spacing w:line="280" w:lineRule="atLeast"/>
              <w:rPr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The partnership—</w:t>
            </w:r>
            <w:r w:rsidR="00B82554" w:rsidRPr="00E7110D">
              <w:rPr>
                <w:sz w:val="20"/>
                <w:szCs w:val="20"/>
              </w:rPr>
              <w:t>balanced with a variety of stakeholders and persons who can influence policy decisions t</w:t>
            </w:r>
            <w:r w:rsidRPr="00E7110D">
              <w:rPr>
                <w:sz w:val="20"/>
                <w:szCs w:val="20"/>
              </w:rPr>
              <w:t>hat affect the program of study—</w:t>
            </w:r>
            <w:r w:rsidR="00B82554" w:rsidRPr="00E7110D">
              <w:rPr>
                <w:sz w:val="20"/>
                <w:szCs w:val="20"/>
              </w:rPr>
              <w:t xml:space="preserve">meets regularly to consider actions requiring input from program stakeholders and employers. 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B82554" w:rsidTr="00B82554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B82554" w:rsidRPr="00E7110D" w:rsidRDefault="00B82554" w:rsidP="00E7110D">
            <w:pPr>
              <w:spacing w:line="280" w:lineRule="atLeast"/>
              <w:rPr>
                <w:spacing w:val="-2"/>
                <w:sz w:val="20"/>
                <w:szCs w:val="20"/>
              </w:rPr>
            </w:pPr>
            <w:r w:rsidRPr="00E7110D">
              <w:rPr>
                <w:spacing w:val="-2"/>
                <w:sz w:val="20"/>
                <w:szCs w:val="20"/>
              </w:rPr>
              <w:t>The partnership hears progress reports, makes recommendations and receives administrative feedback on actions taken on prior recommendations addressing the following :</w:t>
            </w:r>
            <w:r w:rsidR="005C47FB" w:rsidRPr="00E7110D">
              <w:rPr>
                <w:spacing w:val="-2"/>
                <w:sz w:val="20"/>
                <w:szCs w:val="20"/>
              </w:rPr>
              <w:t xml:space="preserve"> </w:t>
            </w:r>
            <w:r w:rsidR="008219EC" w:rsidRPr="00E7110D">
              <w:rPr>
                <w:spacing w:val="-2"/>
                <w:sz w:val="20"/>
                <w:szCs w:val="20"/>
              </w:rPr>
              <w:t xml:space="preserve">economic and workforce development needs, </w:t>
            </w:r>
            <w:r w:rsidRPr="00E7110D">
              <w:rPr>
                <w:spacing w:val="-2"/>
                <w:sz w:val="20"/>
                <w:szCs w:val="20"/>
              </w:rPr>
              <w:t>funding, POS content standards, assessments documenting student attainment of technical skills, student college and career transitions, and the availability of the dual or concurrent credit opportunities.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B82554" w:rsidTr="00B82554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B82554" w:rsidRPr="00E7110D" w:rsidRDefault="00B82554" w:rsidP="00E7110D">
            <w:pPr>
              <w:spacing w:line="280" w:lineRule="atLeast"/>
              <w:rPr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The partnership takes ownership of the program of study and works with educational leadership to e</w:t>
            </w:r>
            <w:r w:rsidRPr="00E7110D">
              <w:rPr>
                <w:sz w:val="20"/>
                <w:szCs w:val="20"/>
              </w:rPr>
              <w:t>n</w:t>
            </w:r>
            <w:r w:rsidRPr="00E7110D">
              <w:rPr>
                <w:sz w:val="20"/>
                <w:szCs w:val="20"/>
              </w:rPr>
              <w:t>sure a relevant, high-level of implementation at the local level.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E7110D" w:rsidTr="00E7110D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E7110D" w:rsidRPr="00E7110D" w:rsidRDefault="00E7110D" w:rsidP="00E7110D">
            <w:pPr>
              <w:spacing w:line="280" w:lineRule="atLeast"/>
              <w:rPr>
                <w:rFonts w:ascii="Calibri" w:hAnsi="Calibri"/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The partnership advocates for learner access, monitors content rigor, and ensures quality of POS and the related articulation agreements between educational partners.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E7110D" w:rsidRPr="008C6CD2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E7110D" w:rsidRPr="00894A1F" w:rsidRDefault="00E7110D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B82554" w:rsidTr="00B82554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B82554" w:rsidRPr="00E7110D" w:rsidRDefault="00B82554" w:rsidP="00E7110D">
            <w:pPr>
              <w:spacing w:line="280" w:lineRule="atLeast"/>
              <w:rPr>
                <w:rFonts w:ascii="Calibri" w:hAnsi="Calibri"/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The partnership committee uses the national career cluster advisory committee resources</w:t>
            </w:r>
            <w:r w:rsidR="008219EC" w:rsidRPr="00E7110D">
              <w:rPr>
                <w:sz w:val="20"/>
                <w:szCs w:val="20"/>
              </w:rPr>
              <w:t xml:space="preserve"> or state r</w:t>
            </w:r>
            <w:r w:rsidR="008219EC" w:rsidRPr="00E7110D">
              <w:rPr>
                <w:sz w:val="20"/>
                <w:szCs w:val="20"/>
              </w:rPr>
              <w:t>e</w:t>
            </w:r>
            <w:r w:rsidR="008219EC" w:rsidRPr="00E7110D">
              <w:rPr>
                <w:sz w:val="20"/>
                <w:szCs w:val="20"/>
              </w:rPr>
              <w:t>sources</w:t>
            </w:r>
            <w:r w:rsidRPr="00E7110D">
              <w:rPr>
                <w:sz w:val="20"/>
                <w:szCs w:val="20"/>
              </w:rPr>
              <w:t>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None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In Progress</w:t>
            </w:r>
          </w:p>
          <w:p w:rsidR="00B82554" w:rsidRPr="008C6CD2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C6CD2">
              <w:rPr>
                <w:sz w:val="20"/>
                <w:szCs w:val="20"/>
              </w:rPr>
              <w:sym w:font="Wingdings" w:char="F0A8"/>
            </w:r>
            <w:r w:rsidRPr="008C6CD2">
              <w:rPr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Important</w:t>
            </w:r>
          </w:p>
          <w:p w:rsidR="00B82554" w:rsidRPr="00894A1F" w:rsidRDefault="00B82554" w:rsidP="00E7110D">
            <w:pPr>
              <w:spacing w:line="240" w:lineRule="atLeast"/>
              <w:rPr>
                <w:sz w:val="20"/>
                <w:szCs w:val="20"/>
              </w:rPr>
            </w:pPr>
            <w:r w:rsidRPr="00894A1F">
              <w:rPr>
                <w:sz w:val="20"/>
                <w:szCs w:val="20"/>
              </w:rPr>
              <w:sym w:font="Wingdings" w:char="F0A8"/>
            </w:r>
            <w:r w:rsidRPr="00894A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Critical</w:t>
            </w:r>
          </w:p>
        </w:tc>
      </w:tr>
      <w:tr w:rsidR="00AE27AB" w:rsidRPr="00453549" w:rsidTr="00981C6A">
        <w:tc>
          <w:tcPr>
            <w:tcW w:w="8827" w:type="dxa"/>
            <w:shd w:val="clear" w:color="auto" w:fill="F4E6D3" w:themeFill="accent3" w:themeFillTint="66"/>
            <w:tcMar>
              <w:right w:w="240" w:type="dxa"/>
            </w:tcMar>
            <w:vAlign w:val="bottom"/>
          </w:tcPr>
          <w:p w:rsidR="00AE27AB" w:rsidRPr="00453549" w:rsidRDefault="00AE27AB" w:rsidP="005E373B">
            <w:pPr>
              <w:pStyle w:val="BodyText"/>
              <w:spacing w:after="0" w:line="280" w:lineRule="atLeast"/>
              <w:ind w:left="12" w:right="132"/>
              <w:rPr>
                <w:b/>
              </w:rPr>
            </w:pPr>
            <w:r w:rsidRPr="00453549">
              <w:rPr>
                <w:b/>
              </w:rPr>
              <w:t>Overall Status</w:t>
            </w:r>
            <w:r>
              <w:rPr>
                <w:b/>
              </w:rPr>
              <w:t xml:space="preserve"> Summary</w:t>
            </w:r>
          </w:p>
        </w:tc>
        <w:tc>
          <w:tcPr>
            <w:tcW w:w="2093" w:type="dxa"/>
            <w:shd w:val="clear" w:color="auto" w:fill="CD8627" w:themeFill="text2"/>
            <w:tcMar>
              <w:left w:w="41" w:type="dxa"/>
            </w:tcMar>
            <w:vAlign w:val="bottom"/>
          </w:tcPr>
          <w:p w:rsidR="00AE27AB" w:rsidRPr="00453549" w:rsidRDefault="00AE27AB" w:rsidP="005E373B">
            <w:pPr>
              <w:spacing w:line="280" w:lineRule="atLeast"/>
              <w:rPr>
                <w:b/>
                <w:color w:val="FFFFFF" w:themeColor="background1"/>
              </w:rPr>
            </w:pPr>
            <w:r w:rsidRPr="00453549">
              <w:rPr>
                <w:b/>
                <w:color w:val="FFFFFF" w:themeColor="background1"/>
              </w:rPr>
              <w:t>Current S</w:t>
            </w:r>
            <w:r>
              <w:rPr>
                <w:b/>
                <w:color w:val="FFFFFF" w:themeColor="background1"/>
              </w:rPr>
              <w:t>tatus</w:t>
            </w:r>
          </w:p>
        </w:tc>
        <w:tc>
          <w:tcPr>
            <w:tcW w:w="2040" w:type="dxa"/>
            <w:shd w:val="clear" w:color="auto" w:fill="E5B678" w:themeFill="accent1" w:themeFillTint="99"/>
            <w:tcMar>
              <w:left w:w="41" w:type="dxa"/>
            </w:tcMar>
            <w:vAlign w:val="bottom"/>
          </w:tcPr>
          <w:p w:rsidR="00AE27AB" w:rsidRPr="00453549" w:rsidRDefault="00AE27AB" w:rsidP="005E373B">
            <w:pPr>
              <w:spacing w:line="280" w:lineRule="atLeast"/>
              <w:rPr>
                <w:b/>
                <w:color w:val="000000" w:themeColor="text1"/>
              </w:rPr>
            </w:pPr>
            <w:r w:rsidRPr="00453549">
              <w:rPr>
                <w:b/>
                <w:color w:val="000000" w:themeColor="text1"/>
              </w:rPr>
              <w:t>Importance</w:t>
            </w:r>
          </w:p>
        </w:tc>
      </w:tr>
      <w:tr w:rsidR="00AE27AB" w:rsidRPr="0017751C" w:rsidTr="005E373B">
        <w:tc>
          <w:tcPr>
            <w:tcW w:w="8827" w:type="dxa"/>
            <w:shd w:val="clear" w:color="auto" w:fill="auto"/>
            <w:tcMar>
              <w:right w:w="240" w:type="dxa"/>
            </w:tcMar>
          </w:tcPr>
          <w:p w:rsidR="00AE27AB" w:rsidRPr="00E7110D" w:rsidRDefault="00AE27AB" w:rsidP="00E7110D">
            <w:pPr>
              <w:pStyle w:val="BodyText"/>
              <w:spacing w:after="0" w:line="280" w:lineRule="atLeast"/>
              <w:ind w:left="12" w:right="132"/>
              <w:rPr>
                <w:sz w:val="20"/>
                <w:szCs w:val="20"/>
              </w:rPr>
            </w:pPr>
            <w:r w:rsidRPr="00E7110D">
              <w:rPr>
                <w:sz w:val="20"/>
                <w:szCs w:val="20"/>
              </w:rPr>
              <w:t>After considering each of the implementation characteristics, please rank:</w:t>
            </w:r>
            <w:r w:rsidR="005C47FB" w:rsidRPr="00E7110D">
              <w:rPr>
                <w:sz w:val="20"/>
                <w:szCs w:val="20"/>
              </w:rPr>
              <w:t xml:space="preserve"> </w:t>
            </w:r>
            <w:r w:rsidRPr="00E7110D">
              <w:rPr>
                <w:sz w:val="20"/>
                <w:szCs w:val="20"/>
              </w:rPr>
              <w:t xml:space="preserve">1) your current status of POS </w:t>
            </w:r>
            <w:r w:rsidR="0087572C" w:rsidRPr="00E7110D">
              <w:rPr>
                <w:sz w:val="20"/>
                <w:szCs w:val="20"/>
              </w:rPr>
              <w:t>Partnerships</w:t>
            </w:r>
            <w:r w:rsidRPr="00E7110D">
              <w:rPr>
                <w:sz w:val="20"/>
                <w:szCs w:val="20"/>
              </w:rPr>
              <w:t xml:space="preserve"> implementation; and 2) the level of importance this element has to your POS impleme</w:t>
            </w:r>
            <w:r w:rsidRPr="00E7110D">
              <w:rPr>
                <w:sz w:val="20"/>
                <w:szCs w:val="20"/>
              </w:rPr>
              <w:t>n</w:t>
            </w:r>
            <w:r w:rsidRPr="00E7110D">
              <w:rPr>
                <w:sz w:val="20"/>
                <w:szCs w:val="20"/>
              </w:rPr>
              <w:t>tation. Transfer these rankings to the Self-Assessment Summary to compare the status and importance of this element to the other POS framework elements.</w:t>
            </w:r>
          </w:p>
        </w:tc>
        <w:tc>
          <w:tcPr>
            <w:tcW w:w="2093" w:type="dxa"/>
            <w:shd w:val="clear" w:color="auto" w:fill="auto"/>
            <w:tcMar>
              <w:left w:w="41" w:type="dxa"/>
            </w:tcMar>
          </w:tcPr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</w:t>
            </w:r>
            <w:r w:rsidRPr="00E7110D">
              <w:rPr>
                <w:b/>
                <w:sz w:val="20"/>
                <w:szCs w:val="20"/>
              </w:rPr>
              <w:t xml:space="preserve"> None</w:t>
            </w:r>
          </w:p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</w:t>
            </w:r>
            <w:r w:rsidRPr="00E7110D">
              <w:rPr>
                <w:b/>
                <w:sz w:val="20"/>
                <w:szCs w:val="20"/>
              </w:rPr>
              <w:t xml:space="preserve"> In Progress</w:t>
            </w:r>
          </w:p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</w:t>
            </w:r>
            <w:r w:rsidRPr="00E7110D">
              <w:rPr>
                <w:b/>
                <w:sz w:val="20"/>
                <w:szCs w:val="20"/>
              </w:rPr>
              <w:t xml:space="preserve"> Operational</w:t>
            </w:r>
          </w:p>
        </w:tc>
        <w:tc>
          <w:tcPr>
            <w:tcW w:w="2040" w:type="dxa"/>
            <w:shd w:val="clear" w:color="auto" w:fill="auto"/>
            <w:tcMar>
              <w:left w:w="41" w:type="dxa"/>
            </w:tcMar>
          </w:tcPr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</w:t>
            </w:r>
            <w:r w:rsidRPr="00E7110D">
              <w:rPr>
                <w:b/>
                <w:sz w:val="20"/>
                <w:szCs w:val="20"/>
              </w:rPr>
              <w:t xml:space="preserve"> Low</w:t>
            </w:r>
          </w:p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</w:t>
            </w:r>
            <w:r w:rsidRPr="00E7110D">
              <w:rPr>
                <w:b/>
                <w:sz w:val="20"/>
                <w:szCs w:val="20"/>
              </w:rPr>
              <w:t xml:space="preserve"> Important</w:t>
            </w:r>
          </w:p>
          <w:p w:rsidR="00AE27AB" w:rsidRPr="00E7110D" w:rsidRDefault="00AE27AB" w:rsidP="005E373B">
            <w:pPr>
              <w:spacing w:line="280" w:lineRule="atLeast"/>
              <w:rPr>
                <w:b/>
                <w:sz w:val="20"/>
                <w:szCs w:val="20"/>
              </w:rPr>
            </w:pPr>
            <w:r w:rsidRPr="00E7110D">
              <w:rPr>
                <w:rFonts w:ascii="Wingdings 2" w:hAnsi="Wingdings 2"/>
                <w:position w:val="-3"/>
                <w:sz w:val="28"/>
                <w:szCs w:val="28"/>
              </w:rPr>
              <w:t></w:t>
            </w:r>
            <w:r w:rsidRPr="00E7110D">
              <w:rPr>
                <w:b/>
                <w:sz w:val="20"/>
                <w:szCs w:val="20"/>
              </w:rPr>
              <w:t xml:space="preserve"> Critical</w:t>
            </w:r>
          </w:p>
        </w:tc>
      </w:tr>
    </w:tbl>
    <w:p w:rsidR="00A50BE9" w:rsidRPr="00914919" w:rsidRDefault="008C6CD2" w:rsidP="00414ED5">
      <w:pPr>
        <w:pStyle w:val="Heading2"/>
        <w:spacing w:before="0" w:after="0"/>
        <w:ind w:left="0"/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 w:rsidR="00B0563C">
        <w:rPr>
          <w:rFonts w:ascii="Calibri" w:hAnsi="Calibri"/>
        </w:rPr>
        <w:lastRenderedPageBreak/>
        <w:t>Partnerships</w:t>
      </w:r>
      <w:r w:rsidR="00D8122F">
        <w:rPr>
          <w:rFonts w:ascii="Calibri" w:hAnsi="Calibri"/>
        </w:rPr>
        <w:t>—</w:t>
      </w:r>
      <w:r w:rsidRPr="00B56504">
        <w:t xml:space="preserve">Implementation Capacity Analysis </w:t>
      </w:r>
    </w:p>
    <w:p w:rsidR="008C6CD2" w:rsidRDefault="008C6CD2" w:rsidP="00414ED5">
      <w:pPr>
        <w:pStyle w:val="Heading3"/>
        <w:spacing w:before="0"/>
        <w:ind w:left="0"/>
      </w:pPr>
      <w:r w:rsidRPr="00B56504">
        <w:t xml:space="preserve">Self-Assessment Reflection and Action Planning </w:t>
      </w:r>
    </w:p>
    <w:p w:rsidR="008C6CD2" w:rsidRPr="00BD00CC" w:rsidRDefault="008C6CD2" w:rsidP="00A50BE9">
      <w:pPr>
        <w:pStyle w:val="BodyText"/>
        <w:ind w:left="0" w:right="0"/>
      </w:pPr>
      <w:r>
        <w:t xml:space="preserve">In the section below, identify your current </w:t>
      </w:r>
      <w:r w:rsidR="00AC56C9">
        <w:t xml:space="preserve">capacity </w:t>
      </w:r>
      <w:r>
        <w:t xml:space="preserve">assets in the area of </w:t>
      </w:r>
      <w:r w:rsidR="00B82554">
        <w:rPr>
          <w:b/>
          <w:i/>
        </w:rPr>
        <w:t>Partnerships</w:t>
      </w:r>
      <w:r>
        <w:t xml:space="preserve"> by responding to the question prompts.</w:t>
      </w:r>
      <w:r w:rsidR="00414ED5">
        <w:t xml:space="preserve"> </w:t>
      </w:r>
      <w:r>
        <w:t xml:space="preserve">Give equal analysis to local capacity barriers, </w:t>
      </w:r>
      <w:r w:rsidR="00B7381D">
        <w:t>items of critical importance</w:t>
      </w:r>
      <w:r>
        <w:t xml:space="preserve">, and steps needed to remedy these </w:t>
      </w:r>
      <w:r w:rsidR="00B7381D">
        <w:t xml:space="preserve">capacity </w:t>
      </w:r>
      <w:r w:rsidR="00697518">
        <w:t>concerns</w:t>
      </w:r>
      <w:r>
        <w:t>.</w:t>
      </w:r>
    </w:p>
    <w:tbl>
      <w:tblPr>
        <w:tblW w:w="12960" w:type="dxa"/>
        <w:tblInd w:w="41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CellMar>
          <w:top w:w="24" w:type="dxa"/>
          <w:left w:w="41" w:type="dxa"/>
          <w:bottom w:w="24" w:type="dxa"/>
          <w:right w:w="0" w:type="dxa"/>
        </w:tblCellMar>
        <w:tblLook w:val="01E0"/>
      </w:tblPr>
      <w:tblGrid>
        <w:gridCol w:w="6480"/>
        <w:gridCol w:w="6480"/>
      </w:tblGrid>
      <w:tr w:rsidR="00EA6395" w:rsidRPr="00600E80" w:rsidTr="00263D4B">
        <w:tc>
          <w:tcPr>
            <w:tcW w:w="6480" w:type="dxa"/>
            <w:shd w:val="clear" w:color="auto" w:fill="F4E6D3" w:themeFill="accent3" w:themeFillTint="66"/>
          </w:tcPr>
          <w:p w:rsidR="00EA6395" w:rsidRPr="00447C55" w:rsidRDefault="00EA6395" w:rsidP="00914919">
            <w:pPr>
              <w:rPr>
                <w:rFonts w:cs="Arial"/>
                <w:b/>
                <w:bCs/>
              </w:rPr>
            </w:pPr>
            <w:r w:rsidRPr="00447C55">
              <w:rPr>
                <w:rFonts w:cs="Arial"/>
                <w:b/>
                <w:bCs/>
              </w:rPr>
              <w:t>State or Local Self-Assessment</w:t>
            </w:r>
          </w:p>
        </w:tc>
        <w:tc>
          <w:tcPr>
            <w:tcW w:w="6480" w:type="dxa"/>
            <w:shd w:val="clear" w:color="auto" w:fill="F4E6D3" w:themeFill="accent3" w:themeFillTint="66"/>
          </w:tcPr>
          <w:p w:rsidR="00EA6395" w:rsidRPr="00447C55" w:rsidRDefault="00EA6395" w:rsidP="00914919">
            <w:pPr>
              <w:rPr>
                <w:rFonts w:cs="Arial"/>
                <w:b/>
                <w:bCs/>
              </w:rPr>
            </w:pPr>
            <w:r w:rsidRPr="00447C55">
              <w:rPr>
                <w:rFonts w:cs="Arial"/>
                <w:b/>
                <w:bCs/>
              </w:rPr>
              <w:t>Items of Critical Importance/Action Steps</w:t>
            </w:r>
          </w:p>
        </w:tc>
      </w:tr>
      <w:tr w:rsidR="00EA6395" w:rsidRPr="007665BC" w:rsidTr="00263D4B">
        <w:trPr>
          <w:trHeight w:val="1542"/>
        </w:trPr>
        <w:tc>
          <w:tcPr>
            <w:tcW w:w="6480" w:type="dxa"/>
          </w:tcPr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>What’s working well that is worth keeping?</w:t>
            </w:r>
          </w:p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 xml:space="preserve">What goals do you have to sustain and </w:t>
            </w:r>
            <w:r>
              <w:t>enhance the level of collaboration among the partners</w:t>
            </w:r>
            <w:r w:rsidRPr="007665BC">
              <w:t>?</w:t>
            </w:r>
          </w:p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 xml:space="preserve">What strategies will you use to </w:t>
            </w:r>
            <w:r>
              <w:t>sustain the engagement of partnership members</w:t>
            </w:r>
            <w:r w:rsidRPr="007665BC">
              <w:t>?</w:t>
            </w:r>
          </w:p>
          <w:p w:rsidR="00EA6395" w:rsidRPr="00A758F1" w:rsidRDefault="00EA6395" w:rsidP="00263D4B">
            <w:pPr>
              <w:pStyle w:val="ListBullet"/>
              <w:spacing w:after="0"/>
              <w:ind w:left="360"/>
            </w:pPr>
            <w:r w:rsidRPr="007665BC">
              <w:t xml:space="preserve">How will you know if </w:t>
            </w:r>
            <w:r>
              <w:t>your partnership is being</w:t>
            </w:r>
            <w:r w:rsidRPr="007665BC">
              <w:t xml:space="preserve"> successful?</w:t>
            </w:r>
          </w:p>
        </w:tc>
        <w:tc>
          <w:tcPr>
            <w:tcW w:w="6480" w:type="dxa"/>
          </w:tcPr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>What will be new or needs to be revised?</w:t>
            </w:r>
          </w:p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 xml:space="preserve">What strategies will you use to address </w:t>
            </w:r>
            <w:r>
              <w:t xml:space="preserve">items </w:t>
            </w:r>
            <w:r w:rsidRPr="007665BC">
              <w:t xml:space="preserve">identified </w:t>
            </w:r>
            <w:r>
              <w:t>as being of critical importance</w:t>
            </w:r>
            <w:r w:rsidRPr="007665BC">
              <w:t>?</w:t>
            </w:r>
          </w:p>
          <w:p w:rsidR="00EA6395" w:rsidRPr="007665BC" w:rsidRDefault="00EA6395" w:rsidP="00263D4B">
            <w:pPr>
              <w:pStyle w:val="ListBullet"/>
              <w:spacing w:after="0"/>
              <w:ind w:left="360"/>
            </w:pPr>
            <w:r w:rsidRPr="007665BC">
              <w:t>What are the indicators you will use to measure your i</w:t>
            </w:r>
            <w:r w:rsidRPr="007665BC">
              <w:t>m</w:t>
            </w:r>
            <w:r w:rsidRPr="007665BC">
              <w:t>provement?</w:t>
            </w:r>
          </w:p>
          <w:p w:rsidR="00EA6395" w:rsidRPr="00A758F1" w:rsidRDefault="00EA6395" w:rsidP="00263D4B">
            <w:pPr>
              <w:pStyle w:val="ListBullet"/>
              <w:spacing w:after="0"/>
              <w:ind w:left="360"/>
            </w:pPr>
            <w:r w:rsidRPr="007665BC">
              <w:t>How will you know if you are successful? And when?</w:t>
            </w:r>
          </w:p>
        </w:tc>
      </w:tr>
      <w:tr w:rsidR="00263D4B" w:rsidRPr="007665BC" w:rsidTr="00414ED5">
        <w:trPr>
          <w:trHeight w:val="4639"/>
        </w:trPr>
        <w:tc>
          <w:tcPr>
            <w:tcW w:w="6480" w:type="dxa"/>
          </w:tcPr>
          <w:p w:rsidR="00263D4B" w:rsidRPr="00263D4B" w:rsidRDefault="00263D4B" w:rsidP="00263D4B">
            <w:pPr>
              <w:pStyle w:val="BodyText"/>
              <w:spacing w:after="0"/>
              <w:ind w:left="0" w:right="0"/>
              <w:rPr>
                <w:b/>
              </w:rPr>
            </w:pPr>
            <w:r w:rsidRPr="00D8122F">
              <w:rPr>
                <w:b/>
              </w:rPr>
              <w:t>Notes</w:t>
            </w:r>
          </w:p>
        </w:tc>
        <w:tc>
          <w:tcPr>
            <w:tcW w:w="6480" w:type="dxa"/>
          </w:tcPr>
          <w:p w:rsidR="00263D4B" w:rsidRPr="00263D4B" w:rsidRDefault="00263D4B" w:rsidP="00263D4B">
            <w:pPr>
              <w:pStyle w:val="BodyText"/>
              <w:spacing w:after="0"/>
              <w:ind w:left="0" w:right="0"/>
              <w:rPr>
                <w:b/>
              </w:rPr>
            </w:pPr>
            <w:r w:rsidRPr="00D8122F">
              <w:rPr>
                <w:b/>
              </w:rPr>
              <w:t>Notes</w:t>
            </w:r>
          </w:p>
        </w:tc>
      </w:tr>
    </w:tbl>
    <w:p w:rsidR="00C53906" w:rsidRPr="00D825FB" w:rsidRDefault="00C53906" w:rsidP="00A50BE9">
      <w:pPr>
        <w:pStyle w:val="BodyText"/>
      </w:pPr>
    </w:p>
    <w:sectPr w:rsidR="00C53906" w:rsidRPr="00D825FB" w:rsidSect="00012B59">
      <w:headerReference w:type="even" r:id="rId11"/>
      <w:headerReference w:type="default" r:id="rId12"/>
      <w:footerReference w:type="default" r:id="rId13"/>
      <w:headerReference w:type="first" r:id="rId14"/>
      <w:pgSz w:w="15840" w:h="12240" w:orient="landscape" w:code="1"/>
      <w:pgMar w:top="1440" w:right="1440" w:bottom="144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24" w:rsidRDefault="00EC2224" w:rsidP="00C53906">
      <w:r>
        <w:separator/>
      </w:r>
    </w:p>
  </w:endnote>
  <w:endnote w:type="continuationSeparator" w:id="0">
    <w:p w:rsidR="00EC2224" w:rsidRDefault="00EC2224" w:rsidP="00C53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Default="00E7110D" w:rsidP="00D81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24" w:rsidRDefault="00EC2224" w:rsidP="00C53906">
      <w:r>
        <w:separator/>
      </w:r>
    </w:p>
  </w:footnote>
  <w:footnote w:type="continuationSeparator" w:id="0">
    <w:p w:rsidR="00EC2224" w:rsidRDefault="00EC2224" w:rsidP="00C539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Default="00A858F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7184" type="#_x0000_t136" style="position:absolute;margin-left:0;margin-top:0;width:494.9pt;height:164.95pt;rotation:315;z-index:-251643392;mso-position-horizontal:center;mso-position-horizontal-relative:margin;mso-position-vertical:center;mso-position-vertical-relative:margin" o:allowincell="f" fillcolor="#7f7f7f" stroked="f">
          <v:fill opacity=".5"/>
          <v:textpath style="font-family:&quot;Verdana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Pr="00A50BE9" w:rsidRDefault="00A858F3" w:rsidP="00A50BE9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85" type="#_x0000_t202" style="position:absolute;left:0;text-align:left;margin-left:108pt;margin-top:29.15pt;width:19.85pt;height:17.35pt;z-index:251674112;mso-position-horizontal-relative:page;mso-position-vertical-relative:page" filled="f" stroked="f">
          <v:textbox style="mso-next-textbox:#_x0000_s7185" inset="0,0,0,0">
            <w:txbxContent>
              <w:p w:rsidR="00E7110D" w:rsidRPr="00E700B2" w:rsidRDefault="00E7110D" w:rsidP="00A50BE9">
                <w:pPr>
                  <w:pStyle w:val="Header"/>
                  <w:spacing w:line="400" w:lineRule="exact"/>
                  <w:ind w:left="0"/>
                  <w:rPr>
                    <w:b/>
                    <w:color w:val="CD8627" w:themeColor="text2"/>
                    <w:sz w:val="48"/>
                    <w:szCs w:val="48"/>
                  </w:rPr>
                </w:pPr>
                <w:r>
                  <w:rPr>
                    <w:b/>
                    <w:color w:val="CD8627" w:themeColor="text2"/>
                    <w:sz w:val="48"/>
                    <w:szCs w:val="48"/>
                  </w:rPr>
                  <w:t>2</w:t>
                </w:r>
              </w:p>
            </w:txbxContent>
          </v:textbox>
          <w10:wrap anchorx="page" anchory="page"/>
          <w10:anchorlock/>
        </v:shape>
      </w:pict>
    </w:r>
    <w:r w:rsidR="00E7110D">
      <w:rPr>
        <w:b/>
        <w:color w:val="CD8627" w:themeColor="text2"/>
      </w:rPr>
      <w:t>Partnerships</w:t>
    </w:r>
    <w:r w:rsidR="00E7110D" w:rsidRPr="00A50BE9">
      <w:tab/>
    </w:r>
    <w:fldSimple w:instr=" PAGE   \* MERGEFORMAT ">
      <w:r w:rsidR="00285F43">
        <w:rPr>
          <w:noProof/>
        </w:rPr>
        <w:t>18</w:t>
      </w:r>
    </w:fldSimple>
  </w:p>
  <w:p w:rsidR="00E7110D" w:rsidRPr="00A50BE9" w:rsidRDefault="00E7110D" w:rsidP="00A50BE9">
    <w:pPr>
      <w:pStyle w:val="Header"/>
    </w:pPr>
    <w:r w:rsidRPr="00A50BE9">
      <w:t>Programs of study: local implementation readiness and capacity self-assessment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Default="00A858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7183" type="#_x0000_t136" style="position:absolute;left:0;text-align:left;margin-left:0;margin-top:0;width:494.9pt;height:164.95pt;rotation:315;z-index:-251644416;mso-position-horizontal:center;mso-position-horizontal-relative:margin;mso-position-vertical:center;mso-position-vertical-relative:margin" o:allowincell="f" fillcolor="#7f7f7f" stroked="f">
          <v:fill opacity=".5"/>
          <v:textpath style="font-family:&quot;Verdana&quot;;font-size:1pt" string="DRAFT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Default="00A858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55235" o:spid="_x0000_s717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#7f7f7f" stroked="f">
          <v:fill opacity=".5"/>
          <v:textpath style="font-family:&quot;Verdana&quot;;font-size:1pt" string="DRAFT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59" w:rsidRPr="008134A1" w:rsidRDefault="00A858F3" w:rsidP="00DB39B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90" type="#_x0000_t202" style="position:absolute;left:0;text-align:left;margin-left:746.4pt;margin-top:90pt;width:18pt;height:450pt;z-index:251677184;mso-position-horizontal-relative:page;mso-position-vertical-relative:page" filled="f" stroked="f">
          <v:textbox style="layout-flow:vertical;mso-next-textbox:#_x0000_s7190" inset="0,0,0,0">
            <w:txbxContent>
              <w:p w:rsidR="00012B59" w:rsidRDefault="00012B59" w:rsidP="00914919">
                <w:pPr>
                  <w:pStyle w:val="Header"/>
                  <w:tabs>
                    <w:tab w:val="clear" w:pos="8640"/>
                    <w:tab w:val="right" w:pos="9000"/>
                  </w:tabs>
                  <w:ind w:left="0" w:right="0"/>
                </w:pPr>
                <w:r>
                  <w:rPr>
                    <w:b/>
                    <w:color w:val="CD8627" w:themeColor="text2"/>
                  </w:rPr>
                  <w:t>Partnerships</w:t>
                </w:r>
                <w:r>
                  <w:tab/>
                </w:r>
                <w:fldSimple w:instr=" PAGE   \* MERGEFORMAT ">
                  <w:r w:rsidR="00285F43">
                    <w:rPr>
                      <w:noProof/>
                    </w:rPr>
                    <w:t>19</w:t>
                  </w:r>
                </w:fldSimple>
              </w:p>
              <w:p w:rsidR="00012B59" w:rsidRPr="008134A1" w:rsidRDefault="00012B59" w:rsidP="00914919">
                <w:pPr>
                  <w:pStyle w:val="Header"/>
                  <w:tabs>
                    <w:tab w:val="clear" w:pos="8640"/>
                    <w:tab w:val="right" w:pos="9000"/>
                  </w:tabs>
                  <w:ind w:left="0" w:right="0"/>
                </w:pPr>
                <w:r>
                  <w:t>Programs of study: local implementation readiness and capacity self-assessment</w:t>
                </w:r>
              </w:p>
            </w:txbxContent>
          </v:textbox>
          <w10:wrap anchorx="page" anchory="page"/>
          <w10:anchorlock/>
        </v:shape>
      </w:pict>
    </w:r>
    <w:r>
      <w:rPr>
        <w:noProof/>
      </w:rPr>
      <w:pict>
        <v:shape id="_x0000_s7189" type="#_x0000_t202" style="position:absolute;left:0;text-align:left;margin-left:744.6pt;margin-top:1in;width:18pt;height:18pt;z-index:251676160;mso-position-horizontal-relative:page;mso-position-vertical-relative:page" filled="f" stroked="f">
          <v:textbox style="layout-flow:vertical;mso-next-textbox:#_x0000_s7189" inset="0,0,0,0">
            <w:txbxContent>
              <w:p w:rsidR="00012B59" w:rsidRPr="00E700B2" w:rsidRDefault="00012B59" w:rsidP="008134A1">
                <w:pPr>
                  <w:pStyle w:val="Header"/>
                  <w:spacing w:line="400" w:lineRule="exact"/>
                  <w:ind w:left="0"/>
                  <w:rPr>
                    <w:b/>
                    <w:color w:val="CD8627" w:themeColor="text2"/>
                    <w:sz w:val="48"/>
                    <w:szCs w:val="48"/>
                  </w:rPr>
                </w:pPr>
                <w:r>
                  <w:rPr>
                    <w:b/>
                    <w:color w:val="CD8627" w:themeColor="text2"/>
                    <w:sz w:val="48"/>
                    <w:szCs w:val="48"/>
                  </w:rPr>
                  <w:t>2</w:t>
                </w:r>
              </w:p>
            </w:txbxContent>
          </v:textbox>
          <w10:wrap anchorx="page" anchory="page"/>
          <w10:anchorlock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0D" w:rsidRDefault="00A858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55234" o:spid="_x0000_s7169" type="#_x0000_t136" style="position:absolute;left:0;text-align:left;margin-left:0;margin-top:0;width:494.9pt;height:164.95pt;rotation:315;z-index:-251659776;mso-position-horizontal:center;mso-position-horizontal-relative:margin;mso-position-vertical:center;mso-position-vertical-relative:margin" o:allowincell="f" fillcolor="#7f7f7f" stroked="f">
          <v:fill opacity=".5"/>
          <v:textpath style="font-family:&quot;Verdana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C38CF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8CE0966"/>
    <w:lvl w:ilvl="0">
      <w:start w:val="1"/>
      <w:numFmt w:val="bullet"/>
      <w:pStyle w:val="ListBullet2"/>
      <w:lvlText w:val=""/>
      <w:lvlJc w:val="left"/>
      <w:pPr>
        <w:ind w:left="2520" w:hanging="360"/>
      </w:pPr>
      <w:rPr>
        <w:rFonts w:ascii="Symbol" w:hAnsi="Symbol" w:hint="default"/>
        <w:color w:val="CD8627" w:themeColor="text2"/>
      </w:rPr>
    </w:lvl>
  </w:abstractNum>
  <w:abstractNum w:abstractNumId="2">
    <w:nsid w:val="FFFFFF88"/>
    <w:multiLevelType w:val="singleLevel"/>
    <w:tmpl w:val="27B6F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A7E2418"/>
    <w:lvl w:ilvl="0">
      <w:start w:val="1"/>
      <w:numFmt w:val="bullet"/>
      <w:pStyle w:val="ListBullet"/>
      <w:lvlText w:val=""/>
      <w:lvlJc w:val="left"/>
      <w:pPr>
        <w:ind w:left="1800" w:hanging="360"/>
      </w:pPr>
      <w:rPr>
        <w:rFonts w:ascii="Symbol" w:hAnsi="Symbol" w:hint="default"/>
        <w:color w:val="CD8627" w:themeColor="text2"/>
      </w:rPr>
    </w:lvl>
  </w:abstractNum>
  <w:abstractNum w:abstractNumId="4">
    <w:nsid w:val="16AA1FF7"/>
    <w:multiLevelType w:val="hybridMultilevel"/>
    <w:tmpl w:val="7F2C4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E700B9"/>
    <w:multiLevelType w:val="hybridMultilevel"/>
    <w:tmpl w:val="D0A4CFB6"/>
    <w:lvl w:ilvl="0" w:tplc="23FAB416"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101169"/>
    <w:multiLevelType w:val="hybridMultilevel"/>
    <w:tmpl w:val="1D8E2F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45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8F3981"/>
    <w:multiLevelType w:val="hybridMultilevel"/>
    <w:tmpl w:val="9EFE22E2"/>
    <w:lvl w:ilvl="0" w:tplc="3A90FBE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7204AB0"/>
    <w:multiLevelType w:val="hybridMultilevel"/>
    <w:tmpl w:val="1B68B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5AF3"/>
    <w:multiLevelType w:val="hybridMultilevel"/>
    <w:tmpl w:val="303A86FC"/>
    <w:lvl w:ilvl="0" w:tplc="38E400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3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801"/>
  <w:stylePaneSortMethod w:val="0000"/>
  <w:defaultTabStop w:val="720"/>
  <w:autoHyphenation/>
  <w:consecutiveHyphenLimit w:val="2"/>
  <w:doNotHyphenateCaps/>
  <w:drawingGridHorizontalSpacing w:val="110"/>
  <w:displayHorizontalDrawingGridEvery w:val="2"/>
  <w:characterSpacingControl w:val="doNotCompress"/>
  <w:hdrShapeDefaults>
    <o:shapedefaults v:ext="edit" spidmax="9218">
      <o:colormenu v:ext="edit" fillcolor="none [3215]" strokecolor="none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305255"/>
    <w:rsid w:val="00012B59"/>
    <w:rsid w:val="00042095"/>
    <w:rsid w:val="000442B6"/>
    <w:rsid w:val="0005606D"/>
    <w:rsid w:val="000F5F42"/>
    <w:rsid w:val="0017504B"/>
    <w:rsid w:val="001B57CE"/>
    <w:rsid w:val="001C3C17"/>
    <w:rsid w:val="0020569B"/>
    <w:rsid w:val="0025517A"/>
    <w:rsid w:val="00263D4B"/>
    <w:rsid w:val="00285F43"/>
    <w:rsid w:val="002B7C79"/>
    <w:rsid w:val="002C6DDE"/>
    <w:rsid w:val="002D5D72"/>
    <w:rsid w:val="00300281"/>
    <w:rsid w:val="00305255"/>
    <w:rsid w:val="003B60A2"/>
    <w:rsid w:val="00414ED5"/>
    <w:rsid w:val="00447C55"/>
    <w:rsid w:val="00453549"/>
    <w:rsid w:val="004A0943"/>
    <w:rsid w:val="004A10C8"/>
    <w:rsid w:val="004D48DE"/>
    <w:rsid w:val="004E4963"/>
    <w:rsid w:val="004F2D25"/>
    <w:rsid w:val="005156C8"/>
    <w:rsid w:val="005632FB"/>
    <w:rsid w:val="005C0C1C"/>
    <w:rsid w:val="005C2FE0"/>
    <w:rsid w:val="005C40EF"/>
    <w:rsid w:val="005C47FB"/>
    <w:rsid w:val="005E373B"/>
    <w:rsid w:val="00655F24"/>
    <w:rsid w:val="00697518"/>
    <w:rsid w:val="006A487B"/>
    <w:rsid w:val="007003C4"/>
    <w:rsid w:val="007942F2"/>
    <w:rsid w:val="008134A1"/>
    <w:rsid w:val="008219EC"/>
    <w:rsid w:val="00845DC2"/>
    <w:rsid w:val="0087572C"/>
    <w:rsid w:val="008911E9"/>
    <w:rsid w:val="008C6CD2"/>
    <w:rsid w:val="008C7083"/>
    <w:rsid w:val="008E7669"/>
    <w:rsid w:val="008F4DA9"/>
    <w:rsid w:val="00914919"/>
    <w:rsid w:val="00924D0D"/>
    <w:rsid w:val="00981C6A"/>
    <w:rsid w:val="0098603B"/>
    <w:rsid w:val="00994728"/>
    <w:rsid w:val="009B2803"/>
    <w:rsid w:val="00A50536"/>
    <w:rsid w:val="00A50BE9"/>
    <w:rsid w:val="00A858F3"/>
    <w:rsid w:val="00AB7341"/>
    <w:rsid w:val="00AC56C9"/>
    <w:rsid w:val="00AD75FB"/>
    <w:rsid w:val="00AE27AB"/>
    <w:rsid w:val="00B0563C"/>
    <w:rsid w:val="00B54869"/>
    <w:rsid w:val="00B56504"/>
    <w:rsid w:val="00B7381D"/>
    <w:rsid w:val="00B82554"/>
    <w:rsid w:val="00C17249"/>
    <w:rsid w:val="00C53906"/>
    <w:rsid w:val="00C7240C"/>
    <w:rsid w:val="00CB4FD7"/>
    <w:rsid w:val="00D8122F"/>
    <w:rsid w:val="00D825FB"/>
    <w:rsid w:val="00D841D8"/>
    <w:rsid w:val="00DA7B9C"/>
    <w:rsid w:val="00DB39B1"/>
    <w:rsid w:val="00DD7E92"/>
    <w:rsid w:val="00E050B6"/>
    <w:rsid w:val="00E31327"/>
    <w:rsid w:val="00E700B2"/>
    <w:rsid w:val="00E7110D"/>
    <w:rsid w:val="00EA20E0"/>
    <w:rsid w:val="00EA61EE"/>
    <w:rsid w:val="00EA6395"/>
    <w:rsid w:val="00EC2224"/>
    <w:rsid w:val="00ED4582"/>
    <w:rsid w:val="00FB1B18"/>
    <w:rsid w:val="00FE7C95"/>
    <w:rsid w:val="00FF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/>
    <w:lsdException w:name="endnote reference" w:uiPriority="0"/>
    <w:lsdException w:name="List Bullet" w:uiPriority="0" w:qFormat="1"/>
    <w:lsdException w:name="List Number" w:uiPriority="0" w:qFormat="1"/>
    <w:lsdException w:name="List Bullet 2" w:uiPriority="0" w:qFormat="1"/>
    <w:lsdException w:name="List Number 2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rsid w:val="00E700B2"/>
    <w:pPr>
      <w:spacing w:line="320" w:lineRule="atLeast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BodyText"/>
    <w:link w:val="Heading1Char"/>
    <w:qFormat/>
    <w:rsid w:val="00A50BE9"/>
    <w:pPr>
      <w:keepNext/>
      <w:keepLines/>
      <w:suppressAutoHyphens/>
      <w:spacing w:after="360" w:line="640" w:lineRule="atLeast"/>
      <w:ind w:left="720" w:right="720"/>
      <w:outlineLvl w:val="0"/>
    </w:pPr>
    <w:rPr>
      <w:rFonts w:asciiTheme="minorHAnsi" w:eastAsiaTheme="majorEastAsia" w:hAnsiTheme="minorHAnsi" w:cstheme="majorBidi"/>
      <w:bCs/>
      <w:color w:val="CD8627" w:themeColor="text2"/>
      <w:sz w:val="4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E700B2"/>
    <w:pPr>
      <w:spacing w:before="480" w:after="160" w:line="480" w:lineRule="atLeast"/>
      <w:outlineLvl w:val="1"/>
    </w:pPr>
    <w:rPr>
      <w:bCs w:val="0"/>
      <w:color w:val="CD8627" w:themeColor="accent1"/>
      <w:sz w:val="3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E700B2"/>
    <w:pPr>
      <w:spacing w:before="320" w:after="160" w:line="320" w:lineRule="atLeast"/>
      <w:outlineLvl w:val="2"/>
    </w:pPr>
    <w:rPr>
      <w:b/>
      <w:bCs w:val="0"/>
      <w:i/>
      <w:color w:val="CD8627" w:themeColor="accent1"/>
      <w:sz w:val="28"/>
    </w:rPr>
  </w:style>
  <w:style w:type="paragraph" w:styleId="Heading4">
    <w:name w:val="heading 4"/>
    <w:basedOn w:val="Heading1"/>
    <w:next w:val="BodyText"/>
    <w:link w:val="Heading4Char"/>
    <w:qFormat/>
    <w:rsid w:val="00E700B2"/>
    <w:pPr>
      <w:spacing w:before="320" w:after="0" w:line="320" w:lineRule="atLeast"/>
      <w:outlineLvl w:val="3"/>
    </w:pPr>
    <w:rPr>
      <w:b/>
      <w:bCs w:val="0"/>
      <w:iCs/>
      <w:color w:val="000000" w:themeColor="text1"/>
      <w:sz w:val="24"/>
    </w:rPr>
  </w:style>
  <w:style w:type="paragraph" w:styleId="Heading5">
    <w:name w:val="heading 5"/>
    <w:basedOn w:val="Heading1"/>
    <w:next w:val="BodyText"/>
    <w:link w:val="Heading5Char"/>
    <w:qFormat/>
    <w:rsid w:val="00E700B2"/>
    <w:pPr>
      <w:spacing w:before="320" w:after="0" w:line="320" w:lineRule="atLeast"/>
      <w:outlineLvl w:val="4"/>
    </w:pPr>
    <w:rPr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0BE9"/>
    <w:rPr>
      <w:rFonts w:asciiTheme="minorHAnsi" w:eastAsiaTheme="majorEastAsia" w:hAnsiTheme="minorHAnsi" w:cstheme="majorBidi"/>
      <w:bCs/>
      <w:color w:val="CD8627" w:themeColor="text2"/>
      <w:sz w:val="4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305255"/>
    <w:pPr>
      <w:spacing w:after="200" w:line="276" w:lineRule="auto"/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700B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link w:val="HeaderChar"/>
    <w:uiPriority w:val="99"/>
    <w:rsid w:val="008134A1"/>
    <w:pPr>
      <w:tabs>
        <w:tab w:val="right" w:pos="8640"/>
      </w:tabs>
      <w:spacing w:line="200" w:lineRule="atLeast"/>
      <w:ind w:left="1080" w:right="720"/>
    </w:pPr>
    <w:rPr>
      <w:rFonts w:asciiTheme="minorHAnsi" w:eastAsiaTheme="minorHAnsi" w:hAnsiTheme="minorHAnsi" w:cstheme="minorBidi"/>
      <w:caps/>
      <w:sz w:val="1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134A1"/>
    <w:rPr>
      <w:rFonts w:asciiTheme="minorHAnsi" w:eastAsiaTheme="minorHAnsi" w:hAnsiTheme="minorHAnsi" w:cstheme="minorBidi"/>
      <w:caps/>
      <w:sz w:val="16"/>
      <w:szCs w:val="22"/>
    </w:rPr>
  </w:style>
  <w:style w:type="paragraph" w:styleId="Footer">
    <w:name w:val="footer"/>
    <w:basedOn w:val="Header"/>
    <w:link w:val="FooterChar"/>
    <w:uiPriority w:val="99"/>
    <w:rsid w:val="00D8122F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D8122F"/>
    <w:rPr>
      <w:rFonts w:asciiTheme="minorHAnsi" w:eastAsiaTheme="minorHAnsi" w:hAnsiTheme="minorHAnsi" w:cstheme="minorBidi"/>
      <w:caps/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B1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link w:val="BodyTextChar"/>
    <w:qFormat/>
    <w:rsid w:val="008911E9"/>
    <w:pPr>
      <w:spacing w:after="240" w:line="320" w:lineRule="atLeast"/>
      <w:ind w:left="720" w:right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911E9"/>
    <w:rPr>
      <w:rFonts w:asciiTheme="minorHAnsi" w:eastAsiaTheme="minorHAnsi" w:hAnsiTheme="minorHAnsi" w:cstheme="minorBidi"/>
      <w:sz w:val="22"/>
      <w:szCs w:val="22"/>
    </w:rPr>
  </w:style>
  <w:style w:type="character" w:customStyle="1" w:styleId="Lead-inEmphasis">
    <w:name w:val="Lead-in Emphasis"/>
    <w:rsid w:val="00C05DEB"/>
    <w:rPr>
      <w:rFonts w:ascii="Arial" w:hAnsi="Arial"/>
      <w:b/>
      <w:spacing w:val="-4"/>
    </w:rPr>
  </w:style>
  <w:style w:type="paragraph" w:customStyle="1" w:styleId="Default">
    <w:name w:val="Default"/>
    <w:rsid w:val="00C05DE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lockText">
    <w:name w:val="Block Text"/>
    <w:basedOn w:val="BodyText"/>
    <w:qFormat/>
    <w:rsid w:val="00E700B2"/>
    <w:pPr>
      <w:ind w:left="1440" w:right="1440"/>
    </w:pPr>
    <w:rPr>
      <w:rFonts w:eastAsiaTheme="minorEastAsia"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70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0B2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0B2"/>
    <w:rPr>
      <w:b/>
      <w:bCs/>
    </w:rPr>
  </w:style>
  <w:style w:type="paragraph" w:customStyle="1" w:styleId="Contents">
    <w:name w:val="Contents"/>
    <w:basedOn w:val="Heading1"/>
    <w:rsid w:val="00E700B2"/>
  </w:style>
  <w:style w:type="character" w:styleId="EndnoteReference">
    <w:name w:val="endnote reference"/>
    <w:basedOn w:val="DefaultParagraphFont"/>
    <w:rsid w:val="00E700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00B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00B2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rsid w:val="00E700B2"/>
    <w:rPr>
      <w:vertAlign w:val="superscript"/>
    </w:rPr>
  </w:style>
  <w:style w:type="paragraph" w:styleId="FootnoteText">
    <w:name w:val="footnote text"/>
    <w:basedOn w:val="BodyText"/>
    <w:link w:val="FootnoteTextChar"/>
    <w:qFormat/>
    <w:rsid w:val="00E700B2"/>
    <w:pPr>
      <w:spacing w:after="0"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700B2"/>
    <w:rPr>
      <w:rFonts w:asciiTheme="majorHAnsi" w:eastAsiaTheme="minorHAnsi" w:hAnsiTheme="majorHAnsi" w:cstheme="minorBidi"/>
    </w:rPr>
  </w:style>
  <w:style w:type="character" w:customStyle="1" w:styleId="Heading2Char">
    <w:name w:val="Heading 2 Char"/>
    <w:basedOn w:val="DefaultParagraphFont"/>
    <w:link w:val="Heading2"/>
    <w:rsid w:val="00E700B2"/>
    <w:rPr>
      <w:rFonts w:asciiTheme="majorHAnsi" w:eastAsiaTheme="majorEastAsia" w:hAnsiTheme="majorHAnsi" w:cstheme="majorBidi"/>
      <w:color w:val="CD862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rsid w:val="00E700B2"/>
    <w:rPr>
      <w:rFonts w:asciiTheme="majorHAnsi" w:eastAsiaTheme="majorEastAsia" w:hAnsiTheme="majorHAnsi" w:cstheme="majorBidi"/>
      <w:b/>
      <w:i/>
      <w:color w:val="CD8627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700B2"/>
    <w:rPr>
      <w:rFonts w:asciiTheme="majorHAnsi" w:eastAsiaTheme="majorEastAsia" w:hAnsiTheme="majorHAnsi" w:cstheme="majorBidi"/>
      <w:b/>
      <w:iCs/>
      <w:color w:val="000000" w:themeColor="text1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700B2"/>
    <w:rPr>
      <w:rFonts w:asciiTheme="majorHAnsi" w:eastAsiaTheme="majorEastAsia" w:hAnsiTheme="majorHAnsi" w:cstheme="majorBidi"/>
      <w:bCs/>
      <w:i/>
      <w:color w:val="000000" w:themeColor="text1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700B2"/>
    <w:rPr>
      <w:color w:val="auto"/>
      <w:u w:val="single"/>
    </w:rPr>
  </w:style>
  <w:style w:type="paragraph" w:customStyle="1" w:styleId="Legend">
    <w:name w:val="Legend"/>
    <w:next w:val="TOC1"/>
    <w:uiPriority w:val="39"/>
    <w:rsid w:val="00E700B2"/>
    <w:pPr>
      <w:tabs>
        <w:tab w:val="right" w:pos="8640"/>
      </w:tabs>
      <w:spacing w:after="80" w:line="200" w:lineRule="atLeast"/>
      <w:ind w:left="720" w:right="720"/>
    </w:pPr>
    <w:rPr>
      <w:rFonts w:asciiTheme="majorHAnsi" w:eastAsiaTheme="minorHAnsi" w:hAnsiTheme="majorHAnsi" w:cstheme="minorBidi"/>
      <w:caps/>
      <w:sz w:val="16"/>
      <w:szCs w:val="22"/>
    </w:rPr>
  </w:style>
  <w:style w:type="paragraph" w:styleId="TOC1">
    <w:name w:val="toc 1"/>
    <w:next w:val="TOC2"/>
    <w:uiPriority w:val="39"/>
    <w:rsid w:val="00E700B2"/>
    <w:pPr>
      <w:keepLines/>
      <w:tabs>
        <w:tab w:val="left" w:leader="dot" w:pos="8280"/>
        <w:tab w:val="right" w:pos="8640"/>
      </w:tabs>
      <w:suppressAutoHyphens/>
      <w:spacing w:before="320" w:line="320" w:lineRule="atLeast"/>
      <w:ind w:left="720" w:right="1080"/>
    </w:pPr>
    <w:rPr>
      <w:rFonts w:asciiTheme="majorHAnsi" w:eastAsiaTheme="minorHAnsi" w:hAnsiTheme="majorHAnsi" w:cstheme="minorBidi"/>
      <w:b/>
      <w:color w:val="CD8627" w:themeColor="text2"/>
      <w:sz w:val="24"/>
      <w:szCs w:val="22"/>
    </w:rPr>
  </w:style>
  <w:style w:type="paragraph" w:styleId="ListBullet">
    <w:name w:val="List Bullet"/>
    <w:basedOn w:val="BodyText"/>
    <w:qFormat/>
    <w:rsid w:val="008911E9"/>
    <w:pPr>
      <w:numPr>
        <w:numId w:val="8"/>
      </w:numPr>
      <w:spacing w:after="160"/>
      <w:ind w:left="1080"/>
    </w:pPr>
  </w:style>
  <w:style w:type="paragraph" w:styleId="ListBullet2">
    <w:name w:val="List Bullet 2"/>
    <w:basedOn w:val="ListBullet"/>
    <w:qFormat/>
    <w:rsid w:val="00E700B2"/>
    <w:pPr>
      <w:numPr>
        <w:numId w:val="10"/>
      </w:numPr>
    </w:pPr>
  </w:style>
  <w:style w:type="paragraph" w:styleId="ListNumber">
    <w:name w:val="List Number"/>
    <w:basedOn w:val="BodyText"/>
    <w:qFormat/>
    <w:rsid w:val="00E700B2"/>
    <w:pPr>
      <w:numPr>
        <w:numId w:val="12"/>
      </w:numPr>
      <w:tabs>
        <w:tab w:val="left" w:pos="1800"/>
      </w:tabs>
      <w:spacing w:after="160"/>
    </w:pPr>
  </w:style>
  <w:style w:type="paragraph" w:styleId="ListNumber2">
    <w:name w:val="List Number 2"/>
    <w:basedOn w:val="ListNumber"/>
    <w:qFormat/>
    <w:rsid w:val="00E700B2"/>
    <w:pPr>
      <w:numPr>
        <w:numId w:val="14"/>
      </w:numPr>
      <w:tabs>
        <w:tab w:val="left" w:pos="2520"/>
      </w:tabs>
    </w:pPr>
  </w:style>
  <w:style w:type="paragraph" w:customStyle="1" w:styleId="Reference">
    <w:name w:val="Reference"/>
    <w:basedOn w:val="BodyText"/>
    <w:qFormat/>
    <w:rsid w:val="00E700B2"/>
    <w:pPr>
      <w:ind w:left="1080" w:hanging="360"/>
    </w:pPr>
  </w:style>
  <w:style w:type="paragraph" w:styleId="TOC2">
    <w:name w:val="toc 2"/>
    <w:basedOn w:val="TOC1"/>
    <w:uiPriority w:val="39"/>
    <w:rsid w:val="00E700B2"/>
    <w:pPr>
      <w:spacing w:before="0"/>
      <w:ind w:left="1080" w:hanging="360"/>
    </w:pPr>
    <w:rPr>
      <w:rFonts w:asciiTheme="minorHAnsi" w:hAnsiTheme="minorHAnsi"/>
      <w:b w:val="0"/>
      <w:color w:val="000000" w:themeColor="text1"/>
      <w:sz w:val="22"/>
    </w:rPr>
  </w:style>
  <w:style w:type="paragraph" w:styleId="TOC3">
    <w:name w:val="toc 3"/>
    <w:basedOn w:val="TOC2"/>
    <w:uiPriority w:val="39"/>
    <w:rsid w:val="00E700B2"/>
    <w:pPr>
      <w:ind w:left="1440"/>
    </w:pPr>
  </w:style>
  <w:style w:type="paragraph" w:styleId="TOC4">
    <w:name w:val="toc 4"/>
    <w:basedOn w:val="TOC2"/>
    <w:uiPriority w:val="39"/>
    <w:rsid w:val="00E700B2"/>
    <w:pPr>
      <w:ind w:left="2160"/>
    </w:pPr>
  </w:style>
  <w:style w:type="paragraph" w:customStyle="1" w:styleId="TOCPre">
    <w:name w:val="TOC Pre"/>
    <w:basedOn w:val="TOC1"/>
    <w:uiPriority w:val="39"/>
    <w:rsid w:val="00E700B2"/>
    <w:pPr>
      <w:spacing w:before="0"/>
    </w:pPr>
  </w:style>
  <w:style w:type="paragraph" w:customStyle="1" w:styleId="TOCTables">
    <w:name w:val="TOC Tables"/>
    <w:basedOn w:val="TOC2"/>
    <w:uiPriority w:val="39"/>
    <w:rsid w:val="00E700B2"/>
    <w:pPr>
      <w:spacing w:after="160"/>
      <w:ind w:left="1440" w:hanging="720"/>
    </w:pPr>
  </w:style>
  <w:style w:type="paragraph" w:styleId="ListParagraph">
    <w:name w:val="List Paragraph"/>
    <w:basedOn w:val="Normal"/>
    <w:uiPriority w:val="34"/>
    <w:qFormat/>
    <w:rsid w:val="00DD7E92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MPR Dark Gold 2009">
      <a:dk1>
        <a:sysClr val="windowText" lastClr="000000"/>
      </a:dk1>
      <a:lt1>
        <a:sysClr val="window" lastClr="FFFFFF"/>
      </a:lt1>
      <a:dk2>
        <a:srgbClr val="CD8627"/>
      </a:dk2>
      <a:lt2>
        <a:srgbClr val="FAF3E9"/>
      </a:lt2>
      <a:accent1>
        <a:srgbClr val="CD8627"/>
      </a:accent1>
      <a:accent2>
        <a:srgbClr val="4D4D4D"/>
      </a:accent2>
      <a:accent3>
        <a:srgbClr val="E5C293"/>
      </a:accent3>
      <a:accent4>
        <a:srgbClr val="FFFFFF"/>
      </a:accent4>
      <a:accent5>
        <a:srgbClr val="000000"/>
      </a:accent5>
      <a:accent6>
        <a:srgbClr val="CCCCCC"/>
      </a:accent6>
      <a:hlink>
        <a:srgbClr val="CD8627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9368F-82AE-43D6-8109-3491A43F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Schoelkopf</dc:creator>
  <cp:lastModifiedBy>Janell Scott</cp:lastModifiedBy>
  <cp:revision>2</cp:revision>
  <cp:lastPrinted>2010-06-01T17:19:00Z</cp:lastPrinted>
  <dcterms:created xsi:type="dcterms:W3CDTF">2012-11-02T16:46:00Z</dcterms:created>
  <dcterms:modified xsi:type="dcterms:W3CDTF">2012-11-02T16:46:00Z</dcterms:modified>
</cp:coreProperties>
</file>