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63036" w14:textId="62282DC8" w:rsidR="00674F14" w:rsidRDefault="00674F14" w:rsidP="00AA3F06">
      <w:pPr>
        <w:rPr>
          <w:sz w:val="40"/>
          <w:szCs w:val="40"/>
        </w:rPr>
      </w:pPr>
    </w:p>
    <w:p w14:paraId="3A713A55" w14:textId="3F11553B" w:rsidR="00AA3F06" w:rsidRDefault="00AA3F06" w:rsidP="00AA3F06">
      <w:pPr>
        <w:rPr>
          <w:sz w:val="40"/>
          <w:szCs w:val="40"/>
        </w:rPr>
      </w:pPr>
    </w:p>
    <w:p w14:paraId="16FF7D98" w14:textId="7A64215D" w:rsidR="00AA3F06" w:rsidRDefault="00AA3F06" w:rsidP="00AA3F06">
      <w:pPr>
        <w:rPr>
          <w:sz w:val="40"/>
          <w:szCs w:val="40"/>
        </w:rPr>
      </w:pPr>
    </w:p>
    <w:p w14:paraId="6E60F77A" w14:textId="77777777" w:rsidR="00AA3F06" w:rsidRPr="00AA3F06" w:rsidRDefault="00AA3F06" w:rsidP="00AA3F06">
      <w:pPr>
        <w:rPr>
          <w:sz w:val="40"/>
          <w:szCs w:val="40"/>
        </w:rPr>
      </w:pPr>
    </w:p>
    <w:p w14:paraId="72D1E417" w14:textId="77777777" w:rsidR="00674F14" w:rsidRPr="00674F14" w:rsidRDefault="00674F14" w:rsidP="00674F14">
      <w:pPr>
        <w:pBdr>
          <w:top w:val="single" w:sz="4" w:space="1" w:color="auto"/>
          <w:left w:val="single" w:sz="4" w:space="4" w:color="auto"/>
          <w:bottom w:val="single" w:sz="4" w:space="1" w:color="auto"/>
          <w:right w:val="single" w:sz="4" w:space="4" w:color="auto"/>
        </w:pBdr>
        <w:rPr>
          <w:b/>
          <w:sz w:val="40"/>
          <w:lang w:val="en-IE"/>
        </w:rPr>
      </w:pPr>
      <w:r w:rsidRPr="00674F14">
        <w:rPr>
          <w:b/>
          <w:sz w:val="40"/>
          <w:lang w:val="en-IE"/>
        </w:rPr>
        <w:t>Action 8:</w:t>
      </w:r>
    </w:p>
    <w:p w14:paraId="41C8F396" w14:textId="55B3EE82" w:rsidR="00674F14" w:rsidRDefault="00674F14" w:rsidP="00674F14">
      <w:pPr>
        <w:pBdr>
          <w:top w:val="single" w:sz="4" w:space="1" w:color="auto"/>
          <w:left w:val="single" w:sz="4" w:space="4" w:color="auto"/>
          <w:bottom w:val="single" w:sz="4" w:space="1" w:color="auto"/>
          <w:right w:val="single" w:sz="4" w:space="4" w:color="auto"/>
        </w:pBdr>
      </w:pPr>
      <w:r w:rsidRPr="00674F14">
        <w:rPr>
          <w:b/>
          <w:sz w:val="40"/>
          <w:lang w:val="en-IE"/>
        </w:rPr>
        <w:t>Strengthen sustainability, accessibility and resilience of research infrastructures in the ERA</w:t>
      </w:r>
      <w:r w:rsidRPr="00674F14">
        <w:rPr>
          <w:sz w:val="40"/>
        </w:rPr>
        <w:t xml:space="preserve"> </w:t>
      </w:r>
      <w:r>
        <w:br w:type="page"/>
      </w:r>
    </w:p>
    <w:tbl>
      <w:tblPr>
        <w:tblStyle w:val="TableGrid"/>
        <w:tblW w:w="9051" w:type="dxa"/>
        <w:jc w:val="center"/>
        <w:tblCellMar>
          <w:top w:w="113" w:type="dxa"/>
          <w:bottom w:w="113" w:type="dxa"/>
          <w:right w:w="227" w:type="dxa"/>
        </w:tblCellMar>
        <w:tblLook w:val="04A0" w:firstRow="1" w:lastRow="0" w:firstColumn="1" w:lastColumn="0" w:noHBand="0" w:noVBand="1"/>
      </w:tblPr>
      <w:tblGrid>
        <w:gridCol w:w="9051"/>
      </w:tblGrid>
      <w:tr w:rsidR="00674F14" w:rsidRPr="00024BFB" w14:paraId="1ADC5FB9" w14:textId="77777777" w:rsidTr="00AA3F06">
        <w:trPr>
          <w:jc w:val="center"/>
        </w:trPr>
        <w:tc>
          <w:tcPr>
            <w:tcW w:w="9051" w:type="dxa"/>
            <w:tcBorders>
              <w:top w:val="single" w:sz="12" w:space="0" w:color="auto"/>
              <w:left w:val="single" w:sz="12" w:space="0" w:color="auto"/>
              <w:right w:val="single" w:sz="12" w:space="0" w:color="auto"/>
            </w:tcBorders>
            <w:shd w:val="clear" w:color="auto" w:fill="000000" w:themeFill="text1"/>
          </w:tcPr>
          <w:p w14:paraId="0A2DD1F5" w14:textId="77777777" w:rsidR="00674F14" w:rsidRPr="00024BFB" w:rsidRDefault="00674F14" w:rsidP="00D576BD">
            <w:pPr>
              <w:rPr>
                <w:b/>
                <w:lang w:val="en-IE"/>
              </w:rPr>
            </w:pPr>
            <w:r w:rsidRPr="00024BFB">
              <w:rPr>
                <w:b/>
                <w:lang w:val="en-IE"/>
              </w:rPr>
              <w:lastRenderedPageBreak/>
              <w:t>Action 8. Strengthen sustainability, accessibility and resilience of research infrastructures in the ERA</w:t>
            </w:r>
          </w:p>
        </w:tc>
      </w:tr>
      <w:tr w:rsidR="00674F14" w:rsidRPr="00024BFB" w14:paraId="4366C1B5" w14:textId="77777777" w:rsidTr="00AA3F06">
        <w:trPr>
          <w:jc w:val="center"/>
        </w:trPr>
        <w:tc>
          <w:tcPr>
            <w:tcW w:w="9051" w:type="dxa"/>
            <w:tcBorders>
              <w:left w:val="single" w:sz="12" w:space="0" w:color="auto"/>
              <w:right w:val="single" w:sz="12" w:space="0" w:color="auto"/>
            </w:tcBorders>
          </w:tcPr>
          <w:p w14:paraId="13510D22" w14:textId="741B260E" w:rsidR="00674F14" w:rsidRPr="00024BFB" w:rsidRDefault="00674F14" w:rsidP="00D576BD">
            <w:pPr>
              <w:rPr>
                <w:rFonts w:ascii="Calibri" w:eastAsia="Calibri" w:hAnsi="Calibri" w:cs="Calibri"/>
              </w:rPr>
            </w:pPr>
            <w:r w:rsidRPr="60CF9279">
              <w:rPr>
                <w:rFonts w:ascii="Calibri" w:eastAsia="Calibri" w:hAnsi="Calibri" w:cs="Calibri"/>
              </w:rPr>
              <w:t>Member State/associated country/stakeholder</w:t>
            </w:r>
            <w:r>
              <w:rPr>
                <w:rFonts w:ascii="Calibri" w:eastAsia="Calibri" w:hAnsi="Calibri" w:cs="Calibri"/>
                <w:vertAlign w:val="superscript"/>
              </w:rPr>
              <w:t>1</w:t>
            </w:r>
            <w:r w:rsidRPr="60CF9279">
              <w:rPr>
                <w:rFonts w:ascii="Calibri" w:eastAsia="Calibri" w:hAnsi="Calibri" w:cs="Calibri"/>
              </w:rPr>
              <w:t>:</w:t>
            </w:r>
          </w:p>
          <w:p w14:paraId="27718B6C" w14:textId="77777777" w:rsidR="00674F14" w:rsidRPr="00024BFB" w:rsidRDefault="00674F14" w:rsidP="00D576BD">
            <w:pPr>
              <w:rPr>
                <w:rFonts w:ascii="Calibri" w:eastAsia="Calibri" w:hAnsi="Calibri" w:cs="Calibri"/>
              </w:rPr>
            </w:pPr>
          </w:p>
          <w:p w14:paraId="49FE7F4E" w14:textId="77777777" w:rsidR="00674F14" w:rsidRPr="00024BFB" w:rsidRDefault="00674F14" w:rsidP="00D576BD">
            <w:pPr>
              <w:rPr>
                <w:rFonts w:ascii="Calibri" w:eastAsia="Calibri" w:hAnsi="Calibri" w:cs="Calibri"/>
              </w:rPr>
            </w:pPr>
          </w:p>
        </w:tc>
      </w:tr>
      <w:tr w:rsidR="00674F14" w:rsidRPr="00024BFB" w14:paraId="49A0F007" w14:textId="77777777" w:rsidTr="00AA3F06">
        <w:trPr>
          <w:jc w:val="center"/>
        </w:trPr>
        <w:tc>
          <w:tcPr>
            <w:tcW w:w="9051" w:type="dxa"/>
            <w:tcBorders>
              <w:left w:val="single" w:sz="12" w:space="0" w:color="auto"/>
              <w:right w:val="single" w:sz="12" w:space="0" w:color="auto"/>
            </w:tcBorders>
          </w:tcPr>
          <w:p w14:paraId="58220595" w14:textId="224E3D42" w:rsidR="00674F14" w:rsidRPr="00024BFB" w:rsidRDefault="00674F14" w:rsidP="00D576BD">
            <w:pPr>
              <w:spacing w:line="257" w:lineRule="auto"/>
            </w:pPr>
            <w:r w:rsidRPr="60CF9279">
              <w:rPr>
                <w:rFonts w:ascii="Calibri" w:eastAsia="Calibri" w:hAnsi="Calibri" w:cs="Calibri"/>
              </w:rPr>
              <w:t>Lead entity at national level and contact person</w:t>
            </w:r>
            <w:r>
              <w:rPr>
                <w:rFonts w:ascii="Calibri" w:eastAsia="Calibri" w:hAnsi="Calibri" w:cs="Calibri"/>
                <w:vertAlign w:val="superscript"/>
              </w:rPr>
              <w:t>1</w:t>
            </w:r>
            <w:r w:rsidRPr="60CF9279">
              <w:rPr>
                <w:rFonts w:ascii="Calibri" w:eastAsia="Calibri" w:hAnsi="Calibri" w:cs="Calibri"/>
              </w:rPr>
              <w:t>:</w:t>
            </w:r>
          </w:p>
          <w:p w14:paraId="2C3D1440" w14:textId="77777777" w:rsidR="00674F14" w:rsidRPr="00024BFB" w:rsidRDefault="00674F14" w:rsidP="00D576BD">
            <w:pPr>
              <w:rPr>
                <w:rFonts w:ascii="Calibri" w:eastAsia="Calibri" w:hAnsi="Calibri" w:cs="Calibri"/>
                <w:i/>
                <w:iCs/>
                <w:sz w:val="18"/>
                <w:szCs w:val="18"/>
              </w:rPr>
            </w:pPr>
            <w:r w:rsidRPr="60CF9279">
              <w:rPr>
                <w:rFonts w:ascii="Calibri" w:eastAsia="Calibri" w:hAnsi="Calibri" w:cs="Calibri"/>
                <w:i/>
                <w:iCs/>
                <w:sz w:val="18"/>
                <w:szCs w:val="18"/>
              </w:rPr>
              <w:t>[Indicate the organisation, name, position, e-mail address.]</w:t>
            </w:r>
          </w:p>
          <w:p w14:paraId="3E3E9D0A" w14:textId="77777777" w:rsidR="00674F14" w:rsidRPr="00024BFB" w:rsidRDefault="00674F14" w:rsidP="00D576BD">
            <w:pPr>
              <w:rPr>
                <w:rFonts w:ascii="Calibri" w:eastAsia="Calibri" w:hAnsi="Calibri" w:cs="Calibri"/>
                <w:i/>
                <w:iCs/>
                <w:sz w:val="18"/>
                <w:szCs w:val="18"/>
              </w:rPr>
            </w:pPr>
          </w:p>
          <w:p w14:paraId="031B4E8C" w14:textId="77777777" w:rsidR="00674F14" w:rsidRPr="00024BFB" w:rsidRDefault="00674F14" w:rsidP="00D576BD">
            <w:pPr>
              <w:rPr>
                <w:rFonts w:ascii="Calibri" w:eastAsia="Calibri" w:hAnsi="Calibri" w:cs="Calibri"/>
                <w:i/>
                <w:iCs/>
                <w:sz w:val="18"/>
                <w:szCs w:val="18"/>
              </w:rPr>
            </w:pPr>
          </w:p>
        </w:tc>
      </w:tr>
      <w:tr w:rsidR="00674F14" w:rsidRPr="00024BFB" w14:paraId="2BE80F61" w14:textId="77777777" w:rsidTr="00AA3F06">
        <w:trPr>
          <w:trHeight w:val="3649"/>
          <w:jc w:val="center"/>
        </w:trPr>
        <w:tc>
          <w:tcPr>
            <w:tcW w:w="9051" w:type="dxa"/>
            <w:tcBorders>
              <w:left w:val="single" w:sz="12" w:space="0" w:color="auto"/>
              <w:right w:val="single" w:sz="12" w:space="0" w:color="auto"/>
            </w:tcBorders>
          </w:tcPr>
          <w:p w14:paraId="3E252BF7" w14:textId="77777777" w:rsidR="00674F14" w:rsidRDefault="00674F14" w:rsidP="00D576BD">
            <w:pPr>
              <w:spacing w:line="257" w:lineRule="auto"/>
            </w:pPr>
            <w:r w:rsidRPr="60CF9279">
              <w:rPr>
                <w:rFonts w:ascii="Calibri" w:eastAsia="Calibri" w:hAnsi="Calibri" w:cs="Calibri"/>
              </w:rPr>
              <w:t>The action includes the following types of activities:</w:t>
            </w:r>
          </w:p>
          <w:p w14:paraId="33147108" w14:textId="77777777" w:rsidR="00674F14" w:rsidRDefault="00674F14" w:rsidP="00D576BD">
            <w:pPr>
              <w:spacing w:line="257" w:lineRule="auto"/>
            </w:pPr>
            <w:r w:rsidRPr="60CF9279">
              <w:rPr>
                <w:rFonts w:ascii="Calibri" w:eastAsia="Calibri" w:hAnsi="Calibri" w:cs="Calibri"/>
                <w:i/>
                <w:iCs/>
                <w:sz w:val="18"/>
                <w:szCs w:val="18"/>
              </w:rPr>
              <w:t>[These are examples of activities, in which the country or organisation could participate in. For more detailed information, including the objectives, please refer to the explanatory document(s) of this action.]</w:t>
            </w:r>
          </w:p>
          <w:p w14:paraId="324112A1" w14:textId="77777777" w:rsidR="00674F14" w:rsidRDefault="00674F14" w:rsidP="00D576BD">
            <w:pPr>
              <w:spacing w:line="257" w:lineRule="auto"/>
              <w:rPr>
                <w:rFonts w:ascii="Calibri" w:eastAsia="Calibri" w:hAnsi="Calibri" w:cs="Calibri"/>
                <w:i/>
                <w:iCs/>
                <w:sz w:val="18"/>
                <w:szCs w:val="18"/>
              </w:rPr>
            </w:pPr>
          </w:p>
          <w:p w14:paraId="05747259" w14:textId="77777777" w:rsidR="00674F14" w:rsidRPr="00674F14" w:rsidRDefault="00674F14" w:rsidP="00674F14">
            <w:pPr>
              <w:pStyle w:val="paragraph"/>
              <w:numPr>
                <w:ilvl w:val="0"/>
                <w:numId w:val="13"/>
              </w:numPr>
              <w:spacing w:before="0" w:beforeAutospacing="0" w:after="0" w:afterAutospacing="0"/>
              <w:jc w:val="both"/>
              <w:textAlignment w:val="baseline"/>
              <w:rPr>
                <w:rStyle w:val="normaltextrun"/>
                <w:rFonts w:ascii="Calibri" w:hAnsi="Calibri" w:cs="Calibri"/>
                <w:sz w:val="20"/>
                <w:szCs w:val="22"/>
              </w:rPr>
            </w:pPr>
            <w:r w:rsidRPr="00674F14">
              <w:rPr>
                <w:rStyle w:val="normaltextrun"/>
                <w:rFonts w:ascii="Calibri" w:hAnsi="Calibri" w:cs="Calibri"/>
                <w:sz w:val="20"/>
                <w:szCs w:val="22"/>
              </w:rPr>
              <w:t>Participating in meetings and events of the Commission and ESFRI related to the several activities of Action 8</w:t>
            </w:r>
          </w:p>
          <w:p w14:paraId="5F537B39" w14:textId="77777777" w:rsidR="00674F14" w:rsidRPr="00674F14" w:rsidRDefault="00674F14" w:rsidP="00674F14">
            <w:pPr>
              <w:pStyle w:val="paragraph"/>
              <w:numPr>
                <w:ilvl w:val="0"/>
                <w:numId w:val="13"/>
              </w:numPr>
              <w:spacing w:before="0" w:beforeAutospacing="0" w:after="0" w:afterAutospacing="0"/>
              <w:jc w:val="both"/>
              <w:textAlignment w:val="baseline"/>
              <w:rPr>
                <w:rStyle w:val="normaltextrun"/>
                <w:rFonts w:ascii="Calibri" w:hAnsi="Calibri" w:cs="Calibri"/>
                <w:sz w:val="20"/>
                <w:szCs w:val="22"/>
              </w:rPr>
            </w:pPr>
            <w:r w:rsidRPr="00674F14">
              <w:rPr>
                <w:rStyle w:val="normaltextrun"/>
                <w:rFonts w:ascii="Calibri" w:hAnsi="Calibri" w:cs="Calibri"/>
                <w:sz w:val="20"/>
                <w:szCs w:val="22"/>
              </w:rPr>
              <w:t>Participating in consultation on possible co-funding of access to research infrastructures</w:t>
            </w:r>
          </w:p>
          <w:p w14:paraId="20AB3112" w14:textId="77777777" w:rsidR="00674F14" w:rsidRPr="00674F14" w:rsidRDefault="00674F14" w:rsidP="00674F14">
            <w:pPr>
              <w:pStyle w:val="paragraph"/>
              <w:numPr>
                <w:ilvl w:val="0"/>
                <w:numId w:val="13"/>
              </w:numPr>
              <w:spacing w:before="0" w:beforeAutospacing="0" w:after="0" w:afterAutospacing="0"/>
              <w:jc w:val="both"/>
              <w:textAlignment w:val="baseline"/>
              <w:rPr>
                <w:rStyle w:val="normaltextrun"/>
                <w:rFonts w:ascii="Calibri" w:hAnsi="Calibri" w:cs="Calibri"/>
                <w:sz w:val="20"/>
                <w:szCs w:val="22"/>
              </w:rPr>
            </w:pPr>
            <w:r w:rsidRPr="00674F14">
              <w:rPr>
                <w:rStyle w:val="normaltextrun"/>
                <w:rFonts w:ascii="Calibri" w:hAnsi="Calibri" w:cs="Calibri"/>
                <w:sz w:val="20"/>
                <w:szCs w:val="22"/>
              </w:rPr>
              <w:t>Providing information/data on national infrastructures or national nodes when relevant to the landscape analysis and to the monitoring</w:t>
            </w:r>
          </w:p>
          <w:p w14:paraId="62864093" w14:textId="77777777" w:rsidR="00674F14" w:rsidRPr="00674F14" w:rsidRDefault="00674F14" w:rsidP="00674F14">
            <w:pPr>
              <w:pStyle w:val="paragraph"/>
              <w:numPr>
                <w:ilvl w:val="0"/>
                <w:numId w:val="13"/>
              </w:numPr>
              <w:spacing w:before="0" w:beforeAutospacing="0" w:after="0" w:afterAutospacing="0"/>
              <w:jc w:val="both"/>
              <w:textAlignment w:val="baseline"/>
              <w:rPr>
                <w:rStyle w:val="normaltextrun"/>
                <w:rFonts w:ascii="Calibri" w:hAnsi="Calibri" w:cs="Calibri"/>
                <w:sz w:val="20"/>
                <w:szCs w:val="22"/>
              </w:rPr>
            </w:pPr>
            <w:r w:rsidRPr="00674F14">
              <w:rPr>
                <w:rStyle w:val="normaltextrun"/>
                <w:rFonts w:ascii="Calibri" w:hAnsi="Calibri" w:cs="Calibri"/>
                <w:sz w:val="20"/>
                <w:szCs w:val="22"/>
              </w:rPr>
              <w:t>Mobilising synergies with national and regional funding when appropriate</w:t>
            </w:r>
          </w:p>
          <w:p w14:paraId="53683AB7" w14:textId="77777777" w:rsidR="00674F14" w:rsidRPr="00674F14" w:rsidRDefault="00674F14" w:rsidP="00674F14">
            <w:pPr>
              <w:pStyle w:val="paragraph"/>
              <w:numPr>
                <w:ilvl w:val="0"/>
                <w:numId w:val="13"/>
              </w:numPr>
              <w:spacing w:before="0" w:beforeAutospacing="0" w:after="0" w:afterAutospacing="0"/>
              <w:jc w:val="both"/>
              <w:textAlignment w:val="baseline"/>
              <w:rPr>
                <w:rStyle w:val="normaltextrun"/>
                <w:rFonts w:ascii="Calibri" w:hAnsi="Calibri" w:cs="Calibri"/>
                <w:sz w:val="20"/>
                <w:szCs w:val="22"/>
              </w:rPr>
            </w:pPr>
            <w:r w:rsidRPr="00674F14">
              <w:rPr>
                <w:rStyle w:val="normaltextrun"/>
                <w:rFonts w:ascii="Calibri" w:hAnsi="Calibri" w:cs="Calibri"/>
                <w:sz w:val="20"/>
                <w:szCs w:val="22"/>
              </w:rPr>
              <w:t>Ensuring appropriate representation of national stakeholders in relevant activities under this action</w:t>
            </w:r>
          </w:p>
          <w:p w14:paraId="60A16D39" w14:textId="77777777" w:rsidR="00674F14" w:rsidRPr="00024BFB" w:rsidRDefault="00674F14" w:rsidP="00D576BD">
            <w:pPr>
              <w:pStyle w:val="paragraph"/>
              <w:spacing w:before="0" w:beforeAutospacing="0" w:after="0" w:afterAutospacing="0"/>
              <w:textAlignment w:val="baseline"/>
            </w:pPr>
          </w:p>
        </w:tc>
      </w:tr>
      <w:tr w:rsidR="00674F14" w:rsidRPr="00024BFB" w14:paraId="5774B3A6" w14:textId="77777777" w:rsidTr="00AA3F06">
        <w:trPr>
          <w:jc w:val="center"/>
        </w:trPr>
        <w:tc>
          <w:tcPr>
            <w:tcW w:w="9051" w:type="dxa"/>
            <w:tcBorders>
              <w:left w:val="single" w:sz="12" w:space="0" w:color="auto"/>
              <w:right w:val="single" w:sz="12" w:space="0" w:color="auto"/>
            </w:tcBorders>
          </w:tcPr>
          <w:p w14:paraId="00A2D6C1" w14:textId="2794FA26" w:rsidR="00674F14" w:rsidRPr="00024BFB" w:rsidRDefault="00674F14" w:rsidP="00D576BD">
            <w:r w:rsidRPr="60CF9279">
              <w:rPr>
                <w:rFonts w:ascii="Calibri" w:eastAsia="Calibri" w:hAnsi="Calibri" w:cs="Calibri"/>
              </w:rPr>
              <w:t>Comments, planned or ongoing activities regarding the implementation of the action</w:t>
            </w:r>
            <w:r>
              <w:rPr>
                <w:rStyle w:val="FootnoteReference"/>
                <w:rFonts w:ascii="Calibri" w:eastAsia="Calibri" w:hAnsi="Calibri" w:cs="Calibri"/>
              </w:rPr>
              <w:footnoteReference w:id="1"/>
            </w:r>
            <w:r w:rsidRPr="60CF9279">
              <w:rPr>
                <w:rFonts w:ascii="Calibri" w:eastAsia="Calibri" w:hAnsi="Calibri" w:cs="Calibri"/>
              </w:rPr>
              <w:t>:</w:t>
            </w:r>
          </w:p>
          <w:p w14:paraId="02156DC7" w14:textId="77777777" w:rsidR="00674F14" w:rsidRPr="00024BFB" w:rsidRDefault="00674F14" w:rsidP="00D576BD">
            <w:pPr>
              <w:spacing w:line="257" w:lineRule="auto"/>
            </w:pPr>
            <w:r w:rsidRPr="60CF9279">
              <w:rPr>
                <w:rFonts w:ascii="Calibri" w:eastAsia="Calibri" w:hAnsi="Calibri" w:cs="Calibri"/>
                <w:i/>
                <w:iCs/>
                <w:sz w:val="18"/>
                <w:szCs w:val="18"/>
              </w:rPr>
              <w:t>[Activities at the level of countries or organisations can be shared in this box. The activities could include national measures (e.g. reforms, initiatives, studies), the participation in EU-level activities, which are described in the explanatory document, and the engagement in transnational activities with other Member States, associated or third countries. Moreover, any other comments can be added.]</w:t>
            </w:r>
          </w:p>
          <w:p w14:paraId="0B211F99" w14:textId="77777777" w:rsidR="00674F14" w:rsidRPr="00024BFB" w:rsidRDefault="00674F14" w:rsidP="00D576BD">
            <w:pPr>
              <w:spacing w:line="257" w:lineRule="auto"/>
              <w:rPr>
                <w:rFonts w:ascii="Calibri" w:eastAsia="Calibri" w:hAnsi="Calibri" w:cs="Calibri"/>
                <w:i/>
                <w:iCs/>
                <w:sz w:val="18"/>
                <w:szCs w:val="18"/>
              </w:rPr>
            </w:pPr>
          </w:p>
          <w:p w14:paraId="10C5E751" w14:textId="77777777" w:rsidR="00674F14" w:rsidRPr="00024BFB" w:rsidRDefault="00674F14" w:rsidP="00D576BD">
            <w:pPr>
              <w:spacing w:line="257" w:lineRule="auto"/>
              <w:rPr>
                <w:rFonts w:ascii="Calibri" w:eastAsia="Calibri" w:hAnsi="Calibri" w:cs="Calibri"/>
                <w:i/>
                <w:iCs/>
                <w:sz w:val="18"/>
                <w:szCs w:val="18"/>
              </w:rPr>
            </w:pPr>
          </w:p>
          <w:p w14:paraId="1347D881" w14:textId="77777777" w:rsidR="00674F14" w:rsidRPr="00024BFB" w:rsidRDefault="00674F14" w:rsidP="00D576BD">
            <w:pPr>
              <w:spacing w:line="257" w:lineRule="auto"/>
              <w:rPr>
                <w:rFonts w:ascii="Calibri" w:eastAsia="Calibri" w:hAnsi="Calibri" w:cs="Calibri"/>
                <w:i/>
                <w:iCs/>
                <w:sz w:val="18"/>
                <w:szCs w:val="18"/>
              </w:rPr>
            </w:pPr>
          </w:p>
          <w:p w14:paraId="46499193" w14:textId="77777777" w:rsidR="00674F14" w:rsidRPr="00024BFB" w:rsidRDefault="00674F14" w:rsidP="00D576BD">
            <w:pPr>
              <w:spacing w:line="257" w:lineRule="auto"/>
              <w:rPr>
                <w:rFonts w:ascii="Calibri" w:eastAsia="Calibri" w:hAnsi="Calibri" w:cs="Calibri"/>
                <w:i/>
                <w:iCs/>
                <w:sz w:val="18"/>
                <w:szCs w:val="18"/>
              </w:rPr>
            </w:pPr>
          </w:p>
          <w:p w14:paraId="0F627D89" w14:textId="77777777" w:rsidR="00674F14" w:rsidRPr="00024BFB" w:rsidRDefault="00674F14" w:rsidP="00D576BD">
            <w:pPr>
              <w:spacing w:line="257" w:lineRule="auto"/>
              <w:rPr>
                <w:rFonts w:ascii="Calibri" w:eastAsia="Calibri" w:hAnsi="Calibri" w:cs="Calibri"/>
                <w:i/>
                <w:iCs/>
                <w:sz w:val="18"/>
                <w:szCs w:val="18"/>
              </w:rPr>
            </w:pPr>
          </w:p>
          <w:p w14:paraId="5076AF09" w14:textId="77777777" w:rsidR="00674F14" w:rsidRPr="00024BFB" w:rsidRDefault="00674F14" w:rsidP="00D576BD">
            <w:pPr>
              <w:spacing w:line="257" w:lineRule="auto"/>
              <w:rPr>
                <w:rFonts w:ascii="Calibri" w:eastAsia="Calibri" w:hAnsi="Calibri" w:cs="Calibri"/>
                <w:i/>
                <w:iCs/>
                <w:sz w:val="18"/>
                <w:szCs w:val="18"/>
              </w:rPr>
            </w:pPr>
          </w:p>
          <w:p w14:paraId="7425C3EF" w14:textId="77777777" w:rsidR="00674F14" w:rsidRPr="00024BFB" w:rsidRDefault="00674F14" w:rsidP="00D576BD">
            <w:pPr>
              <w:spacing w:line="257" w:lineRule="auto"/>
              <w:rPr>
                <w:rFonts w:ascii="Calibri" w:eastAsia="Calibri" w:hAnsi="Calibri" w:cs="Calibri"/>
                <w:i/>
                <w:iCs/>
                <w:sz w:val="18"/>
                <w:szCs w:val="18"/>
              </w:rPr>
            </w:pPr>
          </w:p>
          <w:p w14:paraId="67DA9598" w14:textId="77777777" w:rsidR="00674F14" w:rsidRPr="00024BFB" w:rsidRDefault="00674F14" w:rsidP="00D576BD">
            <w:pPr>
              <w:spacing w:line="257" w:lineRule="auto"/>
              <w:rPr>
                <w:rFonts w:ascii="Calibri" w:eastAsia="Calibri" w:hAnsi="Calibri" w:cs="Calibri"/>
                <w:i/>
                <w:iCs/>
                <w:sz w:val="18"/>
                <w:szCs w:val="18"/>
              </w:rPr>
            </w:pPr>
          </w:p>
          <w:p w14:paraId="47A9C61B" w14:textId="77777777" w:rsidR="00674F14" w:rsidRPr="00024BFB" w:rsidRDefault="00674F14" w:rsidP="00D576BD">
            <w:pPr>
              <w:spacing w:line="257" w:lineRule="auto"/>
              <w:rPr>
                <w:rFonts w:ascii="Calibri" w:eastAsia="Calibri" w:hAnsi="Calibri" w:cs="Calibri"/>
                <w:i/>
                <w:iCs/>
                <w:sz w:val="18"/>
                <w:szCs w:val="18"/>
              </w:rPr>
            </w:pPr>
          </w:p>
          <w:p w14:paraId="5721C423" w14:textId="77777777" w:rsidR="00674F14" w:rsidRPr="00024BFB" w:rsidRDefault="00674F14" w:rsidP="00D576BD">
            <w:pPr>
              <w:spacing w:line="257" w:lineRule="auto"/>
              <w:rPr>
                <w:rFonts w:ascii="Calibri" w:eastAsia="Calibri" w:hAnsi="Calibri" w:cs="Calibri"/>
                <w:i/>
                <w:iCs/>
                <w:sz w:val="18"/>
                <w:szCs w:val="18"/>
              </w:rPr>
            </w:pPr>
          </w:p>
          <w:p w14:paraId="456E53BF" w14:textId="77777777" w:rsidR="00674F14" w:rsidRPr="00024BFB" w:rsidRDefault="00674F14" w:rsidP="00D576BD">
            <w:pPr>
              <w:spacing w:line="257" w:lineRule="auto"/>
              <w:rPr>
                <w:rFonts w:ascii="Calibri" w:eastAsia="Calibri" w:hAnsi="Calibri" w:cs="Calibri"/>
                <w:i/>
                <w:iCs/>
                <w:sz w:val="18"/>
                <w:szCs w:val="18"/>
              </w:rPr>
            </w:pPr>
          </w:p>
          <w:p w14:paraId="348FA8D8" w14:textId="77777777" w:rsidR="00674F14" w:rsidRPr="00024BFB" w:rsidRDefault="00674F14" w:rsidP="00D576BD">
            <w:pPr>
              <w:spacing w:line="257" w:lineRule="auto"/>
              <w:rPr>
                <w:rFonts w:ascii="Calibri" w:eastAsia="Calibri" w:hAnsi="Calibri" w:cs="Calibri"/>
                <w:i/>
                <w:iCs/>
                <w:sz w:val="18"/>
                <w:szCs w:val="18"/>
              </w:rPr>
            </w:pPr>
          </w:p>
          <w:p w14:paraId="064D33E0" w14:textId="77777777" w:rsidR="00674F14" w:rsidRPr="00024BFB" w:rsidRDefault="00674F14" w:rsidP="00D576BD">
            <w:pPr>
              <w:spacing w:line="257" w:lineRule="auto"/>
              <w:rPr>
                <w:rFonts w:ascii="Calibri" w:eastAsia="Calibri" w:hAnsi="Calibri" w:cs="Calibri"/>
                <w:i/>
                <w:iCs/>
                <w:sz w:val="18"/>
                <w:szCs w:val="18"/>
              </w:rPr>
            </w:pPr>
          </w:p>
          <w:p w14:paraId="5ACBBDD6" w14:textId="77777777" w:rsidR="00674F14" w:rsidRPr="00024BFB" w:rsidRDefault="00674F14" w:rsidP="00D576BD">
            <w:pPr>
              <w:spacing w:line="257" w:lineRule="auto"/>
              <w:rPr>
                <w:rFonts w:ascii="Calibri" w:eastAsia="Calibri" w:hAnsi="Calibri" w:cs="Calibri"/>
                <w:i/>
                <w:iCs/>
                <w:sz w:val="18"/>
                <w:szCs w:val="18"/>
              </w:rPr>
            </w:pPr>
          </w:p>
          <w:p w14:paraId="553EB40D" w14:textId="77777777" w:rsidR="00674F14" w:rsidRPr="00024BFB" w:rsidRDefault="00674F14" w:rsidP="00D576BD">
            <w:pPr>
              <w:spacing w:line="257" w:lineRule="auto"/>
              <w:rPr>
                <w:rFonts w:ascii="Calibri" w:eastAsia="Calibri" w:hAnsi="Calibri" w:cs="Calibri"/>
                <w:i/>
                <w:iCs/>
                <w:sz w:val="18"/>
                <w:szCs w:val="18"/>
              </w:rPr>
            </w:pPr>
          </w:p>
          <w:p w14:paraId="618E337B" w14:textId="77777777" w:rsidR="00674F14" w:rsidRPr="00024BFB" w:rsidRDefault="00674F14" w:rsidP="00D576BD">
            <w:pPr>
              <w:spacing w:line="257" w:lineRule="auto"/>
              <w:rPr>
                <w:rFonts w:ascii="Calibri" w:eastAsia="Calibri" w:hAnsi="Calibri" w:cs="Calibri"/>
                <w:i/>
                <w:iCs/>
                <w:sz w:val="18"/>
                <w:szCs w:val="18"/>
              </w:rPr>
            </w:pPr>
          </w:p>
          <w:p w14:paraId="2759F0F1" w14:textId="77777777" w:rsidR="00674F14" w:rsidRPr="00024BFB" w:rsidRDefault="00674F14" w:rsidP="00D576BD">
            <w:pPr>
              <w:spacing w:line="257" w:lineRule="auto"/>
              <w:rPr>
                <w:rFonts w:ascii="Calibri" w:eastAsia="Calibri" w:hAnsi="Calibri" w:cs="Calibri"/>
                <w:i/>
                <w:iCs/>
                <w:sz w:val="18"/>
                <w:szCs w:val="18"/>
              </w:rPr>
            </w:pPr>
          </w:p>
          <w:p w14:paraId="407D1FAC" w14:textId="77777777" w:rsidR="00674F14" w:rsidRPr="00024BFB" w:rsidRDefault="00674F14" w:rsidP="00D576BD">
            <w:pPr>
              <w:spacing w:line="257" w:lineRule="auto"/>
              <w:rPr>
                <w:rFonts w:ascii="Calibri" w:eastAsia="Calibri" w:hAnsi="Calibri" w:cs="Calibri"/>
                <w:i/>
                <w:iCs/>
                <w:sz w:val="18"/>
                <w:szCs w:val="18"/>
              </w:rPr>
            </w:pPr>
          </w:p>
          <w:p w14:paraId="1B34E653" w14:textId="77777777" w:rsidR="00674F14" w:rsidRPr="00024BFB" w:rsidRDefault="00674F14" w:rsidP="00D576BD">
            <w:pPr>
              <w:rPr>
                <w:lang w:val="en-IE"/>
              </w:rPr>
            </w:pPr>
          </w:p>
        </w:tc>
      </w:tr>
    </w:tbl>
    <w:p w14:paraId="182BD079" w14:textId="74A4E04D" w:rsidR="00674F14" w:rsidRDefault="00674F14" w:rsidP="00612C8D">
      <w:r>
        <w:br w:type="page"/>
      </w:r>
    </w:p>
    <w:p w14:paraId="3D138C34" w14:textId="77777777" w:rsidR="00674F14" w:rsidRPr="00AA3F06" w:rsidRDefault="00674F14" w:rsidP="00674F14">
      <w:pPr>
        <w:pStyle w:val="Header"/>
        <w:ind w:left="-115"/>
        <w:jc w:val="center"/>
        <w:rPr>
          <w:i/>
        </w:rPr>
      </w:pPr>
      <w:bookmarkStart w:id="0" w:name="_GoBack"/>
      <w:r w:rsidRPr="00AA3F06">
        <w:rPr>
          <w:i/>
        </w:rPr>
        <w:lastRenderedPageBreak/>
        <w:t>This document is a working document and should not be considered as representative of the European Commission’s official position.</w:t>
      </w:r>
    </w:p>
    <w:bookmarkEnd w:id="0"/>
    <w:p w14:paraId="31F670D9" w14:textId="77777777" w:rsidR="00674F14" w:rsidRDefault="00674F14" w:rsidP="00674F14">
      <w:pPr>
        <w:jc w:val="center"/>
      </w:pPr>
    </w:p>
    <w:p w14:paraId="5653F305" w14:textId="77777777" w:rsidR="00674F14" w:rsidRPr="007E3B29" w:rsidRDefault="00674F14" w:rsidP="00674F14">
      <w:pPr>
        <w:jc w:val="center"/>
        <w:rPr>
          <w:u w:val="single"/>
        </w:rPr>
      </w:pPr>
      <w:r w:rsidRPr="007E3B29">
        <w:rPr>
          <w:u w:val="single"/>
        </w:rPr>
        <w:t>EXPLANATORY DOCUMENT</w:t>
      </w:r>
    </w:p>
    <w:tbl>
      <w:tblPr>
        <w:tblStyle w:val="TableNormal1"/>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right w:w="57" w:type="dxa"/>
        </w:tblCellMar>
        <w:tblLook w:val="01E0" w:firstRow="1" w:lastRow="1" w:firstColumn="1" w:lastColumn="1" w:noHBand="0" w:noVBand="0"/>
      </w:tblPr>
      <w:tblGrid>
        <w:gridCol w:w="2388"/>
        <w:gridCol w:w="6964"/>
      </w:tblGrid>
      <w:tr w:rsidR="00674F14" w:rsidRPr="009F7E55" w14:paraId="4A3B3B1B" w14:textId="77777777" w:rsidTr="00D44014">
        <w:trPr>
          <w:trHeight w:val="510"/>
        </w:trPr>
        <w:tc>
          <w:tcPr>
            <w:tcW w:w="9352" w:type="dxa"/>
            <w:gridSpan w:val="2"/>
          </w:tcPr>
          <w:p w14:paraId="08C35FB4" w14:textId="774D1021" w:rsidR="00674F14" w:rsidRPr="009F7E55" w:rsidRDefault="00674F14" w:rsidP="00674F14">
            <w:pPr>
              <w:pStyle w:val="TableParagraph"/>
              <w:ind w:left="107" w:right="127"/>
              <w:rPr>
                <w:lang w:val="en-IE"/>
              </w:rPr>
            </w:pPr>
            <w:r w:rsidRPr="009F7E55">
              <w:rPr>
                <w:b/>
                <w:lang w:val="en-IE"/>
              </w:rPr>
              <w:t>Action 8. Strengthen sustainability, accessibility and resilience of research infrastructures in the ERA</w:t>
            </w:r>
          </w:p>
        </w:tc>
      </w:tr>
      <w:tr w:rsidR="00674F14" w:rsidRPr="009F7E55" w14:paraId="297E0E47" w14:textId="77777777" w:rsidTr="009D2B0E">
        <w:trPr>
          <w:trHeight w:val="712"/>
        </w:trPr>
        <w:tc>
          <w:tcPr>
            <w:tcW w:w="9352" w:type="dxa"/>
            <w:gridSpan w:val="2"/>
          </w:tcPr>
          <w:p w14:paraId="19032A64" w14:textId="4430E5B8" w:rsidR="00674F14" w:rsidRPr="009F7E55" w:rsidRDefault="00674F14" w:rsidP="00D576BD">
            <w:pPr>
              <w:pStyle w:val="TableParagraph"/>
              <w:spacing w:before="119"/>
              <w:ind w:left="107" w:right="127"/>
              <w:rPr>
                <w:lang w:val="en-IE"/>
              </w:rPr>
            </w:pPr>
            <w:r w:rsidRPr="009F7E55">
              <w:rPr>
                <w:i/>
                <w:lang w:val="en-IE"/>
              </w:rPr>
              <w:t>Contact point: Dominik Sobczak, Agnès Robin (RTD.A3)</w:t>
            </w:r>
          </w:p>
        </w:tc>
      </w:tr>
      <w:tr w:rsidR="00674F14" w:rsidRPr="009F7E55" w14:paraId="549E7298" w14:textId="77777777" w:rsidTr="00674F14">
        <w:trPr>
          <w:trHeight w:val="1701"/>
        </w:trPr>
        <w:tc>
          <w:tcPr>
            <w:tcW w:w="2388" w:type="dxa"/>
          </w:tcPr>
          <w:p w14:paraId="336311C1" w14:textId="5F1F40D1" w:rsidR="00674F14" w:rsidRPr="009F7E55" w:rsidRDefault="00674F14" w:rsidP="00674F14">
            <w:pPr>
              <w:pStyle w:val="TableParagraph"/>
              <w:spacing w:before="121"/>
              <w:ind w:left="340"/>
              <w:rPr>
                <w:b/>
                <w:lang w:val="en-IE"/>
              </w:rPr>
            </w:pPr>
            <w:r w:rsidRPr="009F7E55">
              <w:rPr>
                <w:b/>
                <w:lang w:val="en-IE"/>
              </w:rPr>
              <w:t>1. Description</w:t>
            </w:r>
          </w:p>
        </w:tc>
        <w:tc>
          <w:tcPr>
            <w:tcW w:w="6964" w:type="dxa"/>
          </w:tcPr>
          <w:p w14:paraId="462FF8FD" w14:textId="77777777" w:rsidR="00674F14" w:rsidRPr="009F7E55" w:rsidRDefault="00674F14" w:rsidP="00674F14">
            <w:pPr>
              <w:pStyle w:val="TableParagraph"/>
              <w:spacing w:before="119"/>
              <w:ind w:left="107" w:right="127"/>
              <w:rPr>
                <w:lang w:val="en-IE"/>
              </w:rPr>
            </w:pPr>
            <w:r w:rsidRPr="009F7E55">
              <w:rPr>
                <w:lang w:val="en-IE"/>
              </w:rPr>
              <w:t xml:space="preserve">The creation of the European Research Area </w:t>
            </w:r>
            <w:r w:rsidRPr="009F7E55">
              <w:rPr>
                <w:sz w:val="20"/>
                <w:lang w:val="en-IE"/>
              </w:rPr>
              <w:t>(</w:t>
            </w:r>
            <w:r w:rsidRPr="009F7E55">
              <w:rPr>
                <w:lang w:val="en-IE"/>
              </w:rPr>
              <w:t>ERA), through European-level activities in the area of research infrastructures, such as the ESFRI Roadmaps and the ERIC Legal Framework, have radically transformed the availability of state-of-the-art facilities for scientists and innovators, reinforcing Europe’s strong research and innovation</w:t>
            </w:r>
            <w:r w:rsidRPr="009F7E55">
              <w:rPr>
                <w:spacing w:val="-9"/>
                <w:lang w:val="en-IE"/>
              </w:rPr>
              <w:t xml:space="preserve"> </w:t>
            </w:r>
            <w:r w:rsidRPr="009F7E55">
              <w:rPr>
                <w:lang w:val="en-IE"/>
              </w:rPr>
              <w:t>system.</w:t>
            </w:r>
          </w:p>
          <w:p w14:paraId="396FEC0C" w14:textId="77777777" w:rsidR="00674F14" w:rsidRPr="009F7E55" w:rsidRDefault="00674F14" w:rsidP="00674F14">
            <w:pPr>
              <w:pStyle w:val="TableParagraph"/>
              <w:spacing w:before="121"/>
              <w:ind w:left="107" w:right="91"/>
              <w:jc w:val="both"/>
              <w:rPr>
                <w:lang w:val="en-IE"/>
              </w:rPr>
            </w:pPr>
            <w:r w:rsidRPr="009F7E55">
              <w:rPr>
                <w:lang w:val="en-IE"/>
              </w:rPr>
              <w:t>As the maturity of the research infrastructure landscape grows, new challenges emerge which require maintaining excellence and competitiveness of the ERA in the long term while better addressing scientific and political needs, notably key societal challenges. For that purpose, we must take stock of the European research infrastructure landscape and identify possible gaps and directions for future development, ensure that all researchers and innovators in Europe can access research infrastructures to address their needs and increase the impact on the economy and</w:t>
            </w:r>
            <w:r w:rsidRPr="009F7E55">
              <w:rPr>
                <w:spacing w:val="-10"/>
                <w:lang w:val="en-IE"/>
              </w:rPr>
              <w:t xml:space="preserve"> </w:t>
            </w:r>
            <w:r w:rsidRPr="009F7E55">
              <w:rPr>
                <w:lang w:val="en-IE"/>
              </w:rPr>
              <w:t>society.</w:t>
            </w:r>
          </w:p>
          <w:p w14:paraId="15BF5A55" w14:textId="77777777" w:rsidR="00674F14" w:rsidRPr="009F7E55" w:rsidRDefault="00674F14" w:rsidP="00674F14">
            <w:pPr>
              <w:pStyle w:val="TableParagraph"/>
              <w:spacing w:before="120"/>
              <w:ind w:left="107" w:right="91"/>
              <w:jc w:val="both"/>
              <w:rPr>
                <w:lang w:val="en-IE"/>
              </w:rPr>
            </w:pPr>
            <w:r w:rsidRPr="009F7E55">
              <w:rPr>
                <w:lang w:val="en-IE"/>
              </w:rPr>
              <w:t>This action consists of a set of activities specifically aimed at addressing the above objectives and strengthening the European research infrastructure ‘ecosystem’.</w:t>
            </w:r>
          </w:p>
          <w:p w14:paraId="68F93DC7" w14:textId="77777777" w:rsidR="00674F14" w:rsidRPr="009F7E55" w:rsidRDefault="00674F14" w:rsidP="00674F14">
            <w:pPr>
              <w:pStyle w:val="TableParagraph"/>
              <w:numPr>
                <w:ilvl w:val="0"/>
                <w:numId w:val="21"/>
              </w:numPr>
              <w:tabs>
                <w:tab w:val="left" w:pos="468"/>
                <w:tab w:val="left" w:pos="469"/>
              </w:tabs>
              <w:spacing w:before="121"/>
              <w:ind w:hanging="362"/>
              <w:rPr>
                <w:b/>
                <w:lang w:val="en-IE"/>
              </w:rPr>
            </w:pPr>
            <w:r w:rsidRPr="009F7E55">
              <w:rPr>
                <w:b/>
                <w:lang w:val="en-IE"/>
              </w:rPr>
              <w:t>Strategic analysis of the European Research Infrastructure</w:t>
            </w:r>
            <w:r w:rsidRPr="009F7E55">
              <w:rPr>
                <w:b/>
                <w:spacing w:val="-19"/>
                <w:lang w:val="en-IE"/>
              </w:rPr>
              <w:t xml:space="preserve"> </w:t>
            </w:r>
            <w:r w:rsidRPr="009F7E55">
              <w:rPr>
                <w:b/>
                <w:lang w:val="en-IE"/>
              </w:rPr>
              <w:t>landscape</w:t>
            </w:r>
          </w:p>
          <w:p w14:paraId="3CC3DF66" w14:textId="77777777" w:rsidR="00674F14" w:rsidRPr="009F7E55" w:rsidRDefault="00674F14" w:rsidP="00674F14">
            <w:pPr>
              <w:pStyle w:val="TableParagraph"/>
              <w:spacing w:before="120"/>
              <w:ind w:left="482" w:right="90"/>
              <w:jc w:val="both"/>
              <w:rPr>
                <w:lang w:val="en-IE"/>
              </w:rPr>
            </w:pPr>
            <w:r w:rsidRPr="009F7E55">
              <w:rPr>
                <w:lang w:val="en-IE"/>
              </w:rPr>
              <w:t>This activity encompasses a process to identify current and emerging scientific and societal needs and priority settings as a reference . A gap analysis of the landscape will be conducted against this reference  taking into account</w:t>
            </w:r>
            <w:r w:rsidRPr="009F7E55">
              <w:rPr>
                <w:spacing w:val="-11"/>
                <w:lang w:val="en-IE"/>
              </w:rPr>
              <w:t xml:space="preserve"> </w:t>
            </w:r>
            <w:r w:rsidRPr="009F7E55">
              <w:rPr>
                <w:lang w:val="en-IE"/>
              </w:rPr>
              <w:t>the</w:t>
            </w:r>
            <w:r w:rsidRPr="009F7E55">
              <w:rPr>
                <w:spacing w:val="-11"/>
                <w:lang w:val="en-IE"/>
              </w:rPr>
              <w:t xml:space="preserve"> European and </w:t>
            </w:r>
            <w:r w:rsidRPr="009F7E55">
              <w:rPr>
                <w:lang w:val="en-IE"/>
              </w:rPr>
              <w:t>global</w:t>
            </w:r>
            <w:r w:rsidRPr="009F7E55">
              <w:rPr>
                <w:spacing w:val="-11"/>
                <w:lang w:val="en-IE"/>
              </w:rPr>
              <w:t xml:space="preserve"> </w:t>
            </w:r>
            <w:r w:rsidRPr="009F7E55">
              <w:rPr>
                <w:lang w:val="en-IE"/>
              </w:rPr>
              <w:t>research</w:t>
            </w:r>
            <w:r w:rsidRPr="009F7E55">
              <w:rPr>
                <w:spacing w:val="-12"/>
                <w:lang w:val="en-IE"/>
              </w:rPr>
              <w:t xml:space="preserve"> </w:t>
            </w:r>
            <w:r w:rsidRPr="009F7E55">
              <w:rPr>
                <w:lang w:val="en-IE"/>
              </w:rPr>
              <w:t>infrastructure</w:t>
            </w:r>
            <w:r w:rsidRPr="009F7E55">
              <w:rPr>
                <w:spacing w:val="-8"/>
                <w:lang w:val="en-IE"/>
              </w:rPr>
              <w:t xml:space="preserve"> </w:t>
            </w:r>
            <w:r w:rsidRPr="009F7E55">
              <w:rPr>
                <w:lang w:val="en-IE"/>
              </w:rPr>
              <w:t>landscape as well as the national and, when relevant, interregional initiatives.</w:t>
            </w:r>
            <w:r w:rsidRPr="009F7E55">
              <w:rPr>
                <w:spacing w:val="-9"/>
                <w:lang w:val="en-IE"/>
              </w:rPr>
              <w:t xml:space="preserve"> </w:t>
            </w:r>
            <w:r w:rsidRPr="009F7E55">
              <w:rPr>
                <w:lang w:val="en-IE"/>
              </w:rPr>
              <w:t>It</w:t>
            </w:r>
            <w:r w:rsidRPr="009F7E55">
              <w:rPr>
                <w:spacing w:val="-11"/>
                <w:lang w:val="en-IE"/>
              </w:rPr>
              <w:t xml:space="preserve"> </w:t>
            </w:r>
            <w:r w:rsidRPr="009F7E55">
              <w:rPr>
                <w:lang w:val="en-IE"/>
              </w:rPr>
              <w:t>must</w:t>
            </w:r>
            <w:r w:rsidRPr="009F7E55">
              <w:rPr>
                <w:spacing w:val="-8"/>
                <w:lang w:val="en-IE"/>
              </w:rPr>
              <w:t xml:space="preserve"> </w:t>
            </w:r>
            <w:r w:rsidRPr="009F7E55">
              <w:rPr>
                <w:lang w:val="en-IE"/>
              </w:rPr>
              <w:t>provide</w:t>
            </w:r>
            <w:r w:rsidRPr="009F7E55">
              <w:rPr>
                <w:spacing w:val="-10"/>
                <w:lang w:val="en-IE"/>
              </w:rPr>
              <w:t xml:space="preserve"> </w:t>
            </w:r>
            <w:r w:rsidRPr="009F7E55">
              <w:rPr>
                <w:lang w:val="en-IE"/>
              </w:rPr>
              <w:t>a framework for the next ESFRI Roadmap, the implementation of the EOSC Strategic Research and Innovation Agenda and for the development of new research infrastructure services including, when needed, infrastructure clustering for pan-European thematic or interdisciplinary</w:t>
            </w:r>
            <w:r w:rsidRPr="009F7E55">
              <w:rPr>
                <w:spacing w:val="-3"/>
                <w:lang w:val="en-IE"/>
              </w:rPr>
              <w:t xml:space="preserve"> </w:t>
            </w:r>
            <w:r w:rsidRPr="009F7E55">
              <w:rPr>
                <w:lang w:val="en-IE"/>
              </w:rPr>
              <w:t>services.</w:t>
            </w:r>
          </w:p>
          <w:p w14:paraId="415E194E" w14:textId="77777777" w:rsidR="00674F14" w:rsidRPr="009F7E55" w:rsidRDefault="00674F14" w:rsidP="00674F14">
            <w:pPr>
              <w:pStyle w:val="TableParagraph"/>
              <w:spacing w:before="120"/>
              <w:ind w:left="482" w:right="89"/>
              <w:jc w:val="both"/>
              <w:rPr>
                <w:lang w:val="en-IE"/>
              </w:rPr>
            </w:pPr>
            <w:r w:rsidRPr="009F7E55">
              <w:rPr>
                <w:lang w:val="en-IE"/>
              </w:rPr>
              <w:t>In practice, a new streamlined methodology will be developed,</w:t>
            </w:r>
            <w:r w:rsidRPr="009F7E55">
              <w:rPr>
                <w:spacing w:val="-28"/>
                <w:lang w:val="en-IE"/>
              </w:rPr>
              <w:t xml:space="preserve"> </w:t>
            </w:r>
            <w:r w:rsidRPr="009F7E55">
              <w:rPr>
                <w:lang w:val="en-IE"/>
              </w:rPr>
              <w:t>building on the ESFRI experience in the landscape analysis and relevant national activities. The methodology will be implemented and will also be complemented by a gap analysis in key areas to be selected, such as climate, health or digital, keeping in view political and societal challenges. Based on the gap analysis, the direction of one or few pilot research infrastructures services in these areas will be proposed and considered for more elaborated design (e.g. under Horizon Europe). Lessons learnt will help to validate and improve the landscape analysis</w:t>
            </w:r>
            <w:r w:rsidRPr="009F7E55">
              <w:rPr>
                <w:spacing w:val="-3"/>
                <w:lang w:val="en-IE"/>
              </w:rPr>
              <w:t xml:space="preserve"> </w:t>
            </w:r>
            <w:r w:rsidRPr="009F7E55">
              <w:rPr>
                <w:lang w:val="en-IE"/>
              </w:rPr>
              <w:t>methodology.</w:t>
            </w:r>
          </w:p>
          <w:p w14:paraId="51FDA997" w14:textId="77777777" w:rsidR="00674F14" w:rsidRPr="009F7E55" w:rsidRDefault="00674F14" w:rsidP="00674F14">
            <w:pPr>
              <w:pStyle w:val="TableParagraph"/>
              <w:numPr>
                <w:ilvl w:val="0"/>
                <w:numId w:val="21"/>
              </w:numPr>
              <w:tabs>
                <w:tab w:val="left" w:pos="469"/>
              </w:tabs>
              <w:spacing w:before="120"/>
              <w:ind w:right="99"/>
              <w:jc w:val="both"/>
              <w:rPr>
                <w:b/>
                <w:lang w:val="en-IE"/>
              </w:rPr>
            </w:pPr>
            <w:r w:rsidRPr="009F7E55">
              <w:rPr>
                <w:b/>
                <w:lang w:val="en-IE"/>
              </w:rPr>
              <w:lastRenderedPageBreak/>
              <w:t>Broader and more sustainable access for all countries to European research infrastructures and their services and revision of the European Charter of Access to Research</w:t>
            </w:r>
            <w:r w:rsidRPr="009F7E55">
              <w:rPr>
                <w:b/>
                <w:spacing w:val="-10"/>
                <w:lang w:val="en-IE"/>
              </w:rPr>
              <w:t xml:space="preserve"> </w:t>
            </w:r>
            <w:r w:rsidRPr="009F7E55">
              <w:rPr>
                <w:b/>
                <w:lang w:val="en-IE"/>
              </w:rPr>
              <w:t>Infrastructures</w:t>
            </w:r>
          </w:p>
          <w:p w14:paraId="0B5FE10C" w14:textId="77777777" w:rsidR="00674F14" w:rsidRPr="009F7E55" w:rsidRDefault="00674F14" w:rsidP="00674F14">
            <w:pPr>
              <w:pStyle w:val="TableParagraph"/>
              <w:spacing w:before="122"/>
              <w:ind w:left="482" w:right="91"/>
              <w:jc w:val="both"/>
              <w:rPr>
                <w:lang w:val="en-IE"/>
              </w:rPr>
            </w:pPr>
            <w:r w:rsidRPr="009F7E55">
              <w:rPr>
                <w:lang w:val="en-IE"/>
              </w:rPr>
              <w:t>This activity will address the continuing challenges on access to European research infrastructures. Legal or technical issues will be considered such as appropriate and interoperable interfaces for users, including from industry, issues related to digitalisation, knowledge management</w:t>
            </w:r>
            <w:r w:rsidRPr="009F7E55">
              <w:rPr>
                <w:spacing w:val="16"/>
                <w:lang w:val="en-IE"/>
              </w:rPr>
              <w:t xml:space="preserve"> </w:t>
            </w:r>
            <w:r w:rsidRPr="009F7E55">
              <w:rPr>
                <w:lang w:val="en-IE"/>
              </w:rPr>
              <w:t>and</w:t>
            </w:r>
            <w:r w:rsidRPr="009F7E55">
              <w:rPr>
                <w:spacing w:val="17"/>
                <w:lang w:val="en-IE"/>
              </w:rPr>
              <w:t xml:space="preserve"> </w:t>
            </w:r>
            <w:r w:rsidRPr="009F7E55">
              <w:rPr>
                <w:lang w:val="en-IE"/>
              </w:rPr>
              <w:t>innovation.</w:t>
            </w:r>
            <w:r w:rsidRPr="009F7E55">
              <w:rPr>
                <w:spacing w:val="18"/>
                <w:lang w:val="en-IE"/>
              </w:rPr>
              <w:t xml:space="preserve"> </w:t>
            </w:r>
            <w:r w:rsidRPr="009F7E55">
              <w:rPr>
                <w:lang w:val="en-IE"/>
              </w:rPr>
              <w:t>In</w:t>
            </w:r>
            <w:r w:rsidRPr="009F7E55">
              <w:rPr>
                <w:spacing w:val="17"/>
                <w:lang w:val="en-IE"/>
              </w:rPr>
              <w:t xml:space="preserve"> </w:t>
            </w:r>
            <w:r w:rsidRPr="009F7E55">
              <w:rPr>
                <w:lang w:val="en-IE"/>
              </w:rPr>
              <w:t>addition,</w:t>
            </w:r>
            <w:r w:rsidRPr="009F7E55">
              <w:rPr>
                <w:spacing w:val="17"/>
                <w:lang w:val="en-IE"/>
              </w:rPr>
              <w:t xml:space="preserve"> </w:t>
            </w:r>
            <w:r w:rsidRPr="009F7E55">
              <w:rPr>
                <w:lang w:val="en-IE"/>
              </w:rPr>
              <w:t>new</w:t>
            </w:r>
            <w:r w:rsidRPr="009F7E55">
              <w:rPr>
                <w:spacing w:val="17"/>
                <w:lang w:val="en-IE"/>
              </w:rPr>
              <w:t xml:space="preserve"> </w:t>
            </w:r>
            <w:r w:rsidRPr="009F7E55">
              <w:rPr>
                <w:lang w:val="en-IE"/>
              </w:rPr>
              <w:t>funding</w:t>
            </w:r>
            <w:r w:rsidRPr="009F7E55">
              <w:rPr>
                <w:spacing w:val="17"/>
                <w:lang w:val="en-IE"/>
              </w:rPr>
              <w:t xml:space="preserve"> </w:t>
            </w:r>
            <w:r w:rsidRPr="009F7E55">
              <w:rPr>
                <w:lang w:val="en-IE"/>
              </w:rPr>
              <w:t>models</w:t>
            </w:r>
            <w:r w:rsidRPr="009F7E55">
              <w:rPr>
                <w:spacing w:val="16"/>
                <w:lang w:val="en-IE"/>
              </w:rPr>
              <w:t xml:space="preserve"> </w:t>
            </w:r>
            <w:r w:rsidRPr="009F7E55">
              <w:rPr>
                <w:lang w:val="en-IE"/>
              </w:rPr>
              <w:t>will</w:t>
            </w:r>
            <w:r w:rsidRPr="009F7E55">
              <w:rPr>
                <w:spacing w:val="15"/>
                <w:lang w:val="en-IE"/>
              </w:rPr>
              <w:t xml:space="preserve"> </w:t>
            </w:r>
            <w:r w:rsidRPr="009F7E55">
              <w:rPr>
                <w:lang w:val="en-IE"/>
              </w:rPr>
              <w:t>be explored</w:t>
            </w:r>
            <w:r w:rsidRPr="009F7E55">
              <w:rPr>
                <w:spacing w:val="-7"/>
                <w:lang w:val="en-IE"/>
              </w:rPr>
              <w:t xml:space="preserve"> </w:t>
            </w:r>
            <w:r w:rsidRPr="009F7E55">
              <w:rPr>
                <w:lang w:val="en-IE"/>
              </w:rPr>
              <w:t>and</w:t>
            </w:r>
            <w:r w:rsidRPr="009F7E55">
              <w:rPr>
                <w:spacing w:val="-7"/>
                <w:lang w:val="en-IE"/>
              </w:rPr>
              <w:t xml:space="preserve"> </w:t>
            </w:r>
            <w:r w:rsidRPr="009F7E55">
              <w:rPr>
                <w:lang w:val="en-IE"/>
              </w:rPr>
              <w:t>piloted</w:t>
            </w:r>
            <w:r w:rsidRPr="009F7E55">
              <w:rPr>
                <w:spacing w:val="-8"/>
                <w:lang w:val="en-IE"/>
              </w:rPr>
              <w:t xml:space="preserve"> </w:t>
            </w:r>
            <w:r w:rsidRPr="009F7E55">
              <w:rPr>
                <w:lang w:val="en-IE"/>
              </w:rPr>
              <w:t>(including</w:t>
            </w:r>
            <w:r w:rsidRPr="009F7E55">
              <w:rPr>
                <w:spacing w:val="-7"/>
                <w:lang w:val="en-IE"/>
              </w:rPr>
              <w:t xml:space="preserve"> </w:t>
            </w:r>
            <w:r w:rsidRPr="009F7E55">
              <w:rPr>
                <w:lang w:val="en-IE"/>
              </w:rPr>
              <w:t>for</w:t>
            </w:r>
            <w:r w:rsidRPr="009F7E55">
              <w:rPr>
                <w:spacing w:val="-7"/>
                <w:lang w:val="en-IE"/>
              </w:rPr>
              <w:t xml:space="preserve"> </w:t>
            </w:r>
            <w:r w:rsidRPr="009F7E55">
              <w:rPr>
                <w:lang w:val="en-IE"/>
              </w:rPr>
              <w:t>cross-research</w:t>
            </w:r>
            <w:r w:rsidRPr="009F7E55">
              <w:rPr>
                <w:spacing w:val="-7"/>
                <w:lang w:val="en-IE"/>
              </w:rPr>
              <w:t xml:space="preserve"> </w:t>
            </w:r>
            <w:r w:rsidRPr="009F7E55">
              <w:rPr>
                <w:lang w:val="en-IE"/>
              </w:rPr>
              <w:t>infrastructure</w:t>
            </w:r>
            <w:r w:rsidRPr="009F7E55">
              <w:rPr>
                <w:spacing w:val="-5"/>
                <w:lang w:val="en-IE"/>
              </w:rPr>
              <w:t xml:space="preserve"> </w:t>
            </w:r>
            <w:r w:rsidRPr="009F7E55">
              <w:rPr>
                <w:lang w:val="en-IE"/>
              </w:rPr>
              <w:t>service provision e.g. through the EOSC). Taking stock of best practices, the Charter will be revised.</w:t>
            </w:r>
          </w:p>
          <w:p w14:paraId="78493F01" w14:textId="77777777" w:rsidR="00674F14" w:rsidRPr="009F7E55" w:rsidRDefault="00674F14" w:rsidP="00674F14">
            <w:pPr>
              <w:pStyle w:val="TableParagraph"/>
              <w:spacing w:before="120"/>
              <w:ind w:left="482" w:right="88"/>
              <w:jc w:val="both"/>
              <w:rPr>
                <w:lang w:val="en-IE"/>
              </w:rPr>
            </w:pPr>
            <w:r w:rsidRPr="009F7E55">
              <w:rPr>
                <w:lang w:val="en-IE"/>
              </w:rPr>
              <w:t>This activity will include an Experts’ analysis and stakeholders’ consultation</w:t>
            </w:r>
            <w:r w:rsidRPr="009F7E55">
              <w:rPr>
                <w:spacing w:val="-7"/>
                <w:lang w:val="en-IE"/>
              </w:rPr>
              <w:t xml:space="preserve"> </w:t>
            </w:r>
            <w:r w:rsidRPr="009F7E55">
              <w:rPr>
                <w:lang w:val="en-IE"/>
              </w:rPr>
              <w:t>on</w:t>
            </w:r>
            <w:r w:rsidRPr="009F7E55">
              <w:rPr>
                <w:spacing w:val="-8"/>
                <w:lang w:val="en-IE"/>
              </w:rPr>
              <w:t xml:space="preserve"> </w:t>
            </w:r>
            <w:r w:rsidRPr="009F7E55">
              <w:rPr>
                <w:lang w:val="en-IE"/>
              </w:rPr>
              <w:t>access</w:t>
            </w:r>
            <w:r w:rsidRPr="009F7E55">
              <w:rPr>
                <w:spacing w:val="-7"/>
                <w:lang w:val="en-IE"/>
              </w:rPr>
              <w:t xml:space="preserve"> </w:t>
            </w:r>
            <w:r w:rsidRPr="009F7E55">
              <w:rPr>
                <w:lang w:val="en-IE"/>
              </w:rPr>
              <w:t>challenges</w:t>
            </w:r>
            <w:r w:rsidRPr="009F7E55">
              <w:rPr>
                <w:spacing w:val="-4"/>
                <w:lang w:val="en-IE"/>
              </w:rPr>
              <w:t xml:space="preserve"> </w:t>
            </w:r>
            <w:r w:rsidRPr="009F7E55">
              <w:rPr>
                <w:lang w:val="en-IE"/>
              </w:rPr>
              <w:t>and</w:t>
            </w:r>
            <w:r w:rsidRPr="009F7E55">
              <w:rPr>
                <w:spacing w:val="-8"/>
                <w:lang w:val="en-IE"/>
              </w:rPr>
              <w:t xml:space="preserve"> </w:t>
            </w:r>
            <w:r w:rsidRPr="009F7E55">
              <w:rPr>
                <w:lang w:val="en-IE"/>
              </w:rPr>
              <w:t>how</w:t>
            </w:r>
            <w:r w:rsidRPr="009F7E55">
              <w:rPr>
                <w:spacing w:val="-6"/>
                <w:lang w:val="en-IE"/>
              </w:rPr>
              <w:t xml:space="preserve"> </w:t>
            </w:r>
            <w:r w:rsidRPr="009F7E55">
              <w:rPr>
                <w:lang w:val="en-IE"/>
              </w:rPr>
              <w:t>to</w:t>
            </w:r>
            <w:r w:rsidRPr="009F7E55">
              <w:rPr>
                <w:spacing w:val="-6"/>
                <w:lang w:val="en-IE"/>
              </w:rPr>
              <w:t xml:space="preserve"> </w:t>
            </w:r>
            <w:r w:rsidRPr="009F7E55">
              <w:rPr>
                <w:lang w:val="en-IE"/>
              </w:rPr>
              <w:t>address</w:t>
            </w:r>
            <w:r w:rsidRPr="009F7E55">
              <w:rPr>
                <w:spacing w:val="-8"/>
                <w:lang w:val="en-IE"/>
              </w:rPr>
              <w:t xml:space="preserve"> </w:t>
            </w:r>
            <w:r w:rsidRPr="009F7E55">
              <w:rPr>
                <w:lang w:val="en-IE"/>
              </w:rPr>
              <w:t>them.</w:t>
            </w:r>
            <w:r w:rsidRPr="009F7E55">
              <w:rPr>
                <w:spacing w:val="-7"/>
                <w:lang w:val="en-IE"/>
              </w:rPr>
              <w:t xml:space="preserve"> </w:t>
            </w:r>
            <w:r w:rsidRPr="009F7E55">
              <w:rPr>
                <w:lang w:val="en-IE"/>
              </w:rPr>
              <w:t>This</w:t>
            </w:r>
            <w:r w:rsidRPr="009F7E55">
              <w:rPr>
                <w:spacing w:val="-7"/>
                <w:lang w:val="en-IE"/>
              </w:rPr>
              <w:t xml:space="preserve"> </w:t>
            </w:r>
            <w:r w:rsidRPr="009F7E55">
              <w:rPr>
                <w:lang w:val="en-IE"/>
              </w:rPr>
              <w:t>will</w:t>
            </w:r>
            <w:r w:rsidRPr="009F7E55">
              <w:rPr>
                <w:spacing w:val="-8"/>
                <w:lang w:val="en-IE"/>
              </w:rPr>
              <w:t xml:space="preserve"> </w:t>
            </w:r>
            <w:r w:rsidRPr="009F7E55">
              <w:rPr>
                <w:lang w:val="en-IE"/>
              </w:rPr>
              <w:t>be the</w:t>
            </w:r>
            <w:r w:rsidRPr="009F7E55">
              <w:rPr>
                <w:spacing w:val="-8"/>
                <w:lang w:val="en-IE"/>
              </w:rPr>
              <w:t xml:space="preserve"> </w:t>
            </w:r>
            <w:r w:rsidRPr="009F7E55">
              <w:rPr>
                <w:lang w:val="en-IE"/>
              </w:rPr>
              <w:t>basis</w:t>
            </w:r>
            <w:r w:rsidRPr="009F7E55">
              <w:rPr>
                <w:spacing w:val="-8"/>
                <w:lang w:val="en-IE"/>
              </w:rPr>
              <w:t xml:space="preserve"> </w:t>
            </w:r>
            <w:r w:rsidRPr="009F7E55">
              <w:rPr>
                <w:lang w:val="en-IE"/>
              </w:rPr>
              <w:t>for</w:t>
            </w:r>
            <w:r w:rsidRPr="009F7E55">
              <w:rPr>
                <w:spacing w:val="-7"/>
                <w:lang w:val="en-IE"/>
              </w:rPr>
              <w:t xml:space="preserve"> </w:t>
            </w:r>
            <w:r w:rsidRPr="009F7E55">
              <w:rPr>
                <w:lang w:val="en-IE"/>
              </w:rPr>
              <w:t>proposing</w:t>
            </w:r>
            <w:r w:rsidRPr="009F7E55">
              <w:rPr>
                <w:spacing w:val="-9"/>
                <w:lang w:val="en-IE"/>
              </w:rPr>
              <w:t xml:space="preserve"> </w:t>
            </w:r>
            <w:r w:rsidRPr="009F7E55">
              <w:rPr>
                <w:lang w:val="en-IE"/>
              </w:rPr>
              <w:t>new</w:t>
            </w:r>
            <w:r w:rsidRPr="009F7E55">
              <w:rPr>
                <w:spacing w:val="-9"/>
                <w:lang w:val="en-IE"/>
              </w:rPr>
              <w:t xml:space="preserve"> </w:t>
            </w:r>
            <w:r w:rsidRPr="009F7E55">
              <w:rPr>
                <w:lang w:val="en-IE"/>
              </w:rPr>
              <w:t>access</w:t>
            </w:r>
            <w:r w:rsidRPr="009F7E55">
              <w:rPr>
                <w:spacing w:val="-9"/>
                <w:lang w:val="en-IE"/>
              </w:rPr>
              <w:t xml:space="preserve"> </w:t>
            </w:r>
            <w:r w:rsidRPr="009F7E55">
              <w:rPr>
                <w:lang w:val="en-IE"/>
              </w:rPr>
              <w:t>models</w:t>
            </w:r>
            <w:r w:rsidRPr="009F7E55">
              <w:rPr>
                <w:spacing w:val="-7"/>
                <w:lang w:val="en-IE"/>
              </w:rPr>
              <w:t xml:space="preserve"> </w:t>
            </w:r>
            <w:r w:rsidRPr="009F7E55">
              <w:rPr>
                <w:lang w:val="en-IE"/>
              </w:rPr>
              <w:t>and</w:t>
            </w:r>
            <w:r w:rsidRPr="009F7E55">
              <w:rPr>
                <w:spacing w:val="-8"/>
                <w:lang w:val="en-IE"/>
              </w:rPr>
              <w:t xml:space="preserve"> </w:t>
            </w:r>
            <w:r w:rsidRPr="009F7E55">
              <w:rPr>
                <w:lang w:val="en-IE"/>
              </w:rPr>
              <w:t>a</w:t>
            </w:r>
            <w:r w:rsidRPr="009F7E55">
              <w:rPr>
                <w:spacing w:val="-8"/>
                <w:lang w:val="en-IE"/>
              </w:rPr>
              <w:t xml:space="preserve"> </w:t>
            </w:r>
            <w:r w:rsidRPr="009F7E55">
              <w:rPr>
                <w:lang w:val="en-IE"/>
              </w:rPr>
              <w:t>revision</w:t>
            </w:r>
            <w:r w:rsidRPr="009F7E55">
              <w:rPr>
                <w:spacing w:val="-9"/>
                <w:lang w:val="en-IE"/>
              </w:rPr>
              <w:t xml:space="preserve"> </w:t>
            </w:r>
            <w:r w:rsidRPr="009F7E55">
              <w:rPr>
                <w:lang w:val="en-IE"/>
              </w:rPr>
              <w:t>of</w:t>
            </w:r>
            <w:r w:rsidRPr="009F7E55">
              <w:rPr>
                <w:spacing w:val="-10"/>
                <w:lang w:val="en-IE"/>
              </w:rPr>
              <w:t xml:space="preserve"> </w:t>
            </w:r>
            <w:r w:rsidRPr="009F7E55">
              <w:rPr>
                <w:lang w:val="en-IE"/>
              </w:rPr>
              <w:t>the</w:t>
            </w:r>
            <w:r w:rsidRPr="009F7E55">
              <w:rPr>
                <w:spacing w:val="-9"/>
                <w:lang w:val="en-IE"/>
              </w:rPr>
              <w:t xml:space="preserve"> </w:t>
            </w:r>
            <w:r w:rsidRPr="009F7E55">
              <w:rPr>
                <w:lang w:val="en-IE"/>
              </w:rPr>
              <w:t>Charter. When relevant, pilots of new access models will be</w:t>
            </w:r>
            <w:r w:rsidRPr="009F7E55">
              <w:rPr>
                <w:spacing w:val="-9"/>
                <w:lang w:val="en-IE"/>
              </w:rPr>
              <w:t xml:space="preserve"> </w:t>
            </w:r>
            <w:r w:rsidRPr="009F7E55">
              <w:rPr>
                <w:lang w:val="en-IE"/>
              </w:rPr>
              <w:t>implemented.</w:t>
            </w:r>
          </w:p>
          <w:p w14:paraId="2D030BAA" w14:textId="77777777" w:rsidR="00674F14" w:rsidRPr="009F7E55" w:rsidRDefault="00674F14" w:rsidP="00674F14">
            <w:pPr>
              <w:pStyle w:val="TableParagraph"/>
              <w:numPr>
                <w:ilvl w:val="0"/>
                <w:numId w:val="20"/>
              </w:numPr>
              <w:tabs>
                <w:tab w:val="left" w:pos="469"/>
              </w:tabs>
              <w:spacing w:before="123" w:line="237" w:lineRule="auto"/>
              <w:ind w:right="96"/>
              <w:jc w:val="both"/>
              <w:rPr>
                <w:b/>
                <w:lang w:val="en-IE"/>
              </w:rPr>
            </w:pPr>
            <w:r w:rsidRPr="009F7E55">
              <w:rPr>
                <w:b/>
                <w:lang w:val="en-IE"/>
              </w:rPr>
              <w:t>Update of the ESFRI Roadmap and implementation of the research infrastructures performance monitoring</w:t>
            </w:r>
            <w:r w:rsidRPr="009F7E55">
              <w:rPr>
                <w:b/>
                <w:spacing w:val="-5"/>
                <w:lang w:val="en-IE"/>
              </w:rPr>
              <w:t xml:space="preserve"> </w:t>
            </w:r>
            <w:r w:rsidRPr="009F7E55">
              <w:rPr>
                <w:b/>
                <w:lang w:val="en-IE"/>
              </w:rPr>
              <w:t>framework</w:t>
            </w:r>
          </w:p>
          <w:p w14:paraId="68E34DCD" w14:textId="77777777" w:rsidR="00674F14" w:rsidRPr="009F7E55" w:rsidRDefault="00674F14" w:rsidP="00674F14">
            <w:pPr>
              <w:pStyle w:val="TableParagraph"/>
              <w:spacing w:before="121" w:line="259" w:lineRule="auto"/>
              <w:ind w:left="482" w:right="92"/>
              <w:jc w:val="both"/>
              <w:rPr>
                <w:lang w:val="en-IE"/>
              </w:rPr>
            </w:pPr>
            <w:r w:rsidRPr="009F7E55">
              <w:rPr>
                <w:lang w:val="en-IE"/>
              </w:rPr>
              <w:t>The ESFRI Roadmap methodology will be reviewed taking into account the lessons learnt from the last roadmap cycle (2016-2021), as well as the abovementioned strategic analysis of the European research infrastructure landscape. An official roadmap update process will then be launched.</w:t>
            </w:r>
          </w:p>
          <w:p w14:paraId="732C9187" w14:textId="77777777" w:rsidR="00674F14" w:rsidRPr="009F7E55" w:rsidRDefault="00674F14" w:rsidP="00674F14">
            <w:pPr>
              <w:pStyle w:val="TableParagraph"/>
              <w:spacing w:before="121"/>
              <w:ind w:left="482" w:right="91"/>
              <w:jc w:val="both"/>
              <w:rPr>
                <w:lang w:val="en-IE"/>
              </w:rPr>
            </w:pPr>
            <w:r w:rsidRPr="009F7E55">
              <w:rPr>
                <w:lang w:val="en-IE"/>
              </w:rPr>
              <w:t>As a growing number of European research infrastructures become operational, including as European Research Infrastructure Consortia (ERICs), the importance and value of their ongoing monitoring is increasing both at European and at national level. Building on the ESFRI report on ‘Monitoring of Research Infrastructure Performance’ and the consequent development of implementation methodology, the design of a performance monitoring system for the European research infrastructures will be completed, in close collaboration with the research infrastructures and their funders. The monitoring system will then be rolled out for the operational ESFRI Landmarks, following the agreed methodology, with the use of qualitative information and key performance indicators. Synergies will also be explored with the envisaged ERIC Observatory and the general ERA monitoring framework.</w:t>
            </w:r>
          </w:p>
          <w:p w14:paraId="0FD7E301" w14:textId="77777777" w:rsidR="00674F14" w:rsidRPr="009F7E55" w:rsidRDefault="00674F14" w:rsidP="00674F14">
            <w:pPr>
              <w:pStyle w:val="TableParagraph"/>
              <w:numPr>
                <w:ilvl w:val="0"/>
                <w:numId w:val="20"/>
              </w:numPr>
              <w:tabs>
                <w:tab w:val="left" w:pos="468"/>
                <w:tab w:val="left" w:pos="469"/>
              </w:tabs>
              <w:spacing w:before="119"/>
              <w:ind w:hanging="362"/>
              <w:rPr>
                <w:b/>
                <w:lang w:val="en-IE"/>
              </w:rPr>
            </w:pPr>
            <w:r w:rsidRPr="009F7E55">
              <w:rPr>
                <w:b/>
                <w:lang w:val="en-IE"/>
              </w:rPr>
              <w:t>Report on the ERIC</w:t>
            </w:r>
            <w:r w:rsidRPr="009F7E55">
              <w:rPr>
                <w:b/>
                <w:spacing w:val="-5"/>
                <w:lang w:val="en-IE"/>
              </w:rPr>
              <w:t xml:space="preserve"> </w:t>
            </w:r>
            <w:r w:rsidRPr="009F7E55">
              <w:rPr>
                <w:b/>
                <w:lang w:val="en-IE"/>
              </w:rPr>
              <w:t>Framework</w:t>
            </w:r>
          </w:p>
          <w:p w14:paraId="682C53AF" w14:textId="77777777" w:rsidR="00674F14" w:rsidRPr="009F7E55" w:rsidRDefault="00674F14" w:rsidP="00674F14">
            <w:pPr>
              <w:pStyle w:val="TableParagraph"/>
              <w:spacing w:before="120"/>
              <w:ind w:left="482" w:right="89"/>
              <w:jc w:val="both"/>
              <w:rPr>
                <w:lang w:val="en-IE"/>
              </w:rPr>
            </w:pPr>
            <w:r w:rsidRPr="009F7E55">
              <w:rPr>
                <w:lang w:val="en-IE"/>
              </w:rPr>
              <w:t>With</w:t>
            </w:r>
            <w:r w:rsidRPr="009F7E55">
              <w:rPr>
                <w:spacing w:val="-14"/>
                <w:lang w:val="en-IE"/>
              </w:rPr>
              <w:t xml:space="preserve"> </w:t>
            </w:r>
            <w:r w:rsidRPr="009F7E55">
              <w:rPr>
                <w:lang w:val="en-IE"/>
              </w:rPr>
              <w:t>23</w:t>
            </w:r>
            <w:r w:rsidRPr="009F7E55">
              <w:rPr>
                <w:spacing w:val="-14"/>
                <w:lang w:val="en-IE"/>
              </w:rPr>
              <w:t xml:space="preserve"> </w:t>
            </w:r>
            <w:r w:rsidRPr="009F7E55">
              <w:rPr>
                <w:lang w:val="en-IE"/>
              </w:rPr>
              <w:t>ERICs</w:t>
            </w:r>
            <w:r w:rsidRPr="009F7E55">
              <w:rPr>
                <w:spacing w:val="-13"/>
                <w:lang w:val="en-IE"/>
              </w:rPr>
              <w:t xml:space="preserve"> </w:t>
            </w:r>
            <w:r w:rsidRPr="009F7E55">
              <w:rPr>
                <w:lang w:val="en-IE"/>
              </w:rPr>
              <w:t>established</w:t>
            </w:r>
            <w:r w:rsidRPr="009F7E55">
              <w:rPr>
                <w:spacing w:val="-13"/>
                <w:lang w:val="en-IE"/>
              </w:rPr>
              <w:t xml:space="preserve"> </w:t>
            </w:r>
            <w:r w:rsidRPr="009F7E55">
              <w:rPr>
                <w:lang w:val="en-IE"/>
              </w:rPr>
              <w:t>and</w:t>
            </w:r>
            <w:r w:rsidRPr="009F7E55">
              <w:rPr>
                <w:spacing w:val="-14"/>
                <w:lang w:val="en-IE"/>
              </w:rPr>
              <w:t xml:space="preserve"> </w:t>
            </w:r>
            <w:r w:rsidRPr="009F7E55">
              <w:rPr>
                <w:lang w:val="en-IE"/>
              </w:rPr>
              <w:t>several</w:t>
            </w:r>
            <w:r w:rsidRPr="009F7E55">
              <w:rPr>
                <w:spacing w:val="-12"/>
                <w:lang w:val="en-IE"/>
              </w:rPr>
              <w:t xml:space="preserve"> </w:t>
            </w:r>
            <w:r w:rsidRPr="009F7E55">
              <w:rPr>
                <w:lang w:val="en-IE"/>
              </w:rPr>
              <w:t>more</w:t>
            </w:r>
            <w:r w:rsidRPr="009F7E55">
              <w:rPr>
                <w:spacing w:val="-12"/>
                <w:lang w:val="en-IE"/>
              </w:rPr>
              <w:t xml:space="preserve"> </w:t>
            </w:r>
            <w:r w:rsidRPr="009F7E55">
              <w:rPr>
                <w:lang w:val="en-IE"/>
              </w:rPr>
              <w:t>expected</w:t>
            </w:r>
            <w:r w:rsidRPr="009F7E55">
              <w:rPr>
                <w:spacing w:val="-13"/>
                <w:lang w:val="en-IE"/>
              </w:rPr>
              <w:t xml:space="preserve"> </w:t>
            </w:r>
            <w:r w:rsidRPr="009F7E55">
              <w:rPr>
                <w:lang w:val="en-IE"/>
              </w:rPr>
              <w:t>in</w:t>
            </w:r>
            <w:r w:rsidRPr="009F7E55">
              <w:rPr>
                <w:spacing w:val="-13"/>
                <w:lang w:val="en-IE"/>
              </w:rPr>
              <w:t xml:space="preserve"> </w:t>
            </w:r>
            <w:r w:rsidRPr="009F7E55">
              <w:rPr>
                <w:lang w:val="en-IE"/>
              </w:rPr>
              <w:t>2022,</w:t>
            </w:r>
            <w:r w:rsidRPr="009F7E55">
              <w:rPr>
                <w:spacing w:val="-13"/>
                <w:lang w:val="en-IE"/>
              </w:rPr>
              <w:t xml:space="preserve"> </w:t>
            </w:r>
            <w:r w:rsidRPr="009F7E55">
              <w:rPr>
                <w:lang w:val="en-IE"/>
              </w:rPr>
              <w:t>the</w:t>
            </w:r>
            <w:r w:rsidRPr="009F7E55">
              <w:rPr>
                <w:spacing w:val="-12"/>
                <w:lang w:val="en-IE"/>
              </w:rPr>
              <w:t xml:space="preserve"> </w:t>
            </w:r>
            <w:r w:rsidRPr="009F7E55">
              <w:rPr>
                <w:lang w:val="en-IE"/>
              </w:rPr>
              <w:t>ERIC</w:t>
            </w:r>
            <w:r w:rsidRPr="009F7E55">
              <w:rPr>
                <w:spacing w:val="-13"/>
                <w:lang w:val="en-IE"/>
              </w:rPr>
              <w:t xml:space="preserve"> </w:t>
            </w:r>
            <w:r w:rsidRPr="009F7E55">
              <w:rPr>
                <w:lang w:val="en-IE"/>
              </w:rPr>
              <w:t xml:space="preserve">legal framework is instrumental in integrating and structuring the European research infrastructure landscape. Building on the assessment of the ERIC Regulation by the Commission Expert Group ‘EGERIC’ and on a stakeholders consultation, the Commission will report on the implementation of the ERIC Regulation to the Council and to the European Parliament as invited by the Council in November 2018 and provide a long-term vision for ERICs. This is complementary to the monitoring of the individual performance of ERICs and other </w:t>
            </w:r>
            <w:r w:rsidRPr="009F7E55">
              <w:rPr>
                <w:lang w:val="en-IE"/>
              </w:rPr>
              <w:lastRenderedPageBreak/>
              <w:t>research infrastructures.</w:t>
            </w:r>
          </w:p>
          <w:p w14:paraId="079354DE" w14:textId="77777777" w:rsidR="00674F14" w:rsidRPr="009F7E55" w:rsidRDefault="00674F14" w:rsidP="00674F14">
            <w:pPr>
              <w:pStyle w:val="TableParagraph"/>
              <w:spacing w:before="121"/>
              <w:ind w:left="482" w:right="91"/>
              <w:jc w:val="both"/>
              <w:rPr>
                <w:lang w:val="en-IE"/>
              </w:rPr>
            </w:pPr>
            <w:r w:rsidRPr="009F7E55">
              <w:rPr>
                <w:lang w:val="en-IE"/>
              </w:rPr>
              <w:t>The activity will include proposals on how to address findings of the EGERIC assessment and other relevant implementation aspects identified</w:t>
            </w:r>
            <w:r w:rsidRPr="009F7E55">
              <w:rPr>
                <w:spacing w:val="-4"/>
                <w:lang w:val="en-IE"/>
              </w:rPr>
              <w:t xml:space="preserve"> </w:t>
            </w:r>
            <w:r w:rsidRPr="009F7E55">
              <w:rPr>
                <w:lang w:val="en-IE"/>
              </w:rPr>
              <w:t>notably</w:t>
            </w:r>
            <w:r w:rsidRPr="009F7E55">
              <w:rPr>
                <w:spacing w:val="-4"/>
                <w:lang w:val="en-IE"/>
              </w:rPr>
              <w:t xml:space="preserve"> </w:t>
            </w:r>
            <w:r w:rsidRPr="009F7E55">
              <w:rPr>
                <w:lang w:val="en-IE"/>
              </w:rPr>
              <w:t>by</w:t>
            </w:r>
            <w:r w:rsidRPr="009F7E55">
              <w:rPr>
                <w:spacing w:val="-4"/>
                <w:lang w:val="en-IE"/>
              </w:rPr>
              <w:t xml:space="preserve"> </w:t>
            </w:r>
            <w:r w:rsidRPr="009F7E55">
              <w:rPr>
                <w:lang w:val="en-IE"/>
              </w:rPr>
              <w:t>the</w:t>
            </w:r>
            <w:r w:rsidRPr="009F7E55">
              <w:rPr>
                <w:spacing w:val="-4"/>
                <w:lang w:val="en-IE"/>
              </w:rPr>
              <w:t xml:space="preserve"> </w:t>
            </w:r>
            <w:r w:rsidRPr="009F7E55">
              <w:rPr>
                <w:lang w:val="en-IE"/>
              </w:rPr>
              <w:t>ERIC</w:t>
            </w:r>
            <w:r w:rsidRPr="009F7E55">
              <w:rPr>
                <w:spacing w:val="-4"/>
                <w:lang w:val="en-IE"/>
              </w:rPr>
              <w:t xml:space="preserve"> </w:t>
            </w:r>
            <w:r w:rsidRPr="009F7E55">
              <w:rPr>
                <w:lang w:val="en-IE"/>
              </w:rPr>
              <w:t>Committee,</w:t>
            </w:r>
            <w:r w:rsidRPr="009F7E55">
              <w:rPr>
                <w:spacing w:val="-7"/>
                <w:lang w:val="en-IE"/>
              </w:rPr>
              <w:t xml:space="preserve"> </w:t>
            </w:r>
            <w:r w:rsidRPr="009F7E55">
              <w:rPr>
                <w:lang w:val="en-IE"/>
              </w:rPr>
              <w:t>followed</w:t>
            </w:r>
            <w:r w:rsidRPr="009F7E55">
              <w:rPr>
                <w:spacing w:val="-4"/>
                <w:lang w:val="en-IE"/>
              </w:rPr>
              <w:t xml:space="preserve"> </w:t>
            </w:r>
            <w:r w:rsidRPr="009F7E55">
              <w:rPr>
                <w:lang w:val="en-IE"/>
              </w:rPr>
              <w:t>by</w:t>
            </w:r>
            <w:r w:rsidRPr="009F7E55">
              <w:rPr>
                <w:spacing w:val="-4"/>
                <w:lang w:val="en-IE"/>
              </w:rPr>
              <w:t xml:space="preserve"> </w:t>
            </w:r>
            <w:r w:rsidRPr="009F7E55">
              <w:rPr>
                <w:lang w:val="en-IE"/>
              </w:rPr>
              <w:t>a</w:t>
            </w:r>
            <w:r w:rsidRPr="009F7E55">
              <w:rPr>
                <w:spacing w:val="-3"/>
                <w:lang w:val="en-IE"/>
              </w:rPr>
              <w:t xml:space="preserve"> </w:t>
            </w:r>
            <w:r w:rsidRPr="009F7E55">
              <w:rPr>
                <w:lang w:val="en-IE"/>
              </w:rPr>
              <w:t>consultation</w:t>
            </w:r>
            <w:r w:rsidRPr="009F7E55">
              <w:rPr>
                <w:spacing w:val="-7"/>
                <w:lang w:val="en-IE"/>
              </w:rPr>
              <w:t xml:space="preserve"> </w:t>
            </w:r>
            <w:r w:rsidRPr="009F7E55">
              <w:rPr>
                <w:lang w:val="en-IE"/>
              </w:rPr>
              <w:t>of stakeholders. This will be the basis for the Commission report on the implementation of the Regulation and future orientation on the</w:t>
            </w:r>
            <w:r w:rsidRPr="009F7E55">
              <w:rPr>
                <w:spacing w:val="-21"/>
                <w:lang w:val="en-IE"/>
              </w:rPr>
              <w:t xml:space="preserve"> </w:t>
            </w:r>
            <w:r w:rsidRPr="009F7E55">
              <w:rPr>
                <w:lang w:val="en-IE"/>
              </w:rPr>
              <w:t>ERICs.</w:t>
            </w:r>
          </w:p>
          <w:p w14:paraId="3A2B7887" w14:textId="77777777" w:rsidR="00674F14" w:rsidRPr="009F7E55" w:rsidRDefault="00674F14" w:rsidP="00674F14">
            <w:pPr>
              <w:pStyle w:val="TableParagraph"/>
              <w:numPr>
                <w:ilvl w:val="0"/>
                <w:numId w:val="20"/>
              </w:numPr>
              <w:tabs>
                <w:tab w:val="left" w:pos="468"/>
                <w:tab w:val="left" w:pos="469"/>
              </w:tabs>
              <w:spacing w:before="119"/>
              <w:ind w:hanging="362"/>
              <w:rPr>
                <w:lang w:val="en-IE"/>
              </w:rPr>
            </w:pPr>
            <w:r w:rsidRPr="009F7E55">
              <w:rPr>
                <w:b/>
                <w:lang w:val="en-IE"/>
              </w:rPr>
              <w:t>Increased cooperation between research infrastructures, e- infrastructures and stakeholders, including through EOSC</w:t>
            </w:r>
          </w:p>
          <w:p w14:paraId="30BBAF81" w14:textId="77777777" w:rsidR="00674F14" w:rsidRPr="009F7E55" w:rsidRDefault="00674F14" w:rsidP="00674F14">
            <w:pPr>
              <w:pStyle w:val="TableParagraph"/>
              <w:spacing w:before="119"/>
              <w:ind w:left="482" w:right="88"/>
              <w:jc w:val="both"/>
              <w:rPr>
                <w:lang w:val="en-IE"/>
              </w:rPr>
            </w:pPr>
            <w:r w:rsidRPr="009F7E55">
              <w:rPr>
                <w:lang w:val="en-IE"/>
              </w:rPr>
              <w:t>The abovementioned activities including the impact on European society and the economy and the performance of the research infrastructures and e-infrastructures ecosystem, each of which are drivers of multidisciplinary and data-intensive science, will require an increased cooperation across research infrastructures and further engagement with stakeholders, including from industry and society at large and international partners.</w:t>
            </w:r>
          </w:p>
          <w:p w14:paraId="2B48C740" w14:textId="77777777" w:rsidR="00674F14" w:rsidRPr="009F7E55" w:rsidRDefault="00674F14" w:rsidP="00674F14">
            <w:pPr>
              <w:pStyle w:val="TableParagraph"/>
              <w:spacing w:before="122"/>
              <w:ind w:left="482" w:right="90"/>
              <w:jc w:val="both"/>
              <w:rPr>
                <w:lang w:val="en-IE"/>
              </w:rPr>
            </w:pPr>
            <w:r w:rsidRPr="009F7E55">
              <w:rPr>
                <w:lang w:val="en-IE"/>
              </w:rPr>
              <w:t>This action will foster the engagement of research infrastructures and their umbrella organisations with the broad range of research and innovation stakeholders including user organisations and broader scientific communities, organisations and networks of research performing organisations, actors in the innovation ecosystem, stakeholders from business communities as well as national and regional</w:t>
            </w:r>
            <w:r w:rsidRPr="009F7E55">
              <w:rPr>
                <w:spacing w:val="-11"/>
                <w:lang w:val="en-IE"/>
              </w:rPr>
              <w:t xml:space="preserve"> </w:t>
            </w:r>
            <w:r w:rsidRPr="009F7E55">
              <w:rPr>
                <w:lang w:val="en-IE"/>
              </w:rPr>
              <w:t>authorities</w:t>
            </w:r>
            <w:r w:rsidRPr="009F7E55">
              <w:rPr>
                <w:spacing w:val="-9"/>
                <w:lang w:val="en-IE"/>
              </w:rPr>
              <w:t xml:space="preserve"> </w:t>
            </w:r>
            <w:r w:rsidRPr="009F7E55">
              <w:rPr>
                <w:lang w:val="en-IE"/>
              </w:rPr>
              <w:t>and</w:t>
            </w:r>
            <w:r w:rsidRPr="009F7E55">
              <w:rPr>
                <w:spacing w:val="-10"/>
                <w:lang w:val="en-IE"/>
              </w:rPr>
              <w:t xml:space="preserve"> </w:t>
            </w:r>
            <w:r w:rsidRPr="009F7E55">
              <w:rPr>
                <w:lang w:val="en-IE"/>
              </w:rPr>
              <w:t>funding</w:t>
            </w:r>
            <w:r w:rsidRPr="009F7E55">
              <w:rPr>
                <w:spacing w:val="-10"/>
                <w:lang w:val="en-IE"/>
              </w:rPr>
              <w:t xml:space="preserve"> </w:t>
            </w:r>
            <w:r w:rsidRPr="009F7E55">
              <w:rPr>
                <w:lang w:val="en-IE"/>
              </w:rPr>
              <w:t>bodies.</w:t>
            </w:r>
            <w:r w:rsidRPr="009F7E55">
              <w:rPr>
                <w:spacing w:val="-10"/>
                <w:lang w:val="en-IE"/>
              </w:rPr>
              <w:t xml:space="preserve"> </w:t>
            </w:r>
            <w:r w:rsidRPr="009F7E55">
              <w:rPr>
                <w:lang w:val="en-IE"/>
              </w:rPr>
              <w:t>A</w:t>
            </w:r>
            <w:r w:rsidRPr="009F7E55">
              <w:rPr>
                <w:spacing w:val="-10"/>
                <w:lang w:val="en-IE"/>
              </w:rPr>
              <w:t xml:space="preserve"> </w:t>
            </w:r>
            <w:r w:rsidRPr="009F7E55">
              <w:rPr>
                <w:lang w:val="en-IE"/>
              </w:rPr>
              <w:t>key</w:t>
            </w:r>
            <w:r w:rsidRPr="009F7E55">
              <w:rPr>
                <w:spacing w:val="-9"/>
                <w:lang w:val="en-IE"/>
              </w:rPr>
              <w:t xml:space="preserve"> </w:t>
            </w:r>
            <w:r w:rsidRPr="009F7E55">
              <w:rPr>
                <w:lang w:val="en-IE"/>
              </w:rPr>
              <w:t>element</w:t>
            </w:r>
            <w:r w:rsidRPr="009F7E55">
              <w:rPr>
                <w:spacing w:val="-9"/>
                <w:lang w:val="en-IE"/>
              </w:rPr>
              <w:t xml:space="preserve"> </w:t>
            </w:r>
            <w:r w:rsidRPr="009F7E55">
              <w:rPr>
                <w:lang w:val="en-IE"/>
              </w:rPr>
              <w:t>of</w:t>
            </w:r>
            <w:r w:rsidRPr="009F7E55">
              <w:rPr>
                <w:spacing w:val="-11"/>
                <w:lang w:val="en-IE"/>
              </w:rPr>
              <w:t xml:space="preserve"> </w:t>
            </w:r>
            <w:r w:rsidRPr="009F7E55">
              <w:rPr>
                <w:lang w:val="en-IE"/>
              </w:rPr>
              <w:t>this</w:t>
            </w:r>
            <w:r w:rsidRPr="009F7E55">
              <w:rPr>
                <w:spacing w:val="-9"/>
                <w:lang w:val="en-IE"/>
              </w:rPr>
              <w:t xml:space="preserve"> </w:t>
            </w:r>
            <w:r w:rsidRPr="009F7E55">
              <w:rPr>
                <w:lang w:val="en-IE"/>
              </w:rPr>
              <w:t>action</w:t>
            </w:r>
            <w:r w:rsidRPr="009F7E55">
              <w:rPr>
                <w:spacing w:val="-10"/>
                <w:lang w:val="en-IE"/>
              </w:rPr>
              <w:t xml:space="preserve"> </w:t>
            </w:r>
            <w:r w:rsidRPr="009F7E55">
              <w:rPr>
                <w:lang w:val="en-IE"/>
              </w:rPr>
              <w:t>will be</w:t>
            </w:r>
            <w:r w:rsidRPr="009F7E55">
              <w:rPr>
                <w:spacing w:val="-6"/>
                <w:lang w:val="en-IE"/>
              </w:rPr>
              <w:t xml:space="preserve"> </w:t>
            </w:r>
            <w:r w:rsidRPr="009F7E55">
              <w:rPr>
                <w:lang w:val="en-IE"/>
              </w:rPr>
              <w:t>the</w:t>
            </w:r>
            <w:r w:rsidRPr="009F7E55">
              <w:rPr>
                <w:spacing w:val="-9"/>
                <w:lang w:val="en-IE"/>
              </w:rPr>
              <w:t xml:space="preserve"> </w:t>
            </w:r>
            <w:r w:rsidRPr="009F7E55">
              <w:rPr>
                <w:lang w:val="en-IE"/>
              </w:rPr>
              <w:t>adoption</w:t>
            </w:r>
            <w:r w:rsidRPr="009F7E55">
              <w:rPr>
                <w:spacing w:val="-6"/>
                <w:lang w:val="en-IE"/>
              </w:rPr>
              <w:t xml:space="preserve"> </w:t>
            </w:r>
            <w:r w:rsidRPr="009F7E55">
              <w:rPr>
                <w:lang w:val="en-IE"/>
              </w:rPr>
              <w:t>and</w:t>
            </w:r>
            <w:r w:rsidRPr="009F7E55">
              <w:rPr>
                <w:spacing w:val="-9"/>
                <w:lang w:val="en-IE"/>
              </w:rPr>
              <w:t xml:space="preserve"> </w:t>
            </w:r>
            <w:r w:rsidRPr="009F7E55">
              <w:rPr>
                <w:lang w:val="en-IE"/>
              </w:rPr>
              <w:t>implementation</w:t>
            </w:r>
            <w:r w:rsidRPr="009F7E55">
              <w:rPr>
                <w:spacing w:val="-12"/>
                <w:lang w:val="en-IE"/>
              </w:rPr>
              <w:t xml:space="preserve"> </w:t>
            </w:r>
            <w:r w:rsidRPr="009F7E55">
              <w:rPr>
                <w:lang w:val="en-IE"/>
              </w:rPr>
              <w:t>of</w:t>
            </w:r>
            <w:r w:rsidRPr="009F7E55">
              <w:rPr>
                <w:spacing w:val="-6"/>
                <w:lang w:val="en-IE"/>
              </w:rPr>
              <w:t xml:space="preserve"> </w:t>
            </w:r>
            <w:r w:rsidRPr="009F7E55">
              <w:rPr>
                <w:lang w:val="en-IE"/>
              </w:rPr>
              <w:t>a</w:t>
            </w:r>
            <w:r w:rsidRPr="009F7E55">
              <w:rPr>
                <w:spacing w:val="-9"/>
                <w:lang w:val="en-IE"/>
              </w:rPr>
              <w:t xml:space="preserve"> </w:t>
            </w:r>
            <w:r w:rsidRPr="009F7E55">
              <w:rPr>
                <w:lang w:val="en-IE"/>
              </w:rPr>
              <w:t>comprehensive</w:t>
            </w:r>
            <w:r w:rsidRPr="009F7E55">
              <w:rPr>
                <w:spacing w:val="-7"/>
                <w:lang w:val="en-IE"/>
              </w:rPr>
              <w:t xml:space="preserve"> </w:t>
            </w:r>
            <w:r w:rsidRPr="009F7E55">
              <w:rPr>
                <w:lang w:val="en-IE"/>
              </w:rPr>
              <w:t>ESFRI</w:t>
            </w:r>
            <w:r w:rsidRPr="009F7E55">
              <w:rPr>
                <w:spacing w:val="-9"/>
                <w:lang w:val="en-IE"/>
              </w:rPr>
              <w:t xml:space="preserve"> </w:t>
            </w:r>
            <w:r w:rsidRPr="009F7E55">
              <w:rPr>
                <w:lang w:val="en-IE"/>
              </w:rPr>
              <w:t>strategy for</w:t>
            </w:r>
            <w:r w:rsidRPr="009F7E55">
              <w:rPr>
                <w:spacing w:val="-11"/>
                <w:lang w:val="en-IE"/>
              </w:rPr>
              <w:t xml:space="preserve"> </w:t>
            </w:r>
            <w:r w:rsidRPr="009F7E55">
              <w:rPr>
                <w:lang w:val="en-IE"/>
              </w:rPr>
              <w:t>stakeholder</w:t>
            </w:r>
            <w:r w:rsidRPr="009F7E55">
              <w:rPr>
                <w:spacing w:val="-10"/>
                <w:lang w:val="en-IE"/>
              </w:rPr>
              <w:t xml:space="preserve"> </w:t>
            </w:r>
            <w:r w:rsidRPr="009F7E55">
              <w:rPr>
                <w:lang w:val="en-IE"/>
              </w:rPr>
              <w:t>engagement.</w:t>
            </w:r>
            <w:r w:rsidRPr="009F7E55">
              <w:rPr>
                <w:spacing w:val="-12"/>
                <w:lang w:val="en-IE"/>
              </w:rPr>
              <w:t xml:space="preserve"> </w:t>
            </w:r>
            <w:r w:rsidRPr="009F7E55">
              <w:rPr>
                <w:lang w:val="en-IE"/>
              </w:rPr>
              <w:t>This</w:t>
            </w:r>
            <w:r w:rsidRPr="009F7E55">
              <w:rPr>
                <w:spacing w:val="-11"/>
                <w:lang w:val="en-IE"/>
              </w:rPr>
              <w:t xml:space="preserve"> </w:t>
            </w:r>
            <w:r w:rsidRPr="009F7E55">
              <w:rPr>
                <w:lang w:val="en-IE"/>
              </w:rPr>
              <w:t>will</w:t>
            </w:r>
            <w:r w:rsidRPr="009F7E55">
              <w:rPr>
                <w:spacing w:val="-11"/>
                <w:lang w:val="en-IE"/>
              </w:rPr>
              <w:t xml:space="preserve"> </w:t>
            </w:r>
            <w:r w:rsidRPr="009F7E55">
              <w:rPr>
                <w:lang w:val="en-IE"/>
              </w:rPr>
              <w:t>include,</w:t>
            </w:r>
            <w:r w:rsidRPr="009F7E55">
              <w:rPr>
                <w:spacing w:val="-11"/>
                <w:lang w:val="en-IE"/>
              </w:rPr>
              <w:t xml:space="preserve"> </w:t>
            </w:r>
            <w:r w:rsidRPr="009F7E55">
              <w:rPr>
                <w:lang w:val="en-IE"/>
              </w:rPr>
              <w:t>among</w:t>
            </w:r>
            <w:r w:rsidRPr="009F7E55">
              <w:rPr>
                <w:spacing w:val="-14"/>
                <w:lang w:val="en-IE"/>
              </w:rPr>
              <w:t xml:space="preserve"> </w:t>
            </w:r>
            <w:r w:rsidRPr="009F7E55">
              <w:rPr>
                <w:lang w:val="en-IE"/>
              </w:rPr>
              <w:t>others,</w:t>
            </w:r>
            <w:r w:rsidRPr="009F7E55">
              <w:rPr>
                <w:spacing w:val="-10"/>
                <w:lang w:val="en-IE"/>
              </w:rPr>
              <w:t xml:space="preserve"> </w:t>
            </w:r>
            <w:r w:rsidRPr="009F7E55">
              <w:rPr>
                <w:lang w:val="en-IE"/>
              </w:rPr>
              <w:t>the</w:t>
            </w:r>
            <w:r w:rsidRPr="009F7E55">
              <w:rPr>
                <w:spacing w:val="-11"/>
                <w:lang w:val="en-IE"/>
              </w:rPr>
              <w:t xml:space="preserve"> </w:t>
            </w:r>
            <w:r w:rsidRPr="009F7E55">
              <w:rPr>
                <w:lang w:val="en-IE"/>
              </w:rPr>
              <w:t>launch of the ESFRI Stakeholder Forum, development of its activities together with stakeholders and their consequent</w:t>
            </w:r>
            <w:r w:rsidRPr="009F7E55">
              <w:rPr>
                <w:spacing w:val="-8"/>
                <w:lang w:val="en-IE"/>
              </w:rPr>
              <w:t xml:space="preserve"> </w:t>
            </w:r>
            <w:r w:rsidRPr="009F7E55">
              <w:rPr>
                <w:lang w:val="en-IE"/>
              </w:rPr>
              <w:t>implementation.</w:t>
            </w:r>
          </w:p>
          <w:p w14:paraId="7AACDCC5" w14:textId="22109E7F" w:rsidR="00674F14" w:rsidRPr="009F7E55" w:rsidRDefault="00674F14" w:rsidP="00674F14">
            <w:pPr>
              <w:pStyle w:val="TableParagraph"/>
              <w:spacing w:before="119"/>
              <w:ind w:left="107" w:right="127"/>
              <w:rPr>
                <w:lang w:val="en-IE"/>
              </w:rPr>
            </w:pPr>
            <w:r w:rsidRPr="009F7E55">
              <w:rPr>
                <w:lang w:val="en-IE"/>
              </w:rPr>
              <w:t>The activity will seize opportunities from ESFRI and the EOSC tripartite governance to expand and accelerate cooperation among generic and thematic infrastructures across the institutional, national, regional, and European levels and a further engagement with stakeholders and international partners. It will also strengthen the impact of European research infrastructures and the EOSC on the long tail of science, opening up data and digital services to all European researchers.</w:t>
            </w:r>
          </w:p>
        </w:tc>
      </w:tr>
      <w:tr w:rsidR="00674F14" w:rsidRPr="009F7E55" w14:paraId="72388C16" w14:textId="77777777" w:rsidTr="00674F14">
        <w:trPr>
          <w:trHeight w:val="1701"/>
        </w:trPr>
        <w:tc>
          <w:tcPr>
            <w:tcW w:w="2388" w:type="dxa"/>
          </w:tcPr>
          <w:p w14:paraId="303C37D4" w14:textId="614EA8DC" w:rsidR="00674F14" w:rsidRPr="009F7E55" w:rsidRDefault="00674F14" w:rsidP="00674F14">
            <w:pPr>
              <w:pStyle w:val="TableParagraph"/>
              <w:spacing w:before="121"/>
              <w:ind w:left="340"/>
              <w:rPr>
                <w:b/>
                <w:lang w:val="en-IE"/>
              </w:rPr>
            </w:pPr>
            <w:r w:rsidRPr="009F7E55">
              <w:rPr>
                <w:b/>
                <w:lang w:val="en-IE"/>
              </w:rPr>
              <w:lastRenderedPageBreak/>
              <w:t>2. Actors</w:t>
            </w:r>
          </w:p>
        </w:tc>
        <w:tc>
          <w:tcPr>
            <w:tcW w:w="6964" w:type="dxa"/>
          </w:tcPr>
          <w:p w14:paraId="3273B82E" w14:textId="77777777" w:rsidR="00674F14" w:rsidRPr="009F7E55" w:rsidRDefault="00674F14" w:rsidP="00674F14">
            <w:pPr>
              <w:pStyle w:val="TableParagraph"/>
              <w:numPr>
                <w:ilvl w:val="0"/>
                <w:numId w:val="19"/>
              </w:numPr>
              <w:tabs>
                <w:tab w:val="left" w:pos="466"/>
              </w:tabs>
              <w:ind w:right="91"/>
              <w:jc w:val="both"/>
              <w:rPr>
                <w:lang w:val="en-IE"/>
              </w:rPr>
            </w:pPr>
            <w:r w:rsidRPr="009F7E55">
              <w:rPr>
                <w:lang w:val="en-IE"/>
              </w:rPr>
              <w:t>All relevant actors will be involved in the implementation of the action and its different components: the Commission and Member States, including through the Council, the ERIC Committee, ESFRI and the EOSC tripartite governance and the new ERA governance more broadly; stakeholders, research infrastructures and their umbrella organisations as well as broader R&amp;I stakeholders; possibly also associated countries and third countries linked to the research infrastructures</w:t>
            </w:r>
            <w:r w:rsidRPr="009F7E55">
              <w:rPr>
                <w:spacing w:val="-13"/>
                <w:lang w:val="en-IE"/>
              </w:rPr>
              <w:t xml:space="preserve"> </w:t>
            </w:r>
            <w:r w:rsidRPr="009F7E55">
              <w:rPr>
                <w:lang w:val="en-IE"/>
              </w:rPr>
              <w:t>themselves.</w:t>
            </w:r>
          </w:p>
          <w:p w14:paraId="1C6D822C" w14:textId="77777777" w:rsidR="00674F14" w:rsidRPr="009F7E55" w:rsidRDefault="00674F14" w:rsidP="00674F14">
            <w:pPr>
              <w:pStyle w:val="TableParagraph"/>
              <w:numPr>
                <w:ilvl w:val="0"/>
                <w:numId w:val="19"/>
              </w:numPr>
              <w:tabs>
                <w:tab w:val="left" w:pos="466"/>
              </w:tabs>
              <w:ind w:right="90"/>
              <w:jc w:val="both"/>
              <w:rPr>
                <w:lang w:val="en-IE"/>
              </w:rPr>
            </w:pPr>
            <w:r w:rsidRPr="009F7E55">
              <w:rPr>
                <w:lang w:val="en-IE"/>
              </w:rPr>
              <w:t>Coordination of the different elements of the action will be assumed depending</w:t>
            </w:r>
            <w:r w:rsidRPr="009F7E55">
              <w:rPr>
                <w:spacing w:val="-7"/>
                <w:lang w:val="en-IE"/>
              </w:rPr>
              <w:t xml:space="preserve"> </w:t>
            </w:r>
            <w:r w:rsidRPr="009F7E55">
              <w:rPr>
                <w:lang w:val="en-IE"/>
              </w:rPr>
              <w:t>on</w:t>
            </w:r>
            <w:r w:rsidRPr="009F7E55">
              <w:rPr>
                <w:spacing w:val="-6"/>
                <w:lang w:val="en-IE"/>
              </w:rPr>
              <w:t xml:space="preserve"> </w:t>
            </w:r>
            <w:r w:rsidRPr="009F7E55">
              <w:rPr>
                <w:lang w:val="en-IE"/>
              </w:rPr>
              <w:t>their</w:t>
            </w:r>
            <w:r w:rsidRPr="009F7E55">
              <w:rPr>
                <w:spacing w:val="-6"/>
                <w:lang w:val="en-IE"/>
              </w:rPr>
              <w:t xml:space="preserve"> </w:t>
            </w:r>
            <w:r w:rsidRPr="009F7E55">
              <w:rPr>
                <w:lang w:val="en-IE"/>
              </w:rPr>
              <w:t>specificities</w:t>
            </w:r>
            <w:r w:rsidRPr="009F7E55">
              <w:rPr>
                <w:spacing w:val="-5"/>
                <w:lang w:val="en-IE"/>
              </w:rPr>
              <w:t xml:space="preserve"> </w:t>
            </w:r>
            <w:r w:rsidRPr="009F7E55">
              <w:rPr>
                <w:lang w:val="en-IE"/>
              </w:rPr>
              <w:t>and</w:t>
            </w:r>
            <w:r w:rsidRPr="009F7E55">
              <w:rPr>
                <w:spacing w:val="-5"/>
                <w:lang w:val="en-IE"/>
              </w:rPr>
              <w:t xml:space="preserve"> </w:t>
            </w:r>
            <w:r w:rsidRPr="009F7E55">
              <w:rPr>
                <w:lang w:val="en-IE"/>
              </w:rPr>
              <w:t>the</w:t>
            </w:r>
            <w:r w:rsidRPr="009F7E55">
              <w:rPr>
                <w:spacing w:val="-8"/>
                <w:lang w:val="en-IE"/>
              </w:rPr>
              <w:t xml:space="preserve"> </w:t>
            </w:r>
            <w:r w:rsidRPr="009F7E55">
              <w:rPr>
                <w:lang w:val="en-IE"/>
              </w:rPr>
              <w:t>mandate</w:t>
            </w:r>
            <w:r w:rsidRPr="009F7E55">
              <w:rPr>
                <w:spacing w:val="-7"/>
                <w:lang w:val="en-IE"/>
              </w:rPr>
              <w:t xml:space="preserve"> </w:t>
            </w:r>
            <w:r w:rsidRPr="009F7E55">
              <w:rPr>
                <w:lang w:val="en-IE"/>
              </w:rPr>
              <w:t>of</w:t>
            </w:r>
            <w:r w:rsidRPr="009F7E55">
              <w:rPr>
                <w:spacing w:val="-6"/>
                <w:lang w:val="en-IE"/>
              </w:rPr>
              <w:t xml:space="preserve"> </w:t>
            </w:r>
            <w:r w:rsidRPr="009F7E55">
              <w:rPr>
                <w:lang w:val="en-IE"/>
              </w:rPr>
              <w:t>different</w:t>
            </w:r>
            <w:r w:rsidRPr="009F7E55">
              <w:rPr>
                <w:spacing w:val="-6"/>
                <w:lang w:val="en-IE"/>
              </w:rPr>
              <w:t xml:space="preserve"> </w:t>
            </w:r>
            <w:r w:rsidRPr="009F7E55">
              <w:rPr>
                <w:lang w:val="en-IE"/>
              </w:rPr>
              <w:t>actors</w:t>
            </w:r>
            <w:r w:rsidRPr="009F7E55">
              <w:rPr>
                <w:spacing w:val="-6"/>
                <w:lang w:val="en-IE"/>
              </w:rPr>
              <w:t xml:space="preserve"> </w:t>
            </w:r>
            <w:r w:rsidRPr="009F7E55">
              <w:rPr>
                <w:lang w:val="en-IE"/>
              </w:rPr>
              <w:t>and will be pursued in close cooperation with Member States and stakeholders. In particular, a non-exhaustive list of key actions and responsibilities can be as</w:t>
            </w:r>
            <w:r w:rsidRPr="009F7E55">
              <w:rPr>
                <w:spacing w:val="-5"/>
                <w:lang w:val="en-IE"/>
              </w:rPr>
              <w:t xml:space="preserve"> </w:t>
            </w:r>
            <w:r w:rsidRPr="009F7E55">
              <w:rPr>
                <w:lang w:val="en-IE"/>
              </w:rPr>
              <w:t>follows:</w:t>
            </w:r>
          </w:p>
          <w:p w14:paraId="30279413" w14:textId="77777777" w:rsidR="00674F14" w:rsidRPr="009F7E55" w:rsidRDefault="00674F14" w:rsidP="00674F14">
            <w:pPr>
              <w:pStyle w:val="TableParagraph"/>
              <w:numPr>
                <w:ilvl w:val="1"/>
                <w:numId w:val="19"/>
              </w:numPr>
              <w:tabs>
                <w:tab w:val="left" w:pos="822"/>
              </w:tabs>
              <w:spacing w:before="2" w:line="237" w:lineRule="auto"/>
              <w:ind w:right="92"/>
              <w:jc w:val="both"/>
              <w:rPr>
                <w:lang w:val="en-IE"/>
              </w:rPr>
            </w:pPr>
            <w:r w:rsidRPr="009F7E55">
              <w:rPr>
                <w:lang w:val="en-IE"/>
              </w:rPr>
              <w:t>The Commission will coordinate the preparation of the</w:t>
            </w:r>
            <w:r w:rsidRPr="009F7E55">
              <w:rPr>
                <w:spacing w:val="-37"/>
                <w:lang w:val="en-IE"/>
              </w:rPr>
              <w:t xml:space="preserve"> </w:t>
            </w:r>
            <w:r w:rsidRPr="009F7E55">
              <w:rPr>
                <w:lang w:val="en-IE"/>
              </w:rPr>
              <w:t xml:space="preserve">ERIC </w:t>
            </w:r>
            <w:r w:rsidRPr="009F7E55">
              <w:rPr>
                <w:lang w:val="en-IE"/>
              </w:rPr>
              <w:lastRenderedPageBreak/>
              <w:t>Report, the revision of the European Charter for Access to Research Infrastructures, relying on expert advice. The Commission will also contribute</w:t>
            </w:r>
            <w:r w:rsidRPr="009F7E55">
              <w:rPr>
                <w:spacing w:val="-7"/>
                <w:lang w:val="en-IE"/>
              </w:rPr>
              <w:t xml:space="preserve"> </w:t>
            </w:r>
            <w:r w:rsidRPr="009F7E55">
              <w:rPr>
                <w:lang w:val="en-IE"/>
              </w:rPr>
              <w:t>to</w:t>
            </w:r>
            <w:r w:rsidRPr="009F7E55">
              <w:rPr>
                <w:spacing w:val="-5"/>
                <w:lang w:val="en-IE"/>
              </w:rPr>
              <w:t xml:space="preserve"> </w:t>
            </w:r>
            <w:r w:rsidRPr="009F7E55">
              <w:rPr>
                <w:lang w:val="en-IE"/>
              </w:rPr>
              <w:t>the</w:t>
            </w:r>
            <w:r w:rsidRPr="009F7E55">
              <w:rPr>
                <w:spacing w:val="-6"/>
                <w:lang w:val="en-IE"/>
              </w:rPr>
              <w:t xml:space="preserve"> </w:t>
            </w:r>
            <w:r w:rsidRPr="009F7E55">
              <w:rPr>
                <w:lang w:val="en-IE"/>
              </w:rPr>
              <w:t>process</w:t>
            </w:r>
            <w:r w:rsidRPr="009F7E55">
              <w:rPr>
                <w:spacing w:val="-7"/>
                <w:lang w:val="en-IE"/>
              </w:rPr>
              <w:t xml:space="preserve"> </w:t>
            </w:r>
            <w:r w:rsidRPr="009F7E55">
              <w:rPr>
                <w:lang w:val="en-IE"/>
              </w:rPr>
              <w:t>of</w:t>
            </w:r>
            <w:r w:rsidRPr="009F7E55">
              <w:rPr>
                <w:spacing w:val="-6"/>
                <w:lang w:val="en-IE"/>
              </w:rPr>
              <w:t xml:space="preserve"> </w:t>
            </w:r>
            <w:r w:rsidRPr="009F7E55">
              <w:rPr>
                <w:lang w:val="en-IE"/>
              </w:rPr>
              <w:t>identifying</w:t>
            </w:r>
            <w:r w:rsidRPr="009F7E55">
              <w:rPr>
                <w:spacing w:val="-6"/>
                <w:lang w:val="en-IE"/>
              </w:rPr>
              <w:t xml:space="preserve"> </w:t>
            </w:r>
            <w:r w:rsidRPr="009F7E55">
              <w:rPr>
                <w:lang w:val="en-IE"/>
              </w:rPr>
              <w:t>needs</w:t>
            </w:r>
            <w:r w:rsidRPr="009F7E55">
              <w:rPr>
                <w:spacing w:val="-8"/>
                <w:lang w:val="en-IE"/>
              </w:rPr>
              <w:t xml:space="preserve"> </w:t>
            </w:r>
            <w:r w:rsidRPr="009F7E55">
              <w:rPr>
                <w:lang w:val="en-IE"/>
              </w:rPr>
              <w:t>and</w:t>
            </w:r>
            <w:r w:rsidRPr="009F7E55">
              <w:rPr>
                <w:spacing w:val="-5"/>
                <w:lang w:val="en-IE"/>
              </w:rPr>
              <w:t xml:space="preserve"> </w:t>
            </w:r>
            <w:r w:rsidRPr="009F7E55">
              <w:rPr>
                <w:lang w:val="en-IE"/>
              </w:rPr>
              <w:t>priority</w:t>
            </w:r>
            <w:r w:rsidRPr="009F7E55">
              <w:rPr>
                <w:spacing w:val="-5"/>
                <w:lang w:val="en-IE"/>
              </w:rPr>
              <w:t xml:space="preserve"> </w:t>
            </w:r>
            <w:r w:rsidRPr="009F7E55">
              <w:rPr>
                <w:lang w:val="en-IE"/>
              </w:rPr>
              <w:t>setting</w:t>
            </w:r>
            <w:r w:rsidRPr="009F7E55">
              <w:rPr>
                <w:spacing w:val="-5"/>
                <w:lang w:val="en-IE"/>
              </w:rPr>
              <w:t xml:space="preserve"> at EU level </w:t>
            </w:r>
            <w:r w:rsidRPr="009F7E55">
              <w:rPr>
                <w:lang w:val="en-IE"/>
              </w:rPr>
              <w:t>as part of the landscape</w:t>
            </w:r>
            <w:r w:rsidRPr="009F7E55">
              <w:rPr>
                <w:spacing w:val="-2"/>
                <w:lang w:val="en-IE"/>
              </w:rPr>
              <w:t xml:space="preserve"> </w:t>
            </w:r>
            <w:r w:rsidRPr="009F7E55">
              <w:rPr>
                <w:lang w:val="en-IE"/>
              </w:rPr>
              <w:t>analysis.</w:t>
            </w:r>
          </w:p>
          <w:p w14:paraId="79685851" w14:textId="77777777" w:rsidR="00674F14" w:rsidRPr="009F7E55" w:rsidRDefault="00674F14" w:rsidP="00674F14">
            <w:pPr>
              <w:pStyle w:val="TableParagraph"/>
              <w:spacing w:line="249" w:lineRule="exact"/>
              <w:ind w:left="821"/>
              <w:jc w:val="both"/>
              <w:rPr>
                <w:lang w:val="en-IE"/>
              </w:rPr>
            </w:pPr>
            <w:r w:rsidRPr="009F7E55">
              <w:rPr>
                <w:lang w:val="en-IE"/>
              </w:rPr>
              <w:t>ESFRI</w:t>
            </w:r>
            <w:r w:rsidRPr="009F7E55">
              <w:rPr>
                <w:spacing w:val="-7"/>
                <w:lang w:val="en-IE"/>
              </w:rPr>
              <w:t xml:space="preserve"> </w:t>
            </w:r>
            <w:r w:rsidRPr="009F7E55">
              <w:rPr>
                <w:lang w:val="en-IE"/>
              </w:rPr>
              <w:t>(Member</w:t>
            </w:r>
            <w:r w:rsidRPr="009F7E55">
              <w:rPr>
                <w:spacing w:val="-9"/>
                <w:lang w:val="en-IE"/>
              </w:rPr>
              <w:t xml:space="preserve"> </w:t>
            </w:r>
            <w:r w:rsidRPr="009F7E55">
              <w:rPr>
                <w:lang w:val="en-IE"/>
              </w:rPr>
              <w:t>States,</w:t>
            </w:r>
            <w:r w:rsidRPr="009F7E55">
              <w:rPr>
                <w:spacing w:val="-7"/>
                <w:lang w:val="en-IE"/>
              </w:rPr>
              <w:t xml:space="preserve"> </w:t>
            </w:r>
            <w:r w:rsidRPr="009F7E55">
              <w:rPr>
                <w:lang w:val="en-IE"/>
              </w:rPr>
              <w:t>Commission)</w:t>
            </w:r>
            <w:r w:rsidRPr="009F7E55">
              <w:rPr>
                <w:spacing w:val="-10"/>
                <w:lang w:val="en-IE"/>
              </w:rPr>
              <w:t xml:space="preserve"> </w:t>
            </w:r>
            <w:r w:rsidRPr="009F7E55">
              <w:rPr>
                <w:lang w:val="en-IE"/>
              </w:rPr>
              <w:t>will</w:t>
            </w:r>
            <w:r w:rsidRPr="009F7E55">
              <w:rPr>
                <w:spacing w:val="-7"/>
                <w:lang w:val="en-IE"/>
              </w:rPr>
              <w:t xml:space="preserve"> </w:t>
            </w:r>
            <w:r w:rsidRPr="009F7E55">
              <w:rPr>
                <w:lang w:val="en-IE"/>
              </w:rPr>
              <w:t>coordinate</w:t>
            </w:r>
            <w:r w:rsidRPr="009F7E55">
              <w:rPr>
                <w:spacing w:val="-8"/>
                <w:lang w:val="en-IE"/>
              </w:rPr>
              <w:t xml:space="preserve"> </w:t>
            </w:r>
            <w:r w:rsidRPr="009F7E55">
              <w:rPr>
                <w:lang w:val="en-IE"/>
              </w:rPr>
              <w:t>the</w:t>
            </w:r>
            <w:r w:rsidRPr="009F7E55">
              <w:rPr>
                <w:spacing w:val="-6"/>
                <w:lang w:val="en-IE"/>
              </w:rPr>
              <w:t xml:space="preserve"> </w:t>
            </w:r>
            <w:r w:rsidRPr="009F7E55">
              <w:rPr>
                <w:lang w:val="en-IE"/>
              </w:rPr>
              <w:t>preparation of the next research infrastructure roadmap, the landscape analysis and implementation</w:t>
            </w:r>
            <w:r w:rsidRPr="009F7E55">
              <w:rPr>
                <w:spacing w:val="-32"/>
                <w:lang w:val="en-IE"/>
              </w:rPr>
              <w:t xml:space="preserve"> </w:t>
            </w:r>
            <w:r w:rsidRPr="009F7E55">
              <w:rPr>
                <w:lang w:val="en-IE"/>
              </w:rPr>
              <w:t>of the research infrastructures monitoring framework</w:t>
            </w:r>
            <w:r w:rsidRPr="009F7E55">
              <w:rPr>
                <w:spacing w:val="27"/>
                <w:lang w:val="en-IE"/>
              </w:rPr>
              <w:t xml:space="preserve"> </w:t>
            </w:r>
            <w:r w:rsidRPr="009F7E55">
              <w:rPr>
                <w:lang w:val="en-IE"/>
              </w:rPr>
              <w:t>consulting stakeholders and associated/third countries as relevant.</w:t>
            </w:r>
          </w:p>
          <w:p w14:paraId="33111D34" w14:textId="77777777" w:rsidR="00674F14" w:rsidRPr="009F7E55" w:rsidRDefault="00674F14" w:rsidP="00674F14">
            <w:pPr>
              <w:pStyle w:val="TableParagraph"/>
              <w:numPr>
                <w:ilvl w:val="0"/>
                <w:numId w:val="18"/>
              </w:numPr>
              <w:tabs>
                <w:tab w:val="left" w:pos="822"/>
              </w:tabs>
              <w:spacing w:before="2" w:line="237" w:lineRule="auto"/>
              <w:ind w:right="91"/>
              <w:jc w:val="both"/>
              <w:rPr>
                <w:lang w:val="en-IE"/>
              </w:rPr>
            </w:pPr>
            <w:r w:rsidRPr="009F7E55">
              <w:rPr>
                <w:lang w:val="en-IE"/>
              </w:rPr>
              <w:t>Member States, through the Horizon Europe Programme Committee, and the Commission will coordinate the preparation of relevant Horizon Europe work programme actions.</w:t>
            </w:r>
          </w:p>
          <w:p w14:paraId="329A1E72" w14:textId="77777777" w:rsidR="00674F14" w:rsidRPr="009F7E55" w:rsidRDefault="00674F14" w:rsidP="00674F14">
            <w:pPr>
              <w:pStyle w:val="TableParagraph"/>
              <w:numPr>
                <w:ilvl w:val="0"/>
                <w:numId w:val="18"/>
              </w:numPr>
              <w:tabs>
                <w:tab w:val="left" w:pos="822"/>
              </w:tabs>
              <w:spacing w:before="2" w:line="237" w:lineRule="auto"/>
              <w:ind w:right="93"/>
              <w:jc w:val="both"/>
              <w:rPr>
                <w:lang w:val="en-IE"/>
              </w:rPr>
            </w:pPr>
            <w:r w:rsidRPr="009F7E55">
              <w:rPr>
                <w:lang w:val="en-IE"/>
              </w:rPr>
              <w:t>EOSC tripartite governance will coordinate the multi-annual monitoring process of EOSC-related investments and policies in the context of the EOSC European</w:t>
            </w:r>
            <w:r w:rsidRPr="009F7E55">
              <w:rPr>
                <w:spacing w:val="-5"/>
                <w:lang w:val="en-IE"/>
              </w:rPr>
              <w:t xml:space="preserve"> </w:t>
            </w:r>
            <w:r w:rsidRPr="009F7E55">
              <w:rPr>
                <w:lang w:val="en-IE"/>
              </w:rPr>
              <w:t>partnership.</w:t>
            </w:r>
          </w:p>
          <w:p w14:paraId="5D8ECAFD" w14:textId="77777777" w:rsidR="00674F14" w:rsidRPr="009F7E55" w:rsidRDefault="00674F14" w:rsidP="00674F14">
            <w:pPr>
              <w:pStyle w:val="TableParagraph"/>
              <w:numPr>
                <w:ilvl w:val="0"/>
                <w:numId w:val="18"/>
              </w:numPr>
              <w:tabs>
                <w:tab w:val="left" w:pos="822"/>
              </w:tabs>
              <w:spacing w:before="4" w:line="235" w:lineRule="auto"/>
              <w:ind w:right="96"/>
              <w:jc w:val="both"/>
              <w:rPr>
                <w:lang w:val="en-IE"/>
              </w:rPr>
            </w:pPr>
            <w:r w:rsidRPr="009F7E55">
              <w:rPr>
                <w:lang w:val="en-IE"/>
              </w:rPr>
              <w:t>Member States will also contribute to the landscape analysis and monitoring with input on relevant national facilities and national</w:t>
            </w:r>
            <w:r w:rsidRPr="009F7E55">
              <w:rPr>
                <w:spacing w:val="-1"/>
                <w:lang w:val="en-IE"/>
              </w:rPr>
              <w:t xml:space="preserve"> </w:t>
            </w:r>
            <w:r w:rsidRPr="009F7E55">
              <w:rPr>
                <w:lang w:val="en-IE"/>
              </w:rPr>
              <w:t>nodes.</w:t>
            </w:r>
          </w:p>
          <w:p w14:paraId="4A0E2201" w14:textId="77777777" w:rsidR="00674F14" w:rsidRPr="009F7E55" w:rsidRDefault="00674F14" w:rsidP="00674F14">
            <w:pPr>
              <w:pStyle w:val="TableParagraph"/>
              <w:numPr>
                <w:ilvl w:val="0"/>
                <w:numId w:val="18"/>
              </w:numPr>
              <w:tabs>
                <w:tab w:val="left" w:pos="822"/>
              </w:tabs>
              <w:spacing w:line="237" w:lineRule="auto"/>
              <w:ind w:right="95"/>
              <w:jc w:val="both"/>
              <w:rPr>
                <w:lang w:val="en-IE"/>
              </w:rPr>
            </w:pPr>
            <w:r w:rsidRPr="009F7E55">
              <w:rPr>
                <w:lang w:val="en-IE"/>
              </w:rPr>
              <w:t>Associated Countries will be involved in ESFRI in line with the new ERA and will be consulted in view of the preparation of the ERIC Report.</w:t>
            </w:r>
          </w:p>
          <w:p w14:paraId="11367BD0" w14:textId="1B3B4EE4" w:rsidR="00674F14" w:rsidRPr="009F7E55" w:rsidRDefault="00674F14" w:rsidP="00674F14">
            <w:pPr>
              <w:pStyle w:val="TableParagraph"/>
              <w:spacing w:before="119"/>
              <w:ind w:left="107" w:right="127"/>
              <w:rPr>
                <w:lang w:val="en-IE"/>
              </w:rPr>
            </w:pPr>
            <w:r w:rsidRPr="009F7E55">
              <w:rPr>
                <w:lang w:val="en-IE"/>
              </w:rPr>
              <w:t>Research infrastructures (notably ESFRI Landmarks, ESFRI Projects and ERICs), their umbrella organisations, such as the ERIC Forum, ERF,</w:t>
            </w:r>
            <w:r w:rsidRPr="009F7E55">
              <w:rPr>
                <w:spacing w:val="-13"/>
                <w:lang w:val="en-IE"/>
              </w:rPr>
              <w:t xml:space="preserve"> </w:t>
            </w:r>
            <w:r w:rsidRPr="009F7E55">
              <w:rPr>
                <w:lang w:val="en-IE"/>
              </w:rPr>
              <w:t>LEAPS,</w:t>
            </w:r>
            <w:r w:rsidRPr="009F7E55">
              <w:rPr>
                <w:spacing w:val="-15"/>
                <w:lang w:val="en-IE"/>
              </w:rPr>
              <w:t xml:space="preserve"> </w:t>
            </w:r>
            <w:r w:rsidRPr="009F7E55">
              <w:rPr>
                <w:lang w:val="en-IE"/>
              </w:rPr>
              <w:t>LENS,</w:t>
            </w:r>
            <w:r w:rsidRPr="009F7E55">
              <w:rPr>
                <w:spacing w:val="-12"/>
                <w:lang w:val="en-IE"/>
              </w:rPr>
              <w:t xml:space="preserve"> </w:t>
            </w:r>
            <w:r w:rsidRPr="009F7E55">
              <w:rPr>
                <w:lang w:val="en-IE"/>
              </w:rPr>
              <w:t>among</w:t>
            </w:r>
            <w:r w:rsidRPr="009F7E55">
              <w:rPr>
                <w:spacing w:val="-16"/>
                <w:lang w:val="en-IE"/>
              </w:rPr>
              <w:t xml:space="preserve"> </w:t>
            </w:r>
            <w:r w:rsidRPr="009F7E55">
              <w:rPr>
                <w:lang w:val="en-IE"/>
              </w:rPr>
              <w:t>others,</w:t>
            </w:r>
            <w:r w:rsidRPr="009F7E55">
              <w:rPr>
                <w:spacing w:val="-12"/>
                <w:lang w:val="en-IE"/>
              </w:rPr>
              <w:t xml:space="preserve"> </w:t>
            </w:r>
            <w:r w:rsidRPr="009F7E55">
              <w:rPr>
                <w:lang w:val="en-IE"/>
              </w:rPr>
              <w:t>as</w:t>
            </w:r>
            <w:r w:rsidRPr="009F7E55">
              <w:rPr>
                <w:spacing w:val="-14"/>
                <w:lang w:val="en-IE"/>
              </w:rPr>
              <w:t xml:space="preserve"> </w:t>
            </w:r>
            <w:r w:rsidRPr="009F7E55">
              <w:rPr>
                <w:lang w:val="en-IE"/>
              </w:rPr>
              <w:t>well</w:t>
            </w:r>
            <w:r w:rsidRPr="009F7E55">
              <w:rPr>
                <w:spacing w:val="-16"/>
                <w:lang w:val="en-IE"/>
              </w:rPr>
              <w:t xml:space="preserve"> </w:t>
            </w:r>
            <w:r w:rsidRPr="009F7E55">
              <w:rPr>
                <w:lang w:val="en-IE"/>
              </w:rPr>
              <w:t>as</w:t>
            </w:r>
            <w:r w:rsidRPr="009F7E55">
              <w:rPr>
                <w:spacing w:val="-13"/>
                <w:lang w:val="en-IE"/>
              </w:rPr>
              <w:t xml:space="preserve"> </w:t>
            </w:r>
            <w:r w:rsidRPr="009F7E55">
              <w:rPr>
                <w:lang w:val="en-IE"/>
              </w:rPr>
              <w:t>appropriate</w:t>
            </w:r>
            <w:r w:rsidRPr="009F7E55">
              <w:rPr>
                <w:spacing w:val="-15"/>
                <w:lang w:val="en-IE"/>
              </w:rPr>
              <w:t xml:space="preserve"> </w:t>
            </w:r>
            <w:r w:rsidRPr="009F7E55">
              <w:rPr>
                <w:lang w:val="en-IE"/>
              </w:rPr>
              <w:t>international organisations will be consulted for all relevant activities.</w:t>
            </w:r>
          </w:p>
        </w:tc>
      </w:tr>
      <w:tr w:rsidR="00674F14" w:rsidRPr="009F7E55" w14:paraId="382DA66F" w14:textId="77777777" w:rsidTr="00674F14">
        <w:trPr>
          <w:trHeight w:val="1701"/>
        </w:trPr>
        <w:tc>
          <w:tcPr>
            <w:tcW w:w="2388" w:type="dxa"/>
          </w:tcPr>
          <w:p w14:paraId="7997B65D" w14:textId="6BA7DC59" w:rsidR="00674F14" w:rsidRPr="009F7E55" w:rsidRDefault="00674F14" w:rsidP="00674F14">
            <w:pPr>
              <w:pStyle w:val="TableParagraph"/>
              <w:spacing w:before="121"/>
              <w:ind w:left="340"/>
              <w:rPr>
                <w:b/>
                <w:lang w:val="en-IE"/>
              </w:rPr>
            </w:pPr>
            <w:r w:rsidRPr="009F7E55">
              <w:rPr>
                <w:b/>
                <w:lang w:val="en-IE"/>
              </w:rPr>
              <w:lastRenderedPageBreak/>
              <w:t>3. Timing and milestones</w:t>
            </w:r>
          </w:p>
        </w:tc>
        <w:tc>
          <w:tcPr>
            <w:tcW w:w="6964" w:type="dxa"/>
          </w:tcPr>
          <w:p w14:paraId="09DEC698" w14:textId="77777777" w:rsidR="00674F14" w:rsidRPr="009F7E55" w:rsidRDefault="00674F14" w:rsidP="00674F14">
            <w:pPr>
              <w:pStyle w:val="TableParagraph"/>
              <w:spacing w:before="119"/>
              <w:ind w:left="107" w:right="7"/>
              <w:rPr>
                <w:lang w:val="en-IE"/>
              </w:rPr>
            </w:pPr>
            <w:r w:rsidRPr="009F7E55">
              <w:rPr>
                <w:lang w:val="en-IE"/>
              </w:rPr>
              <w:t>The implementation of the different components of this action is planned as follows (timing can be adjusted e.g. according to ESFRI process when relevant):</w:t>
            </w:r>
          </w:p>
          <w:p w14:paraId="42757B5A" w14:textId="77777777" w:rsidR="00674F14" w:rsidRPr="009F7E55" w:rsidRDefault="00674F14" w:rsidP="00674F14">
            <w:pPr>
              <w:pStyle w:val="TableParagraph"/>
              <w:numPr>
                <w:ilvl w:val="0"/>
                <w:numId w:val="19"/>
              </w:numPr>
              <w:tabs>
                <w:tab w:val="left" w:pos="468"/>
                <w:tab w:val="left" w:pos="469"/>
              </w:tabs>
              <w:spacing w:before="121"/>
              <w:ind w:right="91"/>
              <w:rPr>
                <w:lang w:val="en-IE"/>
              </w:rPr>
            </w:pPr>
            <w:r w:rsidRPr="009F7E55">
              <w:rPr>
                <w:lang w:val="en-IE"/>
              </w:rPr>
              <w:t>Strategic analysis of the European Research Infrastructure landscape (Q4</w:t>
            </w:r>
            <w:r w:rsidRPr="009F7E55">
              <w:rPr>
                <w:spacing w:val="-2"/>
                <w:lang w:val="en-IE"/>
              </w:rPr>
              <w:t xml:space="preserve"> </w:t>
            </w:r>
            <w:r w:rsidRPr="009F7E55">
              <w:rPr>
                <w:lang w:val="en-IE"/>
              </w:rPr>
              <w:t>2023)</w:t>
            </w:r>
          </w:p>
          <w:p w14:paraId="300A0623" w14:textId="77777777" w:rsidR="00674F14" w:rsidRPr="009F7E55" w:rsidRDefault="00674F14" w:rsidP="00674F14">
            <w:pPr>
              <w:pStyle w:val="TableParagraph"/>
              <w:numPr>
                <w:ilvl w:val="1"/>
                <w:numId w:val="19"/>
              </w:numPr>
              <w:tabs>
                <w:tab w:val="left" w:pos="845"/>
                <w:tab w:val="left" w:pos="846"/>
              </w:tabs>
              <w:rPr>
                <w:lang w:val="en-IE"/>
              </w:rPr>
            </w:pPr>
            <w:r w:rsidRPr="009F7E55">
              <w:rPr>
                <w:lang w:val="en-IE"/>
              </w:rPr>
              <w:t>Review of the state of the art, consultation, exchange of practices (Q3</w:t>
            </w:r>
            <w:r w:rsidRPr="009F7E55">
              <w:rPr>
                <w:spacing w:val="-17"/>
                <w:lang w:val="en-IE"/>
              </w:rPr>
              <w:t xml:space="preserve"> </w:t>
            </w:r>
            <w:r w:rsidRPr="009F7E55">
              <w:rPr>
                <w:lang w:val="en-IE"/>
              </w:rPr>
              <w:t>2022)</w:t>
            </w:r>
          </w:p>
          <w:p w14:paraId="0B9A2969" w14:textId="77777777" w:rsidR="00674F14" w:rsidRPr="009F7E55" w:rsidRDefault="00674F14" w:rsidP="00674F14">
            <w:pPr>
              <w:pStyle w:val="TableParagraph"/>
              <w:numPr>
                <w:ilvl w:val="1"/>
                <w:numId w:val="19"/>
              </w:numPr>
              <w:tabs>
                <w:tab w:val="left" w:pos="845"/>
                <w:tab w:val="left" w:pos="846"/>
              </w:tabs>
              <w:spacing w:before="20"/>
              <w:rPr>
                <w:lang w:val="en-IE"/>
              </w:rPr>
            </w:pPr>
            <w:r w:rsidRPr="009F7E55">
              <w:rPr>
                <w:lang w:val="en-IE"/>
              </w:rPr>
              <w:t>EOSC Steering Board first annual survey (Q2</w:t>
            </w:r>
            <w:r w:rsidRPr="009F7E55">
              <w:rPr>
                <w:spacing w:val="-8"/>
                <w:lang w:val="en-IE"/>
              </w:rPr>
              <w:t xml:space="preserve"> </w:t>
            </w:r>
            <w:r w:rsidRPr="009F7E55">
              <w:rPr>
                <w:lang w:val="en-IE"/>
              </w:rPr>
              <w:t>2022)</w:t>
            </w:r>
          </w:p>
          <w:p w14:paraId="34335991" w14:textId="77777777" w:rsidR="00674F14" w:rsidRPr="009F7E55" w:rsidRDefault="00674F14" w:rsidP="00674F14">
            <w:pPr>
              <w:pStyle w:val="TableParagraph"/>
              <w:numPr>
                <w:ilvl w:val="1"/>
                <w:numId w:val="19"/>
              </w:numPr>
              <w:tabs>
                <w:tab w:val="left" w:pos="845"/>
                <w:tab w:val="left" w:pos="846"/>
              </w:tabs>
              <w:spacing w:before="21"/>
              <w:rPr>
                <w:lang w:val="en-IE"/>
              </w:rPr>
            </w:pPr>
            <w:r w:rsidRPr="009F7E55">
              <w:rPr>
                <w:lang w:val="en-IE"/>
              </w:rPr>
              <w:t>Methodology (Q4</w:t>
            </w:r>
            <w:r w:rsidRPr="009F7E55">
              <w:rPr>
                <w:spacing w:val="-1"/>
                <w:lang w:val="en-IE"/>
              </w:rPr>
              <w:t xml:space="preserve"> </w:t>
            </w:r>
            <w:r w:rsidRPr="009F7E55">
              <w:rPr>
                <w:lang w:val="en-IE"/>
              </w:rPr>
              <w:t>2022)</w:t>
            </w:r>
          </w:p>
          <w:p w14:paraId="30FFE0E6" w14:textId="77777777" w:rsidR="00674F14" w:rsidRPr="009F7E55" w:rsidRDefault="00674F14" w:rsidP="00674F14">
            <w:pPr>
              <w:pStyle w:val="TableParagraph"/>
              <w:numPr>
                <w:ilvl w:val="1"/>
                <w:numId w:val="19"/>
              </w:numPr>
              <w:tabs>
                <w:tab w:val="left" w:pos="845"/>
                <w:tab w:val="left" w:pos="846"/>
              </w:tabs>
              <w:spacing w:before="22" w:line="259" w:lineRule="auto"/>
              <w:ind w:right="94"/>
              <w:rPr>
                <w:lang w:val="en-IE"/>
              </w:rPr>
            </w:pPr>
            <w:r w:rsidRPr="009F7E55">
              <w:rPr>
                <w:lang w:val="en-IE"/>
              </w:rPr>
              <w:t>Implementation of the landscape analysis and preparation of the report (Q4</w:t>
            </w:r>
            <w:r w:rsidRPr="009F7E55">
              <w:rPr>
                <w:spacing w:val="-3"/>
                <w:lang w:val="en-IE"/>
              </w:rPr>
              <w:t xml:space="preserve"> </w:t>
            </w:r>
            <w:r w:rsidRPr="009F7E55">
              <w:rPr>
                <w:lang w:val="en-IE"/>
              </w:rPr>
              <w:t>2023)</w:t>
            </w:r>
          </w:p>
          <w:p w14:paraId="6363AD7F" w14:textId="77777777" w:rsidR="00674F14" w:rsidRPr="009F7E55" w:rsidRDefault="00674F14" w:rsidP="00674F14">
            <w:pPr>
              <w:pStyle w:val="TableParagraph"/>
              <w:numPr>
                <w:ilvl w:val="1"/>
                <w:numId w:val="19"/>
              </w:numPr>
              <w:tabs>
                <w:tab w:val="left" w:pos="845"/>
                <w:tab w:val="left" w:pos="846"/>
              </w:tabs>
              <w:spacing w:line="259" w:lineRule="auto"/>
              <w:ind w:right="93"/>
              <w:rPr>
                <w:lang w:val="en-IE"/>
              </w:rPr>
            </w:pPr>
            <w:r w:rsidRPr="009F7E55">
              <w:rPr>
                <w:lang w:val="en-IE"/>
              </w:rPr>
              <w:t>Gap analysis in selected areas (Q2 2024) and direction of one or few pilot services (Q4</w:t>
            </w:r>
            <w:r w:rsidRPr="009F7E55">
              <w:rPr>
                <w:spacing w:val="-1"/>
                <w:lang w:val="en-IE"/>
              </w:rPr>
              <w:t xml:space="preserve"> </w:t>
            </w:r>
            <w:r w:rsidRPr="009F7E55">
              <w:rPr>
                <w:lang w:val="en-IE"/>
              </w:rPr>
              <w:t>2024)</w:t>
            </w:r>
          </w:p>
          <w:p w14:paraId="0203C818" w14:textId="77777777" w:rsidR="00674F14" w:rsidRPr="009F7E55" w:rsidRDefault="00674F14" w:rsidP="00674F14">
            <w:pPr>
              <w:pStyle w:val="TableParagraph"/>
              <w:numPr>
                <w:ilvl w:val="0"/>
                <w:numId w:val="19"/>
              </w:numPr>
              <w:tabs>
                <w:tab w:val="left" w:pos="468"/>
                <w:tab w:val="left" w:pos="469"/>
                <w:tab w:val="left" w:pos="1397"/>
                <w:tab w:val="left" w:pos="1936"/>
                <w:tab w:val="left" w:pos="2623"/>
                <w:tab w:val="left" w:pos="3842"/>
                <w:tab w:val="left" w:pos="4621"/>
                <w:tab w:val="left" w:pos="5017"/>
                <w:tab w:val="left" w:pos="6085"/>
              </w:tabs>
              <w:spacing w:before="122" w:line="237" w:lineRule="auto"/>
              <w:ind w:right="92"/>
              <w:rPr>
                <w:lang w:val="en-IE"/>
              </w:rPr>
            </w:pPr>
            <w:r w:rsidRPr="009F7E55">
              <w:rPr>
                <w:lang w:val="en-IE"/>
              </w:rPr>
              <w:t xml:space="preserve">Broader and more sustainable access to European </w:t>
            </w:r>
            <w:r w:rsidRPr="009F7E55">
              <w:rPr>
                <w:spacing w:val="-3"/>
                <w:lang w:val="en-IE"/>
              </w:rPr>
              <w:t xml:space="preserve">research </w:t>
            </w:r>
            <w:r w:rsidRPr="009F7E55">
              <w:rPr>
                <w:lang w:val="en-IE"/>
              </w:rPr>
              <w:t>infrastructures and their</w:t>
            </w:r>
            <w:r w:rsidRPr="009F7E55">
              <w:rPr>
                <w:spacing w:val="-4"/>
                <w:lang w:val="en-IE"/>
              </w:rPr>
              <w:t xml:space="preserve"> </w:t>
            </w:r>
            <w:r w:rsidRPr="009F7E55">
              <w:rPr>
                <w:lang w:val="en-IE"/>
              </w:rPr>
              <w:t>services:</w:t>
            </w:r>
          </w:p>
          <w:p w14:paraId="661FE3DC" w14:textId="77777777" w:rsidR="00674F14" w:rsidRPr="009F7E55" w:rsidRDefault="00674F14" w:rsidP="00674F14">
            <w:pPr>
              <w:pStyle w:val="TableParagraph"/>
              <w:numPr>
                <w:ilvl w:val="1"/>
                <w:numId w:val="19"/>
              </w:numPr>
              <w:tabs>
                <w:tab w:val="left" w:pos="845"/>
                <w:tab w:val="left" w:pos="846"/>
              </w:tabs>
              <w:spacing w:before="1"/>
              <w:rPr>
                <w:lang w:val="en-IE"/>
              </w:rPr>
            </w:pPr>
            <w:r w:rsidRPr="009F7E55">
              <w:rPr>
                <w:lang w:val="en-IE"/>
              </w:rPr>
              <w:t>Experts analysis (Q3</w:t>
            </w:r>
            <w:r w:rsidRPr="009F7E55">
              <w:rPr>
                <w:spacing w:val="-7"/>
                <w:lang w:val="en-IE"/>
              </w:rPr>
              <w:t xml:space="preserve"> </w:t>
            </w:r>
            <w:r w:rsidRPr="009F7E55">
              <w:rPr>
                <w:lang w:val="en-IE"/>
              </w:rPr>
              <w:t>2022)</w:t>
            </w:r>
          </w:p>
          <w:p w14:paraId="70755007" w14:textId="77777777" w:rsidR="00674F14" w:rsidRPr="009F7E55" w:rsidRDefault="00674F14" w:rsidP="00674F14">
            <w:pPr>
              <w:pStyle w:val="TableParagraph"/>
              <w:numPr>
                <w:ilvl w:val="1"/>
                <w:numId w:val="19"/>
              </w:numPr>
              <w:tabs>
                <w:tab w:val="left" w:pos="845"/>
                <w:tab w:val="left" w:pos="846"/>
              </w:tabs>
              <w:spacing w:before="22"/>
              <w:rPr>
                <w:lang w:val="en-IE"/>
              </w:rPr>
            </w:pPr>
            <w:r w:rsidRPr="009F7E55">
              <w:rPr>
                <w:lang w:val="en-IE"/>
              </w:rPr>
              <w:t>Stakeholders consultation (Q4</w:t>
            </w:r>
            <w:r w:rsidRPr="009F7E55">
              <w:rPr>
                <w:spacing w:val="-1"/>
                <w:lang w:val="en-IE"/>
              </w:rPr>
              <w:t xml:space="preserve"> </w:t>
            </w:r>
            <w:r w:rsidRPr="009F7E55">
              <w:rPr>
                <w:lang w:val="en-IE"/>
              </w:rPr>
              <w:t>2022)</w:t>
            </w:r>
          </w:p>
          <w:p w14:paraId="5F8C1CF8" w14:textId="77777777" w:rsidR="00674F14" w:rsidRPr="009F7E55" w:rsidRDefault="00674F14" w:rsidP="00674F14">
            <w:pPr>
              <w:pStyle w:val="TableParagraph"/>
              <w:numPr>
                <w:ilvl w:val="1"/>
                <w:numId w:val="19"/>
              </w:numPr>
              <w:tabs>
                <w:tab w:val="left" w:pos="845"/>
                <w:tab w:val="left" w:pos="846"/>
              </w:tabs>
              <w:spacing w:before="22"/>
              <w:rPr>
                <w:lang w:val="en-IE"/>
              </w:rPr>
            </w:pPr>
            <w:r w:rsidRPr="009F7E55">
              <w:rPr>
                <w:lang w:val="en-IE"/>
              </w:rPr>
              <w:t>Report on access models (Q2</w:t>
            </w:r>
            <w:r w:rsidRPr="009F7E55">
              <w:rPr>
                <w:spacing w:val="-8"/>
                <w:lang w:val="en-IE"/>
              </w:rPr>
              <w:t xml:space="preserve"> </w:t>
            </w:r>
            <w:r w:rsidRPr="009F7E55">
              <w:rPr>
                <w:lang w:val="en-IE"/>
              </w:rPr>
              <w:t>2023)</w:t>
            </w:r>
          </w:p>
          <w:p w14:paraId="1D403CD3" w14:textId="77777777" w:rsidR="00674F14" w:rsidRPr="009F7E55" w:rsidRDefault="00674F14" w:rsidP="00674F14">
            <w:pPr>
              <w:pStyle w:val="TableParagraph"/>
              <w:numPr>
                <w:ilvl w:val="1"/>
                <w:numId w:val="19"/>
              </w:numPr>
              <w:tabs>
                <w:tab w:val="left" w:pos="845"/>
                <w:tab w:val="left" w:pos="846"/>
              </w:tabs>
              <w:spacing w:before="22"/>
              <w:rPr>
                <w:lang w:val="en-IE"/>
              </w:rPr>
            </w:pPr>
            <w:r w:rsidRPr="009F7E55">
              <w:rPr>
                <w:lang w:val="en-IE"/>
              </w:rPr>
              <w:t>Demonstration of a fully functional EOSC platform (Q3</w:t>
            </w:r>
            <w:r w:rsidRPr="009F7E55">
              <w:rPr>
                <w:spacing w:val="-10"/>
                <w:lang w:val="en-IE"/>
              </w:rPr>
              <w:t xml:space="preserve"> </w:t>
            </w:r>
            <w:r w:rsidRPr="009F7E55">
              <w:rPr>
                <w:lang w:val="en-IE"/>
              </w:rPr>
              <w:t>2023)</w:t>
            </w:r>
          </w:p>
          <w:p w14:paraId="446A1F41" w14:textId="77777777" w:rsidR="00674F14" w:rsidRPr="009F7E55" w:rsidRDefault="00674F14" w:rsidP="00674F14">
            <w:pPr>
              <w:pStyle w:val="TableParagraph"/>
              <w:numPr>
                <w:ilvl w:val="1"/>
                <w:numId w:val="19"/>
              </w:numPr>
              <w:tabs>
                <w:tab w:val="left" w:pos="845"/>
                <w:tab w:val="left" w:pos="846"/>
              </w:tabs>
              <w:spacing w:before="22" w:line="256" w:lineRule="auto"/>
              <w:ind w:right="91"/>
              <w:rPr>
                <w:lang w:val="en-IE"/>
              </w:rPr>
            </w:pPr>
            <w:r w:rsidRPr="009F7E55">
              <w:rPr>
                <w:lang w:val="en-IE"/>
              </w:rPr>
              <w:t>Commission</w:t>
            </w:r>
            <w:r w:rsidRPr="009F7E55">
              <w:rPr>
                <w:spacing w:val="-12"/>
                <w:lang w:val="en-IE"/>
              </w:rPr>
              <w:t xml:space="preserve"> </w:t>
            </w:r>
            <w:r w:rsidRPr="009F7E55">
              <w:rPr>
                <w:lang w:val="en-IE"/>
              </w:rPr>
              <w:t>Proposal</w:t>
            </w:r>
            <w:r w:rsidRPr="009F7E55">
              <w:rPr>
                <w:spacing w:val="-12"/>
                <w:lang w:val="en-IE"/>
              </w:rPr>
              <w:t xml:space="preserve"> </w:t>
            </w:r>
            <w:r w:rsidRPr="009F7E55">
              <w:rPr>
                <w:lang w:val="en-IE"/>
              </w:rPr>
              <w:t>for</w:t>
            </w:r>
            <w:r w:rsidRPr="009F7E55">
              <w:rPr>
                <w:spacing w:val="-8"/>
                <w:lang w:val="en-IE"/>
              </w:rPr>
              <w:t xml:space="preserve"> </w:t>
            </w:r>
            <w:r w:rsidRPr="009F7E55">
              <w:rPr>
                <w:lang w:val="en-IE"/>
              </w:rPr>
              <w:t>a</w:t>
            </w:r>
            <w:r w:rsidRPr="009F7E55">
              <w:rPr>
                <w:spacing w:val="-10"/>
                <w:lang w:val="en-IE"/>
              </w:rPr>
              <w:t xml:space="preserve"> </w:t>
            </w:r>
            <w:r w:rsidRPr="009F7E55">
              <w:rPr>
                <w:lang w:val="en-IE"/>
              </w:rPr>
              <w:t>European</w:t>
            </w:r>
            <w:r w:rsidRPr="009F7E55">
              <w:rPr>
                <w:spacing w:val="-9"/>
                <w:lang w:val="en-IE"/>
              </w:rPr>
              <w:t xml:space="preserve"> </w:t>
            </w:r>
            <w:r w:rsidRPr="009F7E55">
              <w:rPr>
                <w:lang w:val="en-IE"/>
              </w:rPr>
              <w:t>Charter</w:t>
            </w:r>
            <w:r w:rsidRPr="009F7E55">
              <w:rPr>
                <w:spacing w:val="-12"/>
                <w:lang w:val="en-IE"/>
              </w:rPr>
              <w:t xml:space="preserve"> </w:t>
            </w:r>
            <w:r w:rsidRPr="009F7E55">
              <w:rPr>
                <w:lang w:val="en-IE"/>
              </w:rPr>
              <w:t>for</w:t>
            </w:r>
            <w:r w:rsidRPr="009F7E55">
              <w:rPr>
                <w:spacing w:val="-11"/>
                <w:lang w:val="en-IE"/>
              </w:rPr>
              <w:t xml:space="preserve"> </w:t>
            </w:r>
            <w:r w:rsidRPr="009F7E55">
              <w:rPr>
                <w:lang w:val="en-IE"/>
              </w:rPr>
              <w:t>Access</w:t>
            </w:r>
            <w:r w:rsidRPr="009F7E55">
              <w:rPr>
                <w:spacing w:val="-9"/>
                <w:lang w:val="en-IE"/>
              </w:rPr>
              <w:t xml:space="preserve"> </w:t>
            </w:r>
            <w:r w:rsidRPr="009F7E55">
              <w:rPr>
                <w:lang w:val="en-IE"/>
              </w:rPr>
              <w:t>to</w:t>
            </w:r>
            <w:r w:rsidRPr="009F7E55">
              <w:rPr>
                <w:spacing w:val="-10"/>
                <w:lang w:val="en-IE"/>
              </w:rPr>
              <w:t xml:space="preserve"> </w:t>
            </w:r>
            <w:r w:rsidRPr="009F7E55">
              <w:rPr>
                <w:lang w:val="en-IE"/>
              </w:rPr>
              <w:t>Research Infrastructures (Q4</w:t>
            </w:r>
            <w:r w:rsidRPr="009F7E55">
              <w:rPr>
                <w:spacing w:val="-4"/>
                <w:lang w:val="en-IE"/>
              </w:rPr>
              <w:t xml:space="preserve"> </w:t>
            </w:r>
            <w:r w:rsidRPr="009F7E55">
              <w:rPr>
                <w:lang w:val="en-IE"/>
              </w:rPr>
              <w:t>2023)</w:t>
            </w:r>
          </w:p>
          <w:p w14:paraId="363DC7B9" w14:textId="77777777" w:rsidR="00674F14" w:rsidRPr="009F7E55" w:rsidRDefault="00674F14" w:rsidP="00674F14">
            <w:pPr>
              <w:pStyle w:val="TableParagraph"/>
              <w:numPr>
                <w:ilvl w:val="1"/>
                <w:numId w:val="19"/>
              </w:numPr>
              <w:tabs>
                <w:tab w:val="left" w:pos="845"/>
                <w:tab w:val="left" w:pos="846"/>
              </w:tabs>
              <w:spacing w:before="4"/>
              <w:rPr>
                <w:lang w:val="en-IE"/>
              </w:rPr>
            </w:pPr>
            <w:r w:rsidRPr="009F7E55">
              <w:rPr>
                <w:lang w:val="en-IE"/>
              </w:rPr>
              <w:t>New access models concepts and pilots (Q4</w:t>
            </w:r>
            <w:r w:rsidRPr="009F7E55">
              <w:rPr>
                <w:spacing w:val="-8"/>
                <w:lang w:val="en-IE"/>
              </w:rPr>
              <w:t xml:space="preserve"> </w:t>
            </w:r>
            <w:r w:rsidRPr="009F7E55">
              <w:rPr>
                <w:lang w:val="en-IE"/>
              </w:rPr>
              <w:t>2024)</w:t>
            </w:r>
          </w:p>
          <w:p w14:paraId="7B23C624" w14:textId="77777777" w:rsidR="00674F14" w:rsidRPr="009F7E55" w:rsidRDefault="00674F14" w:rsidP="00674F14">
            <w:pPr>
              <w:pStyle w:val="TableParagraph"/>
              <w:numPr>
                <w:ilvl w:val="0"/>
                <w:numId w:val="19"/>
              </w:numPr>
              <w:tabs>
                <w:tab w:val="left" w:pos="468"/>
                <w:tab w:val="left" w:pos="469"/>
              </w:tabs>
              <w:spacing w:before="142" w:line="279" w:lineRule="exact"/>
              <w:rPr>
                <w:lang w:val="en-IE"/>
              </w:rPr>
            </w:pPr>
            <w:r w:rsidRPr="009F7E55">
              <w:rPr>
                <w:lang w:val="en-IE"/>
              </w:rPr>
              <w:t>ESFRI</w:t>
            </w:r>
            <w:r w:rsidRPr="009F7E55">
              <w:rPr>
                <w:spacing w:val="-1"/>
                <w:lang w:val="en-IE"/>
              </w:rPr>
              <w:t xml:space="preserve"> </w:t>
            </w:r>
            <w:r w:rsidRPr="009F7E55">
              <w:rPr>
                <w:lang w:val="en-IE"/>
              </w:rPr>
              <w:t>Roadmap:</w:t>
            </w:r>
          </w:p>
          <w:p w14:paraId="26754D4A" w14:textId="77777777" w:rsidR="00674F14" w:rsidRPr="009F7E55" w:rsidRDefault="00674F14" w:rsidP="00674F14">
            <w:pPr>
              <w:pStyle w:val="TableParagraph"/>
              <w:numPr>
                <w:ilvl w:val="1"/>
                <w:numId w:val="19"/>
              </w:numPr>
              <w:tabs>
                <w:tab w:val="left" w:pos="846"/>
              </w:tabs>
              <w:ind w:right="92"/>
              <w:jc w:val="both"/>
              <w:rPr>
                <w:lang w:val="en-IE"/>
              </w:rPr>
            </w:pPr>
            <w:r w:rsidRPr="009F7E55">
              <w:rPr>
                <w:lang w:val="en-IE"/>
              </w:rPr>
              <w:t xml:space="preserve">Implementation of the research infrastructures performance </w:t>
            </w:r>
            <w:r w:rsidRPr="009F7E55">
              <w:rPr>
                <w:lang w:val="en-IE"/>
              </w:rPr>
              <w:lastRenderedPageBreak/>
              <w:t>monitoring</w:t>
            </w:r>
            <w:r w:rsidRPr="009F7E55">
              <w:rPr>
                <w:spacing w:val="-12"/>
                <w:lang w:val="en-IE"/>
              </w:rPr>
              <w:t xml:space="preserve"> </w:t>
            </w:r>
            <w:r w:rsidRPr="009F7E55">
              <w:rPr>
                <w:lang w:val="en-IE"/>
              </w:rPr>
              <w:t>framework</w:t>
            </w:r>
            <w:r w:rsidRPr="009F7E55">
              <w:rPr>
                <w:spacing w:val="-11"/>
                <w:lang w:val="en-IE"/>
              </w:rPr>
              <w:t xml:space="preserve"> </w:t>
            </w:r>
            <w:r w:rsidRPr="009F7E55">
              <w:rPr>
                <w:lang w:val="en-IE"/>
              </w:rPr>
              <w:t>(first</w:t>
            </w:r>
            <w:r w:rsidRPr="009F7E55">
              <w:rPr>
                <w:spacing w:val="-11"/>
                <w:lang w:val="en-IE"/>
              </w:rPr>
              <w:t xml:space="preserve"> </w:t>
            </w:r>
            <w:r w:rsidRPr="009F7E55">
              <w:rPr>
                <w:lang w:val="en-IE"/>
              </w:rPr>
              <w:t>phase</w:t>
            </w:r>
            <w:r w:rsidRPr="009F7E55">
              <w:rPr>
                <w:spacing w:val="-11"/>
                <w:lang w:val="en-IE"/>
              </w:rPr>
              <w:t xml:space="preserve"> </w:t>
            </w:r>
            <w:r w:rsidRPr="009F7E55">
              <w:rPr>
                <w:lang w:val="en-IE"/>
              </w:rPr>
              <w:t>Q4</w:t>
            </w:r>
            <w:r w:rsidRPr="009F7E55">
              <w:rPr>
                <w:spacing w:val="-10"/>
                <w:lang w:val="en-IE"/>
              </w:rPr>
              <w:t xml:space="preserve"> </w:t>
            </w:r>
            <w:r w:rsidRPr="009F7E55">
              <w:rPr>
                <w:lang w:val="en-IE"/>
              </w:rPr>
              <w:t>2022,</w:t>
            </w:r>
            <w:r w:rsidRPr="009F7E55">
              <w:rPr>
                <w:spacing w:val="-11"/>
                <w:lang w:val="en-IE"/>
              </w:rPr>
              <w:t xml:space="preserve"> </w:t>
            </w:r>
            <w:r w:rsidRPr="009F7E55">
              <w:rPr>
                <w:lang w:val="en-IE"/>
              </w:rPr>
              <w:t>full</w:t>
            </w:r>
            <w:r w:rsidRPr="009F7E55">
              <w:rPr>
                <w:spacing w:val="-12"/>
                <w:lang w:val="en-IE"/>
              </w:rPr>
              <w:t xml:space="preserve"> </w:t>
            </w:r>
            <w:r w:rsidRPr="009F7E55">
              <w:rPr>
                <w:lang w:val="en-IE"/>
              </w:rPr>
              <w:t>cycle</w:t>
            </w:r>
            <w:r w:rsidRPr="009F7E55">
              <w:rPr>
                <w:spacing w:val="-11"/>
                <w:lang w:val="en-IE"/>
              </w:rPr>
              <w:t xml:space="preserve"> </w:t>
            </w:r>
            <w:r w:rsidRPr="009F7E55">
              <w:rPr>
                <w:lang w:val="en-IE"/>
              </w:rPr>
              <w:t>completed</w:t>
            </w:r>
            <w:r w:rsidRPr="009F7E55">
              <w:rPr>
                <w:spacing w:val="-11"/>
                <w:lang w:val="en-IE"/>
              </w:rPr>
              <w:t xml:space="preserve"> </w:t>
            </w:r>
            <w:r w:rsidRPr="009F7E55">
              <w:rPr>
                <w:lang w:val="en-IE"/>
              </w:rPr>
              <w:t>Q4 2024)</w:t>
            </w:r>
          </w:p>
          <w:p w14:paraId="7D22CD3F" w14:textId="77777777" w:rsidR="00674F14" w:rsidRPr="009F7E55" w:rsidRDefault="00674F14" w:rsidP="00674F14">
            <w:pPr>
              <w:pStyle w:val="TableParagraph"/>
              <w:numPr>
                <w:ilvl w:val="1"/>
                <w:numId w:val="19"/>
              </w:numPr>
              <w:tabs>
                <w:tab w:val="left" w:pos="846"/>
              </w:tabs>
              <w:jc w:val="both"/>
              <w:rPr>
                <w:lang w:val="en-IE"/>
              </w:rPr>
            </w:pPr>
            <w:r w:rsidRPr="009F7E55">
              <w:rPr>
                <w:lang w:val="en-IE"/>
              </w:rPr>
              <w:t>Updated methodology of the ESFRI Roadmap (Q2</w:t>
            </w:r>
            <w:r w:rsidRPr="009F7E55">
              <w:rPr>
                <w:spacing w:val="-8"/>
                <w:lang w:val="en-IE"/>
              </w:rPr>
              <w:t xml:space="preserve"> </w:t>
            </w:r>
            <w:r w:rsidRPr="009F7E55">
              <w:rPr>
                <w:lang w:val="en-IE"/>
              </w:rPr>
              <w:t>2024)</w:t>
            </w:r>
          </w:p>
          <w:p w14:paraId="3B28E106" w14:textId="77777777" w:rsidR="00674F14" w:rsidRPr="009F7E55" w:rsidRDefault="00674F14" w:rsidP="00674F14">
            <w:pPr>
              <w:pStyle w:val="TableParagraph"/>
              <w:numPr>
                <w:ilvl w:val="1"/>
                <w:numId w:val="19"/>
              </w:numPr>
              <w:tabs>
                <w:tab w:val="left" w:pos="846"/>
              </w:tabs>
              <w:spacing w:before="22"/>
              <w:jc w:val="both"/>
              <w:rPr>
                <w:lang w:val="en-IE"/>
              </w:rPr>
            </w:pPr>
            <w:r w:rsidRPr="009F7E55">
              <w:rPr>
                <w:lang w:val="en-IE"/>
              </w:rPr>
              <w:t>Launch of the ESFRI Roadmap update (Q3</w:t>
            </w:r>
            <w:r w:rsidRPr="009F7E55">
              <w:rPr>
                <w:spacing w:val="-9"/>
                <w:lang w:val="en-IE"/>
              </w:rPr>
              <w:t xml:space="preserve"> </w:t>
            </w:r>
            <w:r w:rsidRPr="009F7E55">
              <w:rPr>
                <w:lang w:val="en-IE"/>
              </w:rPr>
              <w:t>2024)</w:t>
            </w:r>
          </w:p>
          <w:p w14:paraId="2A4D75D4" w14:textId="77777777" w:rsidR="00674F14" w:rsidRPr="009F7E55" w:rsidRDefault="00674F14" w:rsidP="00674F14">
            <w:pPr>
              <w:pStyle w:val="TableParagraph"/>
              <w:numPr>
                <w:ilvl w:val="0"/>
                <w:numId w:val="19"/>
              </w:numPr>
              <w:tabs>
                <w:tab w:val="left" w:pos="468"/>
                <w:tab w:val="left" w:pos="469"/>
              </w:tabs>
              <w:spacing w:before="142" w:line="279" w:lineRule="exact"/>
              <w:rPr>
                <w:lang w:val="en-IE"/>
              </w:rPr>
            </w:pPr>
            <w:r w:rsidRPr="009F7E55">
              <w:rPr>
                <w:lang w:val="en-IE"/>
              </w:rPr>
              <w:t>Report on the ERIC Framework (Q3</w:t>
            </w:r>
            <w:r w:rsidRPr="009F7E55">
              <w:rPr>
                <w:spacing w:val="-10"/>
                <w:lang w:val="en-IE"/>
              </w:rPr>
              <w:t xml:space="preserve"> </w:t>
            </w:r>
            <w:r w:rsidRPr="009F7E55">
              <w:rPr>
                <w:lang w:val="en-IE"/>
              </w:rPr>
              <w:t>2022)</w:t>
            </w:r>
          </w:p>
          <w:p w14:paraId="78AE06E7" w14:textId="77777777" w:rsidR="00674F14" w:rsidRPr="009F7E55" w:rsidRDefault="00674F14" w:rsidP="00674F14">
            <w:pPr>
              <w:pStyle w:val="TableParagraph"/>
              <w:numPr>
                <w:ilvl w:val="1"/>
                <w:numId w:val="19"/>
              </w:numPr>
              <w:tabs>
                <w:tab w:val="left" w:pos="845"/>
                <w:tab w:val="left" w:pos="846"/>
              </w:tabs>
              <w:spacing w:line="267" w:lineRule="exact"/>
              <w:rPr>
                <w:lang w:val="en-IE"/>
              </w:rPr>
            </w:pPr>
            <w:r w:rsidRPr="009F7E55">
              <w:rPr>
                <w:lang w:val="en-IE"/>
              </w:rPr>
              <w:t>Consultation with experts and the ERIC Committee (Q2</w:t>
            </w:r>
            <w:r w:rsidRPr="009F7E55">
              <w:rPr>
                <w:spacing w:val="-16"/>
                <w:lang w:val="en-IE"/>
              </w:rPr>
              <w:t xml:space="preserve"> </w:t>
            </w:r>
            <w:r w:rsidRPr="009F7E55">
              <w:rPr>
                <w:lang w:val="en-IE"/>
              </w:rPr>
              <w:t>2022)</w:t>
            </w:r>
          </w:p>
          <w:p w14:paraId="474BB14C" w14:textId="77777777" w:rsidR="00674F14" w:rsidRPr="009F7E55" w:rsidRDefault="00674F14" w:rsidP="00674F14">
            <w:pPr>
              <w:pStyle w:val="TableParagraph"/>
              <w:numPr>
                <w:ilvl w:val="1"/>
                <w:numId w:val="19"/>
              </w:numPr>
              <w:tabs>
                <w:tab w:val="left" w:pos="845"/>
                <w:tab w:val="left" w:pos="846"/>
              </w:tabs>
              <w:rPr>
                <w:lang w:val="en-IE"/>
              </w:rPr>
            </w:pPr>
            <w:r w:rsidRPr="009F7E55">
              <w:rPr>
                <w:lang w:val="en-IE"/>
              </w:rPr>
              <w:t>Consultation with stakeholders – workshop (Q2</w:t>
            </w:r>
            <w:r w:rsidRPr="009F7E55">
              <w:rPr>
                <w:spacing w:val="-7"/>
                <w:lang w:val="en-IE"/>
              </w:rPr>
              <w:t xml:space="preserve"> </w:t>
            </w:r>
            <w:r w:rsidRPr="009F7E55">
              <w:rPr>
                <w:lang w:val="en-IE"/>
              </w:rPr>
              <w:t>2022)</w:t>
            </w:r>
          </w:p>
          <w:p w14:paraId="3DDD814F" w14:textId="77777777" w:rsidR="00674F14" w:rsidRPr="009F7E55" w:rsidRDefault="00674F14" w:rsidP="00674F14">
            <w:pPr>
              <w:pStyle w:val="TableParagraph"/>
              <w:numPr>
                <w:ilvl w:val="1"/>
                <w:numId w:val="19"/>
              </w:numPr>
              <w:tabs>
                <w:tab w:val="left" w:pos="845"/>
                <w:tab w:val="left" w:pos="846"/>
              </w:tabs>
              <w:ind w:right="95"/>
              <w:rPr>
                <w:lang w:val="en-IE"/>
              </w:rPr>
            </w:pPr>
            <w:r w:rsidRPr="009F7E55">
              <w:rPr>
                <w:lang w:val="en-IE"/>
              </w:rPr>
              <w:t>Adoption of the ERIC Framework Report by the Commission (Q3 2022)</w:t>
            </w:r>
          </w:p>
          <w:p w14:paraId="75B67F39" w14:textId="77777777" w:rsidR="00674F14" w:rsidRPr="009F7E55" w:rsidRDefault="00674F14" w:rsidP="00674F14">
            <w:pPr>
              <w:pStyle w:val="TableParagraph"/>
              <w:numPr>
                <w:ilvl w:val="1"/>
                <w:numId w:val="19"/>
              </w:numPr>
              <w:tabs>
                <w:tab w:val="left" w:pos="846"/>
              </w:tabs>
              <w:spacing w:before="1" w:line="249" w:lineRule="exact"/>
              <w:rPr>
                <w:lang w:val="en-IE"/>
              </w:rPr>
            </w:pPr>
            <w:r w:rsidRPr="009F7E55">
              <w:rPr>
                <w:lang w:val="en-IE"/>
              </w:rPr>
              <w:t>Council conclusions – adoption by CZ Presidency (Q4</w:t>
            </w:r>
            <w:r w:rsidRPr="009F7E55">
              <w:rPr>
                <w:spacing w:val="-13"/>
                <w:lang w:val="en-IE"/>
              </w:rPr>
              <w:t xml:space="preserve"> </w:t>
            </w:r>
            <w:r w:rsidRPr="009F7E55">
              <w:rPr>
                <w:lang w:val="en-IE"/>
              </w:rPr>
              <w:t>2022)</w:t>
            </w:r>
          </w:p>
          <w:p w14:paraId="753BB181" w14:textId="77777777" w:rsidR="00674F14" w:rsidRPr="009F7E55" w:rsidRDefault="00674F14" w:rsidP="00674F14">
            <w:pPr>
              <w:pStyle w:val="TableParagraph"/>
              <w:numPr>
                <w:ilvl w:val="1"/>
                <w:numId w:val="19"/>
              </w:numPr>
              <w:tabs>
                <w:tab w:val="left" w:pos="846"/>
              </w:tabs>
              <w:spacing w:before="1" w:line="249" w:lineRule="exact"/>
              <w:rPr>
                <w:lang w:val="en-IE"/>
              </w:rPr>
            </w:pPr>
            <w:r w:rsidRPr="009F7E55">
              <w:rPr>
                <w:lang w:val="en-IE"/>
              </w:rPr>
              <w:t>As of 2023, implementation of new political orientations based on Council</w:t>
            </w:r>
            <w:r w:rsidRPr="009F7E55">
              <w:rPr>
                <w:spacing w:val="-1"/>
                <w:lang w:val="en-IE"/>
              </w:rPr>
              <w:t xml:space="preserve"> </w:t>
            </w:r>
            <w:r w:rsidRPr="009F7E55">
              <w:rPr>
                <w:lang w:val="en-IE"/>
              </w:rPr>
              <w:t>Conclusions</w:t>
            </w:r>
          </w:p>
          <w:p w14:paraId="0E158F30" w14:textId="77777777" w:rsidR="00674F14" w:rsidRPr="009F7E55" w:rsidRDefault="00674F14" w:rsidP="00674F14">
            <w:pPr>
              <w:pStyle w:val="TableParagraph"/>
              <w:numPr>
                <w:ilvl w:val="0"/>
                <w:numId w:val="19"/>
              </w:numPr>
              <w:tabs>
                <w:tab w:val="left" w:pos="468"/>
                <w:tab w:val="left" w:pos="469"/>
                <w:tab w:val="left" w:pos="1600"/>
                <w:tab w:val="left" w:pos="2949"/>
                <w:tab w:val="left" w:pos="4005"/>
                <w:tab w:val="left" w:pos="5041"/>
                <w:tab w:val="left" w:pos="6680"/>
              </w:tabs>
              <w:spacing w:before="120"/>
              <w:ind w:right="91"/>
              <w:rPr>
                <w:lang w:val="en-IE"/>
              </w:rPr>
            </w:pPr>
            <w:r w:rsidRPr="009F7E55">
              <w:rPr>
                <w:lang w:val="en-IE"/>
              </w:rPr>
              <w:t xml:space="preserve">Increased cooperation between research infrastructures, </w:t>
            </w:r>
            <w:r w:rsidRPr="009F7E55">
              <w:rPr>
                <w:spacing w:val="-8"/>
                <w:lang w:val="en-IE"/>
              </w:rPr>
              <w:t xml:space="preserve">e- </w:t>
            </w:r>
            <w:r w:rsidRPr="009F7E55">
              <w:rPr>
                <w:lang w:val="en-IE"/>
              </w:rPr>
              <w:t>infrastructures and stakeholders, including through</w:t>
            </w:r>
            <w:r w:rsidRPr="009F7E55">
              <w:rPr>
                <w:spacing w:val="-8"/>
                <w:lang w:val="en-IE"/>
              </w:rPr>
              <w:t xml:space="preserve"> </w:t>
            </w:r>
            <w:r w:rsidRPr="009F7E55">
              <w:rPr>
                <w:lang w:val="en-IE"/>
              </w:rPr>
              <w:t>EOSC:</w:t>
            </w:r>
          </w:p>
          <w:p w14:paraId="6C22D883" w14:textId="77777777" w:rsidR="00674F14" w:rsidRPr="009F7E55" w:rsidRDefault="00674F14" w:rsidP="00674F14">
            <w:pPr>
              <w:pStyle w:val="TableParagraph"/>
              <w:numPr>
                <w:ilvl w:val="1"/>
                <w:numId w:val="19"/>
              </w:numPr>
              <w:tabs>
                <w:tab w:val="left" w:pos="845"/>
                <w:tab w:val="left" w:pos="846"/>
              </w:tabs>
              <w:spacing w:before="1"/>
              <w:rPr>
                <w:lang w:val="en-IE"/>
              </w:rPr>
            </w:pPr>
            <w:r w:rsidRPr="009F7E55">
              <w:rPr>
                <w:lang w:val="en-IE"/>
              </w:rPr>
              <w:t>Involvement of research infrastructures’ stakeholders in ERA Forum (Q1 2022)</w:t>
            </w:r>
          </w:p>
          <w:p w14:paraId="0FD8FCA6" w14:textId="77777777" w:rsidR="00674F14" w:rsidRPr="009F7E55" w:rsidRDefault="00674F14" w:rsidP="00674F14">
            <w:pPr>
              <w:pStyle w:val="TableParagraph"/>
              <w:numPr>
                <w:ilvl w:val="1"/>
                <w:numId w:val="19"/>
              </w:numPr>
              <w:tabs>
                <w:tab w:val="left" w:pos="845"/>
                <w:tab w:val="left" w:pos="846"/>
              </w:tabs>
              <w:spacing w:before="19"/>
              <w:rPr>
                <w:lang w:val="en-IE"/>
              </w:rPr>
            </w:pPr>
            <w:r w:rsidRPr="009F7E55">
              <w:rPr>
                <w:lang w:val="en-IE"/>
              </w:rPr>
              <w:t>Launch of the ESFRI Stakeholders Forum (Q1</w:t>
            </w:r>
            <w:r w:rsidRPr="009F7E55">
              <w:rPr>
                <w:spacing w:val="-9"/>
                <w:lang w:val="en-IE"/>
              </w:rPr>
              <w:t xml:space="preserve"> </w:t>
            </w:r>
            <w:r w:rsidRPr="009F7E55">
              <w:rPr>
                <w:lang w:val="en-IE"/>
              </w:rPr>
              <w:t>2022)</w:t>
            </w:r>
          </w:p>
          <w:p w14:paraId="126124E1" w14:textId="77777777" w:rsidR="00674F14" w:rsidRPr="009F7E55" w:rsidRDefault="00674F14" w:rsidP="00674F14">
            <w:pPr>
              <w:pStyle w:val="TableParagraph"/>
              <w:numPr>
                <w:ilvl w:val="1"/>
                <w:numId w:val="19"/>
              </w:numPr>
              <w:tabs>
                <w:tab w:val="left" w:pos="845"/>
                <w:tab w:val="left" w:pos="846"/>
              </w:tabs>
              <w:spacing w:before="22"/>
              <w:rPr>
                <w:lang w:val="en-IE"/>
              </w:rPr>
            </w:pPr>
            <w:r w:rsidRPr="009F7E55">
              <w:rPr>
                <w:lang w:val="en-IE"/>
              </w:rPr>
              <w:t>Adoption of ESFRI strategy for stakeholder engagement (Q3</w:t>
            </w:r>
            <w:r w:rsidRPr="009F7E55">
              <w:rPr>
                <w:spacing w:val="-18"/>
                <w:lang w:val="en-IE"/>
              </w:rPr>
              <w:t xml:space="preserve"> </w:t>
            </w:r>
            <w:r w:rsidRPr="009F7E55">
              <w:rPr>
                <w:lang w:val="en-IE"/>
              </w:rPr>
              <w:t>2022)</w:t>
            </w:r>
          </w:p>
          <w:p w14:paraId="33D08489" w14:textId="77777777" w:rsidR="00674F14" w:rsidRPr="009F7E55" w:rsidRDefault="00674F14" w:rsidP="00674F14">
            <w:pPr>
              <w:pStyle w:val="TableParagraph"/>
              <w:numPr>
                <w:ilvl w:val="1"/>
                <w:numId w:val="19"/>
              </w:numPr>
              <w:tabs>
                <w:tab w:val="left" w:pos="845"/>
                <w:tab w:val="left" w:pos="846"/>
              </w:tabs>
              <w:spacing w:before="22" w:line="259" w:lineRule="auto"/>
              <w:ind w:right="96"/>
              <w:rPr>
                <w:lang w:val="en-IE"/>
              </w:rPr>
            </w:pPr>
            <w:r w:rsidRPr="009F7E55">
              <w:rPr>
                <w:lang w:val="en-IE"/>
              </w:rPr>
              <w:t>Annual Additional Activity Plans (AAP) of the EOSC European partnership (Q2 2022, 2023,</w:t>
            </w:r>
            <w:r w:rsidRPr="009F7E55">
              <w:rPr>
                <w:spacing w:val="-4"/>
                <w:lang w:val="en-IE"/>
              </w:rPr>
              <w:t xml:space="preserve"> </w:t>
            </w:r>
            <w:r w:rsidRPr="009F7E55">
              <w:rPr>
                <w:lang w:val="en-IE"/>
              </w:rPr>
              <w:t>2024)</w:t>
            </w:r>
          </w:p>
          <w:p w14:paraId="4C3C163B" w14:textId="61794978" w:rsidR="00674F14" w:rsidRPr="009F7E55" w:rsidRDefault="00674F14" w:rsidP="00674F14">
            <w:pPr>
              <w:pStyle w:val="TableParagraph"/>
              <w:numPr>
                <w:ilvl w:val="0"/>
                <w:numId w:val="19"/>
              </w:numPr>
              <w:tabs>
                <w:tab w:val="left" w:pos="466"/>
              </w:tabs>
              <w:ind w:right="91"/>
              <w:jc w:val="both"/>
              <w:rPr>
                <w:lang w:val="en-IE"/>
              </w:rPr>
            </w:pPr>
            <w:r w:rsidRPr="009F7E55">
              <w:rPr>
                <w:lang w:val="en-IE"/>
              </w:rPr>
              <w:t>Full</w:t>
            </w:r>
            <w:r w:rsidRPr="009F7E55">
              <w:rPr>
                <w:spacing w:val="-11"/>
                <w:lang w:val="en-IE"/>
              </w:rPr>
              <w:t xml:space="preserve"> </w:t>
            </w:r>
            <w:r w:rsidRPr="009F7E55">
              <w:rPr>
                <w:lang w:val="en-IE"/>
              </w:rPr>
              <w:t>roll-out</w:t>
            </w:r>
            <w:r w:rsidRPr="009F7E55">
              <w:rPr>
                <w:spacing w:val="-12"/>
                <w:lang w:val="en-IE"/>
              </w:rPr>
              <w:t xml:space="preserve"> </w:t>
            </w:r>
            <w:r w:rsidRPr="009F7E55">
              <w:rPr>
                <w:lang w:val="en-IE"/>
              </w:rPr>
              <w:t>of</w:t>
            </w:r>
            <w:r w:rsidRPr="009F7E55">
              <w:rPr>
                <w:spacing w:val="-11"/>
                <w:lang w:val="en-IE"/>
              </w:rPr>
              <w:t xml:space="preserve"> </w:t>
            </w:r>
            <w:r w:rsidRPr="009F7E55">
              <w:rPr>
                <w:lang w:val="en-IE"/>
              </w:rPr>
              <w:t>the</w:t>
            </w:r>
            <w:r w:rsidRPr="009F7E55">
              <w:rPr>
                <w:spacing w:val="-10"/>
                <w:lang w:val="en-IE"/>
              </w:rPr>
              <w:t xml:space="preserve"> </w:t>
            </w:r>
            <w:r w:rsidRPr="009F7E55">
              <w:rPr>
                <w:lang w:val="en-IE"/>
              </w:rPr>
              <w:t>ESFRI</w:t>
            </w:r>
            <w:r w:rsidRPr="009F7E55">
              <w:rPr>
                <w:spacing w:val="-11"/>
                <w:lang w:val="en-IE"/>
              </w:rPr>
              <w:t xml:space="preserve"> </w:t>
            </w:r>
            <w:r w:rsidRPr="009F7E55">
              <w:rPr>
                <w:lang w:val="en-IE"/>
              </w:rPr>
              <w:t>Stakeholder</w:t>
            </w:r>
            <w:r w:rsidRPr="009F7E55">
              <w:rPr>
                <w:spacing w:val="-10"/>
                <w:lang w:val="en-IE"/>
              </w:rPr>
              <w:t xml:space="preserve"> </w:t>
            </w:r>
            <w:r w:rsidRPr="009F7E55">
              <w:rPr>
                <w:lang w:val="en-IE"/>
              </w:rPr>
              <w:t>Forum</w:t>
            </w:r>
            <w:r w:rsidRPr="009F7E55">
              <w:rPr>
                <w:spacing w:val="-9"/>
                <w:lang w:val="en-IE"/>
              </w:rPr>
              <w:t xml:space="preserve"> </w:t>
            </w:r>
            <w:r w:rsidRPr="009F7E55">
              <w:rPr>
                <w:lang w:val="en-IE"/>
              </w:rPr>
              <w:t>and</w:t>
            </w:r>
            <w:r w:rsidRPr="009F7E55">
              <w:rPr>
                <w:spacing w:val="-11"/>
                <w:lang w:val="en-IE"/>
              </w:rPr>
              <w:t xml:space="preserve"> </w:t>
            </w:r>
            <w:r w:rsidRPr="009F7E55">
              <w:rPr>
                <w:lang w:val="en-IE"/>
              </w:rPr>
              <w:t>digital</w:t>
            </w:r>
            <w:r w:rsidRPr="009F7E55">
              <w:rPr>
                <w:spacing w:val="-11"/>
                <w:lang w:val="en-IE"/>
              </w:rPr>
              <w:t xml:space="preserve"> </w:t>
            </w:r>
            <w:r w:rsidRPr="009F7E55">
              <w:rPr>
                <w:lang w:val="en-IE"/>
              </w:rPr>
              <w:t>platform</w:t>
            </w:r>
            <w:r w:rsidRPr="009F7E55">
              <w:rPr>
                <w:spacing w:val="-10"/>
                <w:lang w:val="en-IE"/>
              </w:rPr>
              <w:t xml:space="preserve"> </w:t>
            </w:r>
            <w:r w:rsidRPr="009F7E55">
              <w:rPr>
                <w:lang w:val="en-IE"/>
              </w:rPr>
              <w:t>(Q4 2022)</w:t>
            </w:r>
          </w:p>
        </w:tc>
      </w:tr>
      <w:tr w:rsidR="00674F14" w:rsidRPr="009F7E55" w14:paraId="6B3CB328" w14:textId="77777777" w:rsidTr="00674F14">
        <w:trPr>
          <w:trHeight w:val="1701"/>
        </w:trPr>
        <w:tc>
          <w:tcPr>
            <w:tcW w:w="2388" w:type="dxa"/>
          </w:tcPr>
          <w:p w14:paraId="426FF436" w14:textId="20059A41" w:rsidR="00674F14" w:rsidRPr="009F7E55" w:rsidRDefault="00674F14" w:rsidP="00674F14">
            <w:pPr>
              <w:pStyle w:val="TableParagraph"/>
              <w:spacing w:before="121"/>
              <w:ind w:left="340"/>
              <w:rPr>
                <w:b/>
                <w:lang w:val="en-IE"/>
              </w:rPr>
            </w:pPr>
            <w:r w:rsidRPr="009F7E55">
              <w:rPr>
                <w:b/>
                <w:lang w:val="en-IE"/>
              </w:rPr>
              <w:lastRenderedPageBreak/>
              <w:t>4. Funding</w:t>
            </w:r>
          </w:p>
        </w:tc>
        <w:tc>
          <w:tcPr>
            <w:tcW w:w="6964" w:type="dxa"/>
          </w:tcPr>
          <w:p w14:paraId="2C819710" w14:textId="77777777" w:rsidR="00674F14" w:rsidRPr="009F7E55" w:rsidRDefault="00674F14" w:rsidP="00674F14">
            <w:pPr>
              <w:pStyle w:val="TableParagraph"/>
              <w:ind w:left="107" w:right="92"/>
              <w:jc w:val="both"/>
              <w:rPr>
                <w:lang w:val="en-IE"/>
              </w:rPr>
            </w:pPr>
            <w:r w:rsidRPr="009F7E55">
              <w:rPr>
                <w:lang w:val="en-IE"/>
              </w:rPr>
              <w:t>Most activities planned under this action do not require additional sources of</w:t>
            </w:r>
            <w:r w:rsidRPr="009F7E55">
              <w:rPr>
                <w:spacing w:val="-11"/>
                <w:lang w:val="en-IE"/>
              </w:rPr>
              <w:t xml:space="preserve"> </w:t>
            </w:r>
            <w:r w:rsidRPr="009F7E55">
              <w:rPr>
                <w:lang w:val="en-IE"/>
              </w:rPr>
              <w:t>funding.</w:t>
            </w:r>
            <w:r w:rsidRPr="009F7E55">
              <w:rPr>
                <w:spacing w:val="-11"/>
                <w:lang w:val="en-IE"/>
              </w:rPr>
              <w:t xml:space="preserve"> </w:t>
            </w:r>
            <w:r w:rsidRPr="009F7E55">
              <w:rPr>
                <w:lang w:val="en-IE"/>
              </w:rPr>
              <w:t>Resources</w:t>
            </w:r>
            <w:r w:rsidRPr="009F7E55">
              <w:rPr>
                <w:spacing w:val="-10"/>
                <w:lang w:val="en-IE"/>
              </w:rPr>
              <w:t xml:space="preserve"> </w:t>
            </w:r>
            <w:r w:rsidRPr="009F7E55">
              <w:rPr>
                <w:lang w:val="en-IE"/>
              </w:rPr>
              <w:t>needed</w:t>
            </w:r>
            <w:r w:rsidRPr="009F7E55">
              <w:rPr>
                <w:spacing w:val="-10"/>
                <w:lang w:val="en-IE"/>
              </w:rPr>
              <w:t xml:space="preserve"> </w:t>
            </w:r>
            <w:r w:rsidRPr="009F7E55">
              <w:rPr>
                <w:lang w:val="en-IE"/>
              </w:rPr>
              <w:t>for</w:t>
            </w:r>
            <w:r w:rsidRPr="009F7E55">
              <w:rPr>
                <w:spacing w:val="-10"/>
                <w:lang w:val="en-IE"/>
              </w:rPr>
              <w:t xml:space="preserve"> </w:t>
            </w:r>
            <w:r w:rsidRPr="009F7E55">
              <w:rPr>
                <w:lang w:val="en-IE"/>
              </w:rPr>
              <w:t>their</w:t>
            </w:r>
            <w:r w:rsidRPr="009F7E55">
              <w:rPr>
                <w:spacing w:val="-10"/>
                <w:lang w:val="en-IE"/>
              </w:rPr>
              <w:t xml:space="preserve"> </w:t>
            </w:r>
            <w:r w:rsidRPr="009F7E55">
              <w:rPr>
                <w:lang w:val="en-IE"/>
              </w:rPr>
              <w:t>implementation</w:t>
            </w:r>
            <w:r w:rsidRPr="009F7E55">
              <w:rPr>
                <w:spacing w:val="-11"/>
                <w:lang w:val="en-IE"/>
              </w:rPr>
              <w:t xml:space="preserve"> </w:t>
            </w:r>
            <w:r w:rsidRPr="009F7E55">
              <w:rPr>
                <w:lang w:val="en-IE"/>
              </w:rPr>
              <w:t>are</w:t>
            </w:r>
            <w:r w:rsidRPr="009F7E55">
              <w:rPr>
                <w:spacing w:val="-10"/>
                <w:lang w:val="en-IE"/>
              </w:rPr>
              <w:t xml:space="preserve"> </w:t>
            </w:r>
            <w:r w:rsidRPr="009F7E55">
              <w:rPr>
                <w:lang w:val="en-IE"/>
              </w:rPr>
              <w:t>already</w:t>
            </w:r>
            <w:r w:rsidRPr="009F7E55">
              <w:rPr>
                <w:spacing w:val="-10"/>
                <w:lang w:val="en-IE"/>
              </w:rPr>
              <w:t xml:space="preserve"> </w:t>
            </w:r>
            <w:r w:rsidRPr="009F7E55">
              <w:rPr>
                <w:lang w:val="en-IE"/>
              </w:rPr>
              <w:t>available and assigned under ESFRI and EOSC (national and Horizon Europe funding) and the Commission (external expertise already</w:t>
            </w:r>
            <w:r w:rsidRPr="009F7E55">
              <w:rPr>
                <w:spacing w:val="-5"/>
                <w:lang w:val="en-IE"/>
              </w:rPr>
              <w:t xml:space="preserve"> </w:t>
            </w:r>
            <w:r w:rsidRPr="009F7E55">
              <w:rPr>
                <w:lang w:val="en-IE"/>
              </w:rPr>
              <w:t>contracted).</w:t>
            </w:r>
          </w:p>
          <w:p w14:paraId="028CFABC" w14:textId="77777777" w:rsidR="00674F14" w:rsidRPr="009F7E55" w:rsidRDefault="00674F14" w:rsidP="00674F14">
            <w:pPr>
              <w:pStyle w:val="TableParagraph"/>
              <w:spacing w:before="118"/>
              <w:ind w:left="107" w:right="90"/>
              <w:jc w:val="both"/>
              <w:rPr>
                <w:lang w:val="en-IE"/>
              </w:rPr>
            </w:pPr>
            <w:r w:rsidRPr="009F7E55">
              <w:rPr>
                <w:lang w:val="en-IE"/>
              </w:rPr>
              <w:t>Activities</w:t>
            </w:r>
            <w:r w:rsidRPr="009F7E55">
              <w:rPr>
                <w:spacing w:val="-5"/>
                <w:lang w:val="en-IE"/>
              </w:rPr>
              <w:t xml:space="preserve"> </w:t>
            </w:r>
            <w:r w:rsidRPr="009F7E55">
              <w:rPr>
                <w:lang w:val="en-IE"/>
              </w:rPr>
              <w:t>under</w:t>
            </w:r>
            <w:r w:rsidRPr="009F7E55">
              <w:rPr>
                <w:spacing w:val="-5"/>
                <w:lang w:val="en-IE"/>
              </w:rPr>
              <w:t xml:space="preserve"> </w:t>
            </w:r>
            <w:r w:rsidRPr="009F7E55">
              <w:rPr>
                <w:lang w:val="en-IE"/>
              </w:rPr>
              <w:t>Horizon</w:t>
            </w:r>
            <w:r w:rsidRPr="009F7E55">
              <w:rPr>
                <w:spacing w:val="-6"/>
                <w:lang w:val="en-IE"/>
              </w:rPr>
              <w:t xml:space="preserve"> </w:t>
            </w:r>
            <w:r w:rsidRPr="009F7E55">
              <w:rPr>
                <w:lang w:val="en-IE"/>
              </w:rPr>
              <w:t>Europe</w:t>
            </w:r>
            <w:r w:rsidRPr="009F7E55">
              <w:rPr>
                <w:spacing w:val="-7"/>
                <w:lang w:val="en-IE"/>
              </w:rPr>
              <w:t xml:space="preserve"> </w:t>
            </w:r>
            <w:r w:rsidRPr="009F7E55">
              <w:rPr>
                <w:lang w:val="en-IE"/>
              </w:rPr>
              <w:t>will</w:t>
            </w:r>
            <w:r w:rsidRPr="009F7E55">
              <w:rPr>
                <w:spacing w:val="-6"/>
                <w:lang w:val="en-IE"/>
              </w:rPr>
              <w:t xml:space="preserve"> </w:t>
            </w:r>
            <w:r w:rsidRPr="009F7E55">
              <w:rPr>
                <w:lang w:val="en-IE"/>
              </w:rPr>
              <w:t>build</w:t>
            </w:r>
            <w:r w:rsidRPr="009F7E55">
              <w:rPr>
                <w:spacing w:val="-5"/>
                <w:lang w:val="en-IE"/>
              </w:rPr>
              <w:t xml:space="preserve"> </w:t>
            </w:r>
            <w:r w:rsidRPr="009F7E55">
              <w:rPr>
                <w:lang w:val="en-IE"/>
              </w:rPr>
              <w:t>to</w:t>
            </w:r>
            <w:r w:rsidRPr="009F7E55">
              <w:rPr>
                <w:spacing w:val="-4"/>
                <w:lang w:val="en-IE"/>
              </w:rPr>
              <w:t xml:space="preserve"> </w:t>
            </w:r>
            <w:r w:rsidRPr="009F7E55">
              <w:rPr>
                <w:lang w:val="en-IE"/>
              </w:rPr>
              <w:t>a</w:t>
            </w:r>
            <w:r w:rsidRPr="009F7E55">
              <w:rPr>
                <w:spacing w:val="-6"/>
                <w:lang w:val="en-IE"/>
              </w:rPr>
              <w:t xml:space="preserve"> </w:t>
            </w:r>
            <w:r w:rsidRPr="009F7E55">
              <w:rPr>
                <w:lang w:val="en-IE"/>
              </w:rPr>
              <w:t>large</w:t>
            </w:r>
            <w:r w:rsidRPr="009F7E55">
              <w:rPr>
                <w:spacing w:val="-5"/>
                <w:lang w:val="en-IE"/>
              </w:rPr>
              <w:t xml:space="preserve"> </w:t>
            </w:r>
            <w:r w:rsidRPr="009F7E55">
              <w:rPr>
                <w:lang w:val="en-IE"/>
              </w:rPr>
              <w:t>extent</w:t>
            </w:r>
            <w:r w:rsidRPr="009F7E55">
              <w:rPr>
                <w:spacing w:val="-5"/>
                <w:lang w:val="en-IE"/>
              </w:rPr>
              <w:t xml:space="preserve"> </w:t>
            </w:r>
            <w:r w:rsidRPr="009F7E55">
              <w:rPr>
                <w:lang w:val="en-IE"/>
              </w:rPr>
              <w:t>upon</w:t>
            </w:r>
            <w:r w:rsidRPr="009F7E55">
              <w:rPr>
                <w:spacing w:val="-9"/>
                <w:lang w:val="en-IE"/>
              </w:rPr>
              <w:t xml:space="preserve"> </w:t>
            </w:r>
            <w:r w:rsidRPr="009F7E55">
              <w:rPr>
                <w:lang w:val="en-IE"/>
              </w:rPr>
              <w:t>the</w:t>
            </w:r>
            <w:r w:rsidRPr="009F7E55">
              <w:rPr>
                <w:spacing w:val="-5"/>
                <w:lang w:val="en-IE"/>
              </w:rPr>
              <w:t xml:space="preserve"> </w:t>
            </w:r>
            <w:r w:rsidRPr="009F7E55">
              <w:rPr>
                <w:lang w:val="en-IE"/>
              </w:rPr>
              <w:t>process and outcomes developed under this action..</w:t>
            </w:r>
          </w:p>
          <w:p w14:paraId="5BF89A1A" w14:textId="757BC16E" w:rsidR="00674F14" w:rsidRPr="009F7E55" w:rsidRDefault="00674F14" w:rsidP="00674F14">
            <w:pPr>
              <w:pStyle w:val="TableParagraph"/>
              <w:spacing w:before="119"/>
              <w:ind w:left="107" w:right="7"/>
              <w:rPr>
                <w:lang w:val="en-IE"/>
              </w:rPr>
            </w:pPr>
            <w:r w:rsidRPr="009F7E55">
              <w:rPr>
                <w:lang w:val="en-IE"/>
              </w:rPr>
              <w:t>Synergies with national and regional funding will also be mobilised. A methodology</w:t>
            </w:r>
            <w:r w:rsidRPr="009F7E55">
              <w:rPr>
                <w:spacing w:val="-5"/>
                <w:lang w:val="en-IE"/>
              </w:rPr>
              <w:t xml:space="preserve"> </w:t>
            </w:r>
            <w:r w:rsidRPr="009F7E55">
              <w:rPr>
                <w:lang w:val="en-IE"/>
              </w:rPr>
              <w:t>to</w:t>
            </w:r>
            <w:r w:rsidRPr="009F7E55">
              <w:rPr>
                <w:spacing w:val="-3"/>
                <w:lang w:val="en-IE"/>
              </w:rPr>
              <w:t xml:space="preserve"> </w:t>
            </w:r>
            <w:r w:rsidRPr="009F7E55">
              <w:rPr>
                <w:lang w:val="en-IE"/>
              </w:rPr>
              <w:t>link</w:t>
            </w:r>
            <w:r w:rsidRPr="009F7E55">
              <w:rPr>
                <w:spacing w:val="-4"/>
                <w:lang w:val="en-IE"/>
              </w:rPr>
              <w:t xml:space="preserve"> </w:t>
            </w:r>
            <w:r w:rsidRPr="009F7E55">
              <w:rPr>
                <w:lang w:val="en-IE"/>
              </w:rPr>
              <w:t>funding</w:t>
            </w:r>
            <w:r w:rsidRPr="009F7E55">
              <w:rPr>
                <w:spacing w:val="-4"/>
                <w:lang w:val="en-IE"/>
              </w:rPr>
              <w:t xml:space="preserve"> </w:t>
            </w:r>
            <w:r w:rsidRPr="009F7E55">
              <w:rPr>
                <w:lang w:val="en-IE"/>
              </w:rPr>
              <w:t>related</w:t>
            </w:r>
            <w:r w:rsidRPr="009F7E55">
              <w:rPr>
                <w:spacing w:val="-4"/>
                <w:lang w:val="en-IE"/>
              </w:rPr>
              <w:t xml:space="preserve"> </w:t>
            </w:r>
            <w:r w:rsidRPr="009F7E55">
              <w:rPr>
                <w:lang w:val="en-IE"/>
              </w:rPr>
              <w:t>to</w:t>
            </w:r>
            <w:r w:rsidRPr="009F7E55">
              <w:rPr>
                <w:spacing w:val="-2"/>
                <w:lang w:val="en-IE"/>
              </w:rPr>
              <w:t xml:space="preserve"> </w:t>
            </w:r>
            <w:r w:rsidRPr="009F7E55">
              <w:rPr>
                <w:lang w:val="en-IE"/>
              </w:rPr>
              <w:t>action</w:t>
            </w:r>
            <w:r w:rsidRPr="009F7E55">
              <w:rPr>
                <w:spacing w:val="-4"/>
                <w:lang w:val="en-IE"/>
              </w:rPr>
              <w:t xml:space="preserve"> </w:t>
            </w:r>
            <w:r w:rsidRPr="009F7E55">
              <w:rPr>
                <w:lang w:val="en-IE"/>
              </w:rPr>
              <w:t>8</w:t>
            </w:r>
            <w:r w:rsidRPr="009F7E55">
              <w:rPr>
                <w:spacing w:val="-4"/>
                <w:lang w:val="en-IE"/>
              </w:rPr>
              <w:t xml:space="preserve"> </w:t>
            </w:r>
            <w:r w:rsidRPr="009F7E55">
              <w:rPr>
                <w:lang w:val="en-IE"/>
              </w:rPr>
              <w:t>to</w:t>
            </w:r>
            <w:r w:rsidRPr="009F7E55">
              <w:rPr>
                <w:spacing w:val="-4"/>
                <w:lang w:val="en-IE"/>
              </w:rPr>
              <w:t xml:space="preserve"> </w:t>
            </w:r>
            <w:r w:rsidRPr="009F7E55">
              <w:rPr>
                <w:lang w:val="en-IE"/>
              </w:rPr>
              <w:t>the</w:t>
            </w:r>
            <w:r w:rsidRPr="009F7E55">
              <w:rPr>
                <w:spacing w:val="-5"/>
                <w:lang w:val="en-IE"/>
              </w:rPr>
              <w:t xml:space="preserve"> </w:t>
            </w:r>
            <w:r w:rsidRPr="009F7E55">
              <w:rPr>
                <w:lang w:val="en-IE"/>
              </w:rPr>
              <w:t>investment</w:t>
            </w:r>
            <w:r w:rsidRPr="009F7E55">
              <w:rPr>
                <w:spacing w:val="-3"/>
                <w:lang w:val="en-IE"/>
              </w:rPr>
              <w:t xml:space="preserve"> </w:t>
            </w:r>
            <w:r w:rsidRPr="009F7E55">
              <w:rPr>
                <w:lang w:val="en-IE"/>
              </w:rPr>
              <w:t>targets</w:t>
            </w:r>
            <w:r w:rsidRPr="009F7E55">
              <w:rPr>
                <w:spacing w:val="-6"/>
                <w:lang w:val="en-IE"/>
              </w:rPr>
              <w:t xml:space="preserve"> </w:t>
            </w:r>
            <w:r w:rsidRPr="009F7E55">
              <w:rPr>
                <w:lang w:val="en-IE"/>
              </w:rPr>
              <w:t>of the European Research Area must be developed as well, including in the context of the use of structural funds for research</w:t>
            </w:r>
            <w:r w:rsidRPr="009F7E55">
              <w:rPr>
                <w:spacing w:val="-14"/>
                <w:lang w:val="en-IE"/>
              </w:rPr>
              <w:t xml:space="preserve"> </w:t>
            </w:r>
            <w:r w:rsidRPr="009F7E55">
              <w:rPr>
                <w:lang w:val="en-IE"/>
              </w:rPr>
              <w:t>infrastructures.</w:t>
            </w:r>
          </w:p>
        </w:tc>
      </w:tr>
      <w:tr w:rsidR="00674F14" w:rsidRPr="009F7E55" w14:paraId="2C20DB59" w14:textId="77777777" w:rsidTr="00674F14">
        <w:trPr>
          <w:trHeight w:val="1701"/>
        </w:trPr>
        <w:tc>
          <w:tcPr>
            <w:tcW w:w="2388" w:type="dxa"/>
          </w:tcPr>
          <w:p w14:paraId="77D8A7D0" w14:textId="3CBA9ED0" w:rsidR="00674F14" w:rsidRPr="009F7E55" w:rsidRDefault="00674F14" w:rsidP="00674F14">
            <w:pPr>
              <w:pStyle w:val="TableParagraph"/>
              <w:spacing w:before="121"/>
              <w:ind w:left="340"/>
              <w:rPr>
                <w:b/>
                <w:lang w:val="en-IE"/>
              </w:rPr>
            </w:pPr>
            <w:r w:rsidRPr="009F7E55">
              <w:rPr>
                <w:b/>
                <w:lang w:val="en-IE"/>
              </w:rPr>
              <w:t>5. Expected impact</w:t>
            </w:r>
          </w:p>
        </w:tc>
        <w:tc>
          <w:tcPr>
            <w:tcW w:w="6964" w:type="dxa"/>
          </w:tcPr>
          <w:p w14:paraId="0BB908EB" w14:textId="77777777" w:rsidR="00674F14" w:rsidRPr="009F7E55" w:rsidRDefault="00674F14" w:rsidP="00674F14">
            <w:pPr>
              <w:pStyle w:val="TableParagraph"/>
              <w:spacing w:before="121"/>
              <w:ind w:left="107"/>
              <w:jc w:val="both"/>
              <w:rPr>
                <w:lang w:val="en-IE"/>
              </w:rPr>
            </w:pPr>
            <w:r w:rsidRPr="009F7E55">
              <w:rPr>
                <w:lang w:val="en-IE"/>
              </w:rPr>
              <w:t>Key expected impacts of the action include:</w:t>
            </w:r>
          </w:p>
          <w:p w14:paraId="5497D46B" w14:textId="77777777" w:rsidR="00674F14" w:rsidRPr="009F7E55" w:rsidRDefault="00674F14" w:rsidP="00674F14">
            <w:pPr>
              <w:pStyle w:val="TableParagraph"/>
              <w:numPr>
                <w:ilvl w:val="0"/>
                <w:numId w:val="16"/>
              </w:numPr>
              <w:tabs>
                <w:tab w:val="left" w:pos="486"/>
              </w:tabs>
              <w:spacing w:before="118"/>
              <w:ind w:right="93"/>
              <w:jc w:val="both"/>
              <w:rPr>
                <w:lang w:val="en-IE"/>
              </w:rPr>
            </w:pPr>
            <w:r w:rsidRPr="009F7E55">
              <w:rPr>
                <w:lang w:val="en-IE"/>
              </w:rPr>
              <w:t>Strengthened research infrastructure services, better adapted to user needs, in the context of contemporary and emerging scientific challenges and EU policy priorities such as the green and digital</w:t>
            </w:r>
            <w:r w:rsidRPr="009F7E55">
              <w:rPr>
                <w:spacing w:val="-9"/>
                <w:lang w:val="en-IE"/>
              </w:rPr>
              <w:t xml:space="preserve"> </w:t>
            </w:r>
            <w:r w:rsidRPr="009F7E55">
              <w:rPr>
                <w:lang w:val="en-IE"/>
              </w:rPr>
              <w:t>transition;</w:t>
            </w:r>
          </w:p>
          <w:p w14:paraId="5FBCFDC9" w14:textId="77777777" w:rsidR="00674F14" w:rsidRPr="009F7E55" w:rsidRDefault="00674F14" w:rsidP="00674F14">
            <w:pPr>
              <w:pStyle w:val="TableParagraph"/>
              <w:numPr>
                <w:ilvl w:val="0"/>
                <w:numId w:val="16"/>
              </w:numPr>
              <w:tabs>
                <w:tab w:val="left" w:pos="486"/>
              </w:tabs>
              <w:spacing w:before="1"/>
              <w:ind w:right="92"/>
              <w:jc w:val="both"/>
              <w:rPr>
                <w:lang w:val="en-IE"/>
              </w:rPr>
            </w:pPr>
            <w:r w:rsidRPr="009F7E55">
              <w:rPr>
                <w:lang w:val="en-IE"/>
              </w:rPr>
              <w:t>Increased sustainability of individual European research infrastructures (ERICs and others) and the European research infrastructure system as a whole;</w:t>
            </w:r>
          </w:p>
          <w:p w14:paraId="7060FDF4" w14:textId="77777777" w:rsidR="00674F14" w:rsidRPr="009F7E55" w:rsidRDefault="00674F14" w:rsidP="00674F14">
            <w:pPr>
              <w:pStyle w:val="TableParagraph"/>
              <w:numPr>
                <w:ilvl w:val="0"/>
                <w:numId w:val="16"/>
              </w:numPr>
              <w:tabs>
                <w:tab w:val="left" w:pos="486"/>
              </w:tabs>
              <w:spacing w:before="1"/>
              <w:ind w:right="92"/>
              <w:jc w:val="both"/>
              <w:rPr>
                <w:lang w:val="en-IE"/>
              </w:rPr>
            </w:pPr>
            <w:r w:rsidRPr="009F7E55">
              <w:rPr>
                <w:lang w:val="en-IE"/>
              </w:rPr>
              <w:t>Stronger engagement of stakeholders in research infrastructures activities;</w:t>
            </w:r>
          </w:p>
          <w:p w14:paraId="53FB7618" w14:textId="77777777" w:rsidR="00674F14" w:rsidRPr="009F7E55" w:rsidRDefault="00674F14" w:rsidP="00674F14">
            <w:pPr>
              <w:pStyle w:val="TableParagraph"/>
              <w:numPr>
                <w:ilvl w:val="0"/>
                <w:numId w:val="16"/>
              </w:numPr>
              <w:tabs>
                <w:tab w:val="left" w:pos="486"/>
              </w:tabs>
              <w:spacing w:before="2" w:line="237" w:lineRule="auto"/>
              <w:ind w:right="93"/>
              <w:jc w:val="both"/>
              <w:rPr>
                <w:lang w:val="en-IE"/>
              </w:rPr>
            </w:pPr>
            <w:r w:rsidRPr="009F7E55">
              <w:rPr>
                <w:lang w:val="en-IE"/>
              </w:rPr>
              <w:t>Better accessibility of European research infrastructures and their services to users across the EU, including through the</w:t>
            </w:r>
            <w:r w:rsidRPr="009F7E55">
              <w:rPr>
                <w:spacing w:val="-8"/>
                <w:lang w:val="en-IE"/>
              </w:rPr>
              <w:t xml:space="preserve"> </w:t>
            </w:r>
            <w:r w:rsidRPr="009F7E55">
              <w:rPr>
                <w:lang w:val="en-IE"/>
              </w:rPr>
              <w:t>EOSC;</w:t>
            </w:r>
          </w:p>
          <w:p w14:paraId="70EE6BAE" w14:textId="77777777" w:rsidR="00674F14" w:rsidRPr="009F7E55" w:rsidRDefault="00674F14" w:rsidP="00674F14">
            <w:pPr>
              <w:pStyle w:val="TableParagraph"/>
              <w:numPr>
                <w:ilvl w:val="0"/>
                <w:numId w:val="16"/>
              </w:numPr>
              <w:tabs>
                <w:tab w:val="left" w:pos="485"/>
                <w:tab w:val="left" w:pos="486"/>
              </w:tabs>
              <w:spacing w:before="1"/>
              <w:ind w:right="93"/>
              <w:rPr>
                <w:lang w:val="en-IE"/>
              </w:rPr>
            </w:pPr>
            <w:r w:rsidRPr="009F7E55">
              <w:rPr>
                <w:lang w:val="en-IE"/>
              </w:rPr>
              <w:t>Improved</w:t>
            </w:r>
            <w:r w:rsidRPr="009F7E55">
              <w:rPr>
                <w:spacing w:val="-5"/>
                <w:lang w:val="en-IE"/>
              </w:rPr>
              <w:t xml:space="preserve"> </w:t>
            </w:r>
            <w:r w:rsidRPr="009F7E55">
              <w:rPr>
                <w:lang w:val="en-IE"/>
              </w:rPr>
              <w:t>priority</w:t>
            </w:r>
            <w:r w:rsidRPr="009F7E55">
              <w:rPr>
                <w:spacing w:val="-5"/>
                <w:lang w:val="en-IE"/>
              </w:rPr>
              <w:t xml:space="preserve"> </w:t>
            </w:r>
            <w:r w:rsidRPr="009F7E55">
              <w:rPr>
                <w:lang w:val="en-IE"/>
              </w:rPr>
              <w:t>setting</w:t>
            </w:r>
            <w:r w:rsidRPr="009F7E55">
              <w:rPr>
                <w:spacing w:val="-4"/>
                <w:lang w:val="en-IE"/>
              </w:rPr>
              <w:t xml:space="preserve"> </w:t>
            </w:r>
            <w:r w:rsidRPr="009F7E55">
              <w:rPr>
                <w:lang w:val="en-IE"/>
              </w:rPr>
              <w:t>in</w:t>
            </w:r>
            <w:r w:rsidRPr="009F7E55">
              <w:rPr>
                <w:spacing w:val="-7"/>
                <w:lang w:val="en-IE"/>
              </w:rPr>
              <w:t xml:space="preserve"> </w:t>
            </w:r>
            <w:r w:rsidRPr="009F7E55">
              <w:rPr>
                <w:lang w:val="en-IE"/>
              </w:rPr>
              <w:t>existing</w:t>
            </w:r>
            <w:r w:rsidRPr="009F7E55">
              <w:rPr>
                <w:spacing w:val="-4"/>
                <w:lang w:val="en-IE"/>
              </w:rPr>
              <w:t xml:space="preserve"> </w:t>
            </w:r>
            <w:r w:rsidRPr="009F7E55">
              <w:rPr>
                <w:lang w:val="en-IE"/>
              </w:rPr>
              <w:t>and</w:t>
            </w:r>
            <w:r w:rsidRPr="009F7E55">
              <w:rPr>
                <w:spacing w:val="-4"/>
                <w:lang w:val="en-IE"/>
              </w:rPr>
              <w:t xml:space="preserve"> </w:t>
            </w:r>
            <w:r w:rsidRPr="009F7E55">
              <w:rPr>
                <w:lang w:val="en-IE"/>
              </w:rPr>
              <w:t>new research infrastructures, reflecting the evolving R&amp;I</w:t>
            </w:r>
            <w:r w:rsidRPr="009F7E55">
              <w:rPr>
                <w:spacing w:val="-14"/>
                <w:lang w:val="en-IE"/>
              </w:rPr>
              <w:t xml:space="preserve"> </w:t>
            </w:r>
            <w:r w:rsidRPr="009F7E55">
              <w:rPr>
                <w:lang w:val="en-IE"/>
              </w:rPr>
              <w:t>landscape;</w:t>
            </w:r>
          </w:p>
          <w:p w14:paraId="05A5E0CF" w14:textId="77777777" w:rsidR="00674F14" w:rsidRPr="009F7E55" w:rsidRDefault="00674F14" w:rsidP="00674F14">
            <w:pPr>
              <w:pStyle w:val="TableParagraph"/>
              <w:numPr>
                <w:ilvl w:val="0"/>
                <w:numId w:val="16"/>
              </w:numPr>
              <w:tabs>
                <w:tab w:val="left" w:pos="485"/>
                <w:tab w:val="left" w:pos="486"/>
              </w:tabs>
              <w:spacing w:before="2"/>
              <w:ind w:hanging="285"/>
              <w:rPr>
                <w:lang w:val="en-IE"/>
              </w:rPr>
            </w:pPr>
            <w:r w:rsidRPr="009F7E55">
              <w:rPr>
                <w:lang w:val="en-IE"/>
              </w:rPr>
              <w:t>Identification of opportunities for research infrastructure</w:t>
            </w:r>
            <w:r w:rsidRPr="009F7E55">
              <w:rPr>
                <w:spacing w:val="-20"/>
                <w:lang w:val="en-IE"/>
              </w:rPr>
              <w:t xml:space="preserve"> </w:t>
            </w:r>
            <w:r w:rsidRPr="009F7E55">
              <w:rPr>
                <w:lang w:val="en-IE"/>
              </w:rPr>
              <w:t>clustering;</w:t>
            </w:r>
          </w:p>
          <w:p w14:paraId="47AE1C92" w14:textId="77777777" w:rsidR="00674F14" w:rsidRPr="009F7E55" w:rsidRDefault="00674F14" w:rsidP="00674F14">
            <w:pPr>
              <w:pStyle w:val="TableParagraph"/>
              <w:numPr>
                <w:ilvl w:val="0"/>
                <w:numId w:val="16"/>
              </w:numPr>
              <w:tabs>
                <w:tab w:val="left" w:pos="485"/>
                <w:tab w:val="left" w:pos="486"/>
              </w:tabs>
              <w:ind w:hanging="285"/>
              <w:rPr>
                <w:lang w:val="en-IE"/>
              </w:rPr>
            </w:pPr>
            <w:r w:rsidRPr="009F7E55">
              <w:rPr>
                <w:lang w:val="en-IE"/>
              </w:rPr>
              <w:t>Enhanced impact on society, skills and</w:t>
            </w:r>
            <w:r w:rsidRPr="009F7E55">
              <w:rPr>
                <w:spacing w:val="-8"/>
                <w:lang w:val="en-IE"/>
              </w:rPr>
              <w:t xml:space="preserve"> </w:t>
            </w:r>
            <w:r w:rsidRPr="009F7E55">
              <w:rPr>
                <w:lang w:val="en-IE"/>
              </w:rPr>
              <w:t>talents;</w:t>
            </w:r>
          </w:p>
          <w:p w14:paraId="7D8AEFCB" w14:textId="77777777" w:rsidR="00674F14" w:rsidRPr="009F7E55" w:rsidRDefault="00674F14" w:rsidP="00674F14">
            <w:pPr>
              <w:pStyle w:val="TableParagraph"/>
              <w:numPr>
                <w:ilvl w:val="0"/>
                <w:numId w:val="16"/>
              </w:numPr>
              <w:tabs>
                <w:tab w:val="left" w:pos="485"/>
                <w:tab w:val="left" w:pos="486"/>
              </w:tabs>
              <w:ind w:right="90"/>
              <w:rPr>
                <w:lang w:val="en-IE"/>
              </w:rPr>
            </w:pPr>
            <w:r w:rsidRPr="009F7E55">
              <w:rPr>
                <w:lang w:val="en-IE"/>
              </w:rPr>
              <w:lastRenderedPageBreak/>
              <w:t>Strengthened engagement with industry, improved interface with landscape of technology infrastructures and positive impact on</w:t>
            </w:r>
            <w:r w:rsidRPr="009F7E55">
              <w:rPr>
                <w:spacing w:val="-5"/>
                <w:lang w:val="en-IE"/>
              </w:rPr>
              <w:t xml:space="preserve"> </w:t>
            </w:r>
            <w:r w:rsidRPr="009F7E55">
              <w:rPr>
                <w:lang w:val="en-IE"/>
              </w:rPr>
              <w:t>economy;</w:t>
            </w:r>
          </w:p>
          <w:p w14:paraId="561E2805" w14:textId="77777777" w:rsidR="00674F14" w:rsidRPr="009F7E55" w:rsidRDefault="00674F14" w:rsidP="00674F14">
            <w:pPr>
              <w:pStyle w:val="TableParagraph"/>
              <w:numPr>
                <w:ilvl w:val="0"/>
                <w:numId w:val="16"/>
              </w:numPr>
              <w:tabs>
                <w:tab w:val="left" w:pos="485"/>
                <w:tab w:val="left" w:pos="486"/>
              </w:tabs>
              <w:ind w:right="90"/>
              <w:rPr>
                <w:lang w:val="en-IE"/>
              </w:rPr>
            </w:pPr>
            <w:r w:rsidRPr="009F7E55">
              <w:rPr>
                <w:lang w:val="en-IE"/>
              </w:rPr>
              <w:t>Improved investment strategy and associated process taking into account synergies among different sources of funding.</w:t>
            </w:r>
          </w:p>
          <w:p w14:paraId="4DAACA54" w14:textId="5DF22999" w:rsidR="00674F14" w:rsidRPr="009F7E55" w:rsidRDefault="00674F14" w:rsidP="00674F14">
            <w:pPr>
              <w:pStyle w:val="TableParagraph"/>
              <w:ind w:left="107" w:right="92"/>
              <w:jc w:val="both"/>
              <w:rPr>
                <w:lang w:val="en-IE"/>
              </w:rPr>
            </w:pPr>
            <w:r w:rsidRPr="009F7E55">
              <w:rPr>
                <w:lang w:val="en-IE"/>
              </w:rPr>
              <w:t>Overall, these individual impacts will lead to increased excellence, competitiveness and inclusiveness of the ERA.</w:t>
            </w:r>
          </w:p>
        </w:tc>
      </w:tr>
      <w:tr w:rsidR="00674F14" w:rsidRPr="009F7E55" w14:paraId="5F69BDC8" w14:textId="77777777" w:rsidTr="00674F14">
        <w:trPr>
          <w:trHeight w:val="1701"/>
        </w:trPr>
        <w:tc>
          <w:tcPr>
            <w:tcW w:w="2388" w:type="dxa"/>
          </w:tcPr>
          <w:p w14:paraId="156F6975" w14:textId="6FA0D67A" w:rsidR="00674F14" w:rsidRPr="009F7E55" w:rsidRDefault="00674F14" w:rsidP="00674F14">
            <w:pPr>
              <w:pStyle w:val="TableParagraph"/>
              <w:spacing w:before="121"/>
              <w:ind w:left="340"/>
              <w:rPr>
                <w:b/>
                <w:lang w:val="en-IE"/>
              </w:rPr>
            </w:pPr>
            <w:r w:rsidRPr="009F7E55">
              <w:rPr>
                <w:b/>
                <w:lang w:val="en-IE"/>
              </w:rPr>
              <w:lastRenderedPageBreak/>
              <w:t>6. Monitoring</w:t>
            </w:r>
          </w:p>
        </w:tc>
        <w:tc>
          <w:tcPr>
            <w:tcW w:w="6964" w:type="dxa"/>
          </w:tcPr>
          <w:p w14:paraId="4BEBDD25" w14:textId="77777777" w:rsidR="00674F14" w:rsidRPr="009F7E55" w:rsidRDefault="00674F14" w:rsidP="00674F14">
            <w:pPr>
              <w:pStyle w:val="TableParagraph"/>
              <w:spacing w:before="119"/>
              <w:ind w:left="107" w:right="89"/>
              <w:jc w:val="both"/>
              <w:rPr>
                <w:lang w:val="en-IE"/>
              </w:rPr>
            </w:pPr>
            <w:r w:rsidRPr="009F7E55">
              <w:rPr>
                <w:lang w:val="en-IE"/>
              </w:rPr>
              <w:t>Each planned outcome consists of one or more specific milestones, as indicated</w:t>
            </w:r>
            <w:r w:rsidRPr="009F7E55">
              <w:rPr>
                <w:spacing w:val="-6"/>
                <w:lang w:val="en-IE"/>
              </w:rPr>
              <w:t xml:space="preserve"> </w:t>
            </w:r>
            <w:r w:rsidRPr="009F7E55">
              <w:rPr>
                <w:lang w:val="en-IE"/>
              </w:rPr>
              <w:t>under</w:t>
            </w:r>
            <w:r w:rsidRPr="009F7E55">
              <w:rPr>
                <w:spacing w:val="-4"/>
                <w:lang w:val="en-IE"/>
              </w:rPr>
              <w:t xml:space="preserve"> </w:t>
            </w:r>
            <w:r w:rsidRPr="009F7E55">
              <w:rPr>
                <w:lang w:val="en-IE"/>
              </w:rPr>
              <w:t>point</w:t>
            </w:r>
            <w:r w:rsidRPr="009F7E55">
              <w:rPr>
                <w:spacing w:val="-4"/>
                <w:lang w:val="en-IE"/>
              </w:rPr>
              <w:t xml:space="preserve"> </w:t>
            </w:r>
            <w:r w:rsidRPr="009F7E55">
              <w:rPr>
                <w:lang w:val="en-IE"/>
              </w:rPr>
              <w:t>3</w:t>
            </w:r>
            <w:r w:rsidRPr="009F7E55">
              <w:rPr>
                <w:spacing w:val="-4"/>
                <w:lang w:val="en-IE"/>
              </w:rPr>
              <w:t xml:space="preserve"> </w:t>
            </w:r>
            <w:r w:rsidRPr="009F7E55">
              <w:rPr>
                <w:lang w:val="en-IE"/>
              </w:rPr>
              <w:t>above.</w:t>
            </w:r>
            <w:r w:rsidRPr="009F7E55">
              <w:rPr>
                <w:spacing w:val="-5"/>
                <w:lang w:val="en-IE"/>
              </w:rPr>
              <w:t xml:space="preserve"> </w:t>
            </w:r>
            <w:r w:rsidRPr="009F7E55">
              <w:rPr>
                <w:lang w:val="en-IE"/>
              </w:rPr>
              <w:t>Achievement</w:t>
            </w:r>
            <w:r w:rsidRPr="009F7E55">
              <w:rPr>
                <w:spacing w:val="-7"/>
                <w:lang w:val="en-IE"/>
              </w:rPr>
              <w:t xml:space="preserve"> </w:t>
            </w:r>
            <w:r w:rsidRPr="009F7E55">
              <w:rPr>
                <w:lang w:val="en-IE"/>
              </w:rPr>
              <w:t>of</w:t>
            </w:r>
            <w:r w:rsidRPr="009F7E55">
              <w:rPr>
                <w:spacing w:val="-5"/>
                <w:lang w:val="en-IE"/>
              </w:rPr>
              <w:t xml:space="preserve"> </w:t>
            </w:r>
            <w:r w:rsidRPr="009F7E55">
              <w:rPr>
                <w:lang w:val="en-IE"/>
              </w:rPr>
              <w:t>these</w:t>
            </w:r>
            <w:r w:rsidRPr="009F7E55">
              <w:rPr>
                <w:spacing w:val="-6"/>
                <w:lang w:val="en-IE"/>
              </w:rPr>
              <w:t xml:space="preserve"> </w:t>
            </w:r>
            <w:r w:rsidRPr="009F7E55">
              <w:rPr>
                <w:lang w:val="en-IE"/>
              </w:rPr>
              <w:t>milestones</w:t>
            </w:r>
            <w:r w:rsidRPr="009F7E55">
              <w:rPr>
                <w:spacing w:val="-5"/>
                <w:lang w:val="en-IE"/>
              </w:rPr>
              <w:t xml:space="preserve"> </w:t>
            </w:r>
            <w:r w:rsidRPr="009F7E55">
              <w:rPr>
                <w:lang w:val="en-IE"/>
              </w:rPr>
              <w:t>will</w:t>
            </w:r>
            <w:r w:rsidRPr="009F7E55">
              <w:rPr>
                <w:spacing w:val="-5"/>
                <w:lang w:val="en-IE"/>
              </w:rPr>
              <w:t xml:space="preserve"> </w:t>
            </w:r>
            <w:r w:rsidRPr="009F7E55">
              <w:rPr>
                <w:lang w:val="en-IE"/>
              </w:rPr>
              <w:t>enable robust monitoring of the implementation of the</w:t>
            </w:r>
            <w:r w:rsidRPr="009F7E55">
              <w:rPr>
                <w:spacing w:val="-10"/>
                <w:lang w:val="en-IE"/>
              </w:rPr>
              <w:t xml:space="preserve"> </w:t>
            </w:r>
            <w:r w:rsidRPr="009F7E55">
              <w:rPr>
                <w:lang w:val="en-IE"/>
              </w:rPr>
              <w:t>action.</w:t>
            </w:r>
          </w:p>
          <w:p w14:paraId="328FA13E" w14:textId="77777777" w:rsidR="00674F14" w:rsidRPr="009F7E55" w:rsidRDefault="00674F14" w:rsidP="00674F14">
            <w:pPr>
              <w:pStyle w:val="TableParagraph"/>
              <w:spacing w:before="121"/>
              <w:ind w:left="107" w:right="95"/>
              <w:jc w:val="both"/>
              <w:rPr>
                <w:lang w:val="en-IE"/>
              </w:rPr>
            </w:pPr>
            <w:r w:rsidRPr="009F7E55">
              <w:rPr>
                <w:lang w:val="en-IE"/>
              </w:rPr>
              <w:t>At the same time, a number of qualitative and quantitative elements could be explored to contribute to this monitoring:</w:t>
            </w:r>
          </w:p>
          <w:p w14:paraId="4B29A855" w14:textId="77777777" w:rsidR="00674F14" w:rsidRPr="009F7E55" w:rsidRDefault="00674F14" w:rsidP="00674F14">
            <w:pPr>
              <w:pStyle w:val="TableParagraph"/>
              <w:numPr>
                <w:ilvl w:val="0"/>
                <w:numId w:val="15"/>
              </w:numPr>
              <w:tabs>
                <w:tab w:val="left" w:pos="486"/>
              </w:tabs>
              <w:spacing w:before="120"/>
              <w:ind w:right="95"/>
              <w:jc w:val="both"/>
              <w:rPr>
                <w:lang w:val="en-IE"/>
              </w:rPr>
            </w:pPr>
            <w:r w:rsidRPr="009F7E55">
              <w:rPr>
                <w:lang w:val="en-IE"/>
              </w:rPr>
              <w:t>Data on annual national investments (including in-kind contributions) and resources attributed to European research</w:t>
            </w:r>
            <w:r w:rsidRPr="009F7E55">
              <w:rPr>
                <w:spacing w:val="-9"/>
                <w:lang w:val="en-IE"/>
              </w:rPr>
              <w:t xml:space="preserve"> </w:t>
            </w:r>
            <w:r w:rsidRPr="009F7E55">
              <w:rPr>
                <w:lang w:val="en-IE"/>
              </w:rPr>
              <w:t>infrastructures;</w:t>
            </w:r>
          </w:p>
          <w:p w14:paraId="182B926F" w14:textId="77777777" w:rsidR="00674F14" w:rsidRPr="009F7E55" w:rsidRDefault="00674F14" w:rsidP="00674F14">
            <w:pPr>
              <w:pStyle w:val="TableParagraph"/>
              <w:numPr>
                <w:ilvl w:val="0"/>
                <w:numId w:val="15"/>
              </w:numPr>
              <w:tabs>
                <w:tab w:val="left" w:pos="486"/>
              </w:tabs>
              <w:spacing w:before="3" w:line="237" w:lineRule="auto"/>
              <w:ind w:right="95"/>
              <w:jc w:val="both"/>
              <w:rPr>
                <w:lang w:val="en-IE"/>
              </w:rPr>
            </w:pPr>
            <w:r w:rsidRPr="009F7E55">
              <w:rPr>
                <w:lang w:val="en-IE"/>
              </w:rPr>
              <w:t>Development of an ERIC Observatory facilitating the monitoring of the implementation</w:t>
            </w:r>
            <w:r w:rsidRPr="009F7E55">
              <w:rPr>
                <w:spacing w:val="-28"/>
                <w:lang w:val="en-IE"/>
              </w:rPr>
              <w:t xml:space="preserve"> </w:t>
            </w:r>
            <w:r w:rsidRPr="009F7E55">
              <w:rPr>
                <w:lang w:val="en-IE"/>
              </w:rPr>
              <w:t>of the ERIC</w:t>
            </w:r>
            <w:r w:rsidRPr="009F7E55">
              <w:rPr>
                <w:spacing w:val="-3"/>
                <w:lang w:val="en-IE"/>
              </w:rPr>
              <w:t xml:space="preserve"> </w:t>
            </w:r>
            <w:r w:rsidRPr="009F7E55">
              <w:rPr>
                <w:lang w:val="en-IE"/>
              </w:rPr>
              <w:t>regulation;</w:t>
            </w:r>
          </w:p>
          <w:p w14:paraId="5A9D5FB9" w14:textId="77777777" w:rsidR="00674F14" w:rsidRPr="009F7E55" w:rsidRDefault="00674F14" w:rsidP="00674F14">
            <w:pPr>
              <w:pStyle w:val="TableParagraph"/>
              <w:numPr>
                <w:ilvl w:val="0"/>
                <w:numId w:val="15"/>
              </w:numPr>
              <w:tabs>
                <w:tab w:val="left" w:pos="486"/>
              </w:tabs>
              <w:spacing w:before="1"/>
              <w:ind w:right="91"/>
              <w:jc w:val="both"/>
              <w:rPr>
                <w:lang w:val="en-IE"/>
              </w:rPr>
            </w:pPr>
            <w:r w:rsidRPr="009F7E55">
              <w:rPr>
                <w:lang w:val="en-IE"/>
              </w:rPr>
              <w:t>Number of units of access provided to research infrastructures, including through new</w:t>
            </w:r>
            <w:r w:rsidRPr="009F7E55">
              <w:rPr>
                <w:spacing w:val="-8"/>
                <w:lang w:val="en-IE"/>
              </w:rPr>
              <w:t xml:space="preserve"> </w:t>
            </w:r>
            <w:r w:rsidRPr="009F7E55">
              <w:rPr>
                <w:lang w:val="en-IE"/>
              </w:rPr>
              <w:t>access</w:t>
            </w:r>
            <w:r w:rsidRPr="009F7E55">
              <w:rPr>
                <w:spacing w:val="-9"/>
                <w:lang w:val="en-IE"/>
              </w:rPr>
              <w:t xml:space="preserve"> </w:t>
            </w:r>
            <w:r w:rsidRPr="009F7E55">
              <w:rPr>
                <w:lang w:val="en-IE"/>
              </w:rPr>
              <w:t>schemes</w:t>
            </w:r>
            <w:r w:rsidRPr="009F7E55">
              <w:rPr>
                <w:spacing w:val="-10"/>
                <w:lang w:val="en-IE"/>
              </w:rPr>
              <w:t xml:space="preserve"> </w:t>
            </w:r>
            <w:r w:rsidRPr="009F7E55">
              <w:rPr>
                <w:lang w:val="en-IE"/>
              </w:rPr>
              <w:t>in addition to EU</w:t>
            </w:r>
            <w:r w:rsidRPr="009F7E55">
              <w:rPr>
                <w:spacing w:val="-8"/>
                <w:lang w:val="en-IE"/>
              </w:rPr>
              <w:t xml:space="preserve"> </w:t>
            </w:r>
            <w:r w:rsidRPr="009F7E55">
              <w:rPr>
                <w:lang w:val="en-IE"/>
              </w:rPr>
              <w:t>funded</w:t>
            </w:r>
            <w:r w:rsidRPr="009F7E55">
              <w:rPr>
                <w:spacing w:val="-12"/>
                <w:lang w:val="en-IE"/>
              </w:rPr>
              <w:t xml:space="preserve"> </w:t>
            </w:r>
            <w:r w:rsidRPr="009F7E55">
              <w:rPr>
                <w:lang w:val="en-IE"/>
              </w:rPr>
              <w:t>research</w:t>
            </w:r>
            <w:r w:rsidRPr="009F7E55">
              <w:rPr>
                <w:spacing w:val="-8"/>
                <w:lang w:val="en-IE"/>
              </w:rPr>
              <w:t xml:space="preserve"> </w:t>
            </w:r>
            <w:r w:rsidRPr="009F7E55">
              <w:rPr>
                <w:lang w:val="en-IE"/>
              </w:rPr>
              <w:t>infrastructures</w:t>
            </w:r>
            <w:r w:rsidRPr="009F7E55">
              <w:rPr>
                <w:spacing w:val="-12"/>
                <w:lang w:val="en-IE"/>
              </w:rPr>
              <w:t xml:space="preserve"> </w:t>
            </w:r>
            <w:r w:rsidRPr="009F7E55">
              <w:rPr>
                <w:lang w:val="en-IE"/>
              </w:rPr>
              <w:t>access programmes;</w:t>
            </w:r>
          </w:p>
          <w:p w14:paraId="626E2D46" w14:textId="77777777" w:rsidR="00674F14" w:rsidRPr="009F7E55" w:rsidRDefault="00674F14" w:rsidP="00674F14">
            <w:pPr>
              <w:pStyle w:val="TableParagraph"/>
              <w:numPr>
                <w:ilvl w:val="0"/>
                <w:numId w:val="15"/>
              </w:numPr>
              <w:tabs>
                <w:tab w:val="left" w:pos="486"/>
              </w:tabs>
              <w:spacing w:before="1"/>
              <w:ind w:right="94"/>
              <w:jc w:val="both"/>
              <w:rPr>
                <w:lang w:val="en-IE"/>
              </w:rPr>
            </w:pPr>
            <w:r w:rsidRPr="009F7E55">
              <w:rPr>
                <w:lang w:val="en-IE"/>
              </w:rPr>
              <w:t>Analysis of the broader socio-economic impacts of European research infrastructures;</w:t>
            </w:r>
          </w:p>
          <w:p w14:paraId="37CBB3F1" w14:textId="77777777" w:rsidR="00674F14" w:rsidRPr="009F7E55" w:rsidRDefault="00674F14" w:rsidP="00674F14">
            <w:pPr>
              <w:pStyle w:val="TableParagraph"/>
              <w:numPr>
                <w:ilvl w:val="0"/>
                <w:numId w:val="15"/>
              </w:numPr>
              <w:tabs>
                <w:tab w:val="left" w:pos="486"/>
              </w:tabs>
              <w:spacing w:before="1"/>
              <w:ind w:right="92"/>
              <w:jc w:val="both"/>
              <w:rPr>
                <w:lang w:val="en-IE"/>
              </w:rPr>
            </w:pPr>
            <w:r w:rsidRPr="009F7E55">
              <w:rPr>
                <w:lang w:val="en-IE"/>
              </w:rPr>
              <w:t>Analysis of stakeholder engagement in the activities of the ESFRI Stakeholder</w:t>
            </w:r>
            <w:r w:rsidRPr="009F7E55">
              <w:rPr>
                <w:spacing w:val="-1"/>
                <w:lang w:val="en-IE"/>
              </w:rPr>
              <w:t xml:space="preserve"> </w:t>
            </w:r>
            <w:r w:rsidRPr="009F7E55">
              <w:rPr>
                <w:lang w:val="en-IE"/>
              </w:rPr>
              <w:t>Forum;</w:t>
            </w:r>
          </w:p>
          <w:p w14:paraId="1CC2F267" w14:textId="77777777" w:rsidR="00674F14" w:rsidRPr="009F7E55" w:rsidRDefault="00674F14" w:rsidP="00674F14">
            <w:pPr>
              <w:pStyle w:val="TableParagraph"/>
              <w:numPr>
                <w:ilvl w:val="0"/>
                <w:numId w:val="15"/>
              </w:numPr>
              <w:tabs>
                <w:tab w:val="left" w:pos="486"/>
              </w:tabs>
              <w:spacing w:before="1"/>
              <w:ind w:right="93"/>
              <w:jc w:val="both"/>
              <w:rPr>
                <w:lang w:val="en-IE"/>
              </w:rPr>
            </w:pPr>
            <w:r w:rsidRPr="009F7E55">
              <w:rPr>
                <w:lang w:val="en-IE"/>
              </w:rPr>
              <w:t>Monitoring of the effectiveness of the methodology in place and of the implementation of the</w:t>
            </w:r>
            <w:r w:rsidRPr="009F7E55">
              <w:rPr>
                <w:spacing w:val="-6"/>
                <w:lang w:val="en-IE"/>
              </w:rPr>
              <w:t xml:space="preserve"> </w:t>
            </w:r>
            <w:r w:rsidRPr="009F7E55">
              <w:rPr>
                <w:lang w:val="en-IE"/>
              </w:rPr>
              <w:t>actions;</w:t>
            </w:r>
          </w:p>
          <w:p w14:paraId="7DDA28B0" w14:textId="77777777" w:rsidR="00674F14" w:rsidRPr="009F7E55" w:rsidRDefault="00674F14" w:rsidP="00674F14">
            <w:pPr>
              <w:pStyle w:val="TableParagraph"/>
              <w:numPr>
                <w:ilvl w:val="0"/>
                <w:numId w:val="15"/>
              </w:numPr>
              <w:tabs>
                <w:tab w:val="left" w:pos="486"/>
              </w:tabs>
              <w:spacing w:line="267" w:lineRule="exact"/>
              <w:ind w:hanging="285"/>
              <w:jc w:val="both"/>
              <w:rPr>
                <w:lang w:val="en-IE"/>
              </w:rPr>
            </w:pPr>
            <w:r w:rsidRPr="009F7E55">
              <w:rPr>
                <w:lang w:val="en-IE"/>
              </w:rPr>
              <w:t>EOSC European Partnership planning, monitoring and</w:t>
            </w:r>
            <w:r w:rsidRPr="009F7E55">
              <w:rPr>
                <w:spacing w:val="-12"/>
                <w:lang w:val="en-IE"/>
              </w:rPr>
              <w:t xml:space="preserve"> </w:t>
            </w:r>
            <w:r w:rsidRPr="009F7E55">
              <w:rPr>
                <w:lang w:val="en-IE"/>
              </w:rPr>
              <w:t>reporting;</w:t>
            </w:r>
          </w:p>
          <w:p w14:paraId="3557EEE2" w14:textId="77777777" w:rsidR="00674F14" w:rsidRPr="009F7E55" w:rsidRDefault="00674F14" w:rsidP="00674F14">
            <w:pPr>
              <w:pStyle w:val="TableParagraph"/>
              <w:numPr>
                <w:ilvl w:val="0"/>
                <w:numId w:val="15"/>
              </w:numPr>
              <w:tabs>
                <w:tab w:val="left" w:pos="486"/>
              </w:tabs>
              <w:ind w:right="90"/>
              <w:jc w:val="both"/>
              <w:rPr>
                <w:lang w:val="en-IE"/>
              </w:rPr>
            </w:pPr>
            <w:r w:rsidRPr="009F7E55">
              <w:rPr>
                <w:lang w:val="en-IE"/>
              </w:rPr>
              <w:t>Uptake of the updated European Charter for Access to Research Infrastructures.</w:t>
            </w:r>
          </w:p>
          <w:p w14:paraId="6E2D6ADE" w14:textId="09743330" w:rsidR="00674F14" w:rsidRPr="009F7E55" w:rsidRDefault="00674F14" w:rsidP="00674F14">
            <w:pPr>
              <w:pStyle w:val="TableParagraph"/>
              <w:spacing w:before="121"/>
              <w:ind w:left="107"/>
              <w:jc w:val="both"/>
              <w:rPr>
                <w:lang w:val="en-IE"/>
              </w:rPr>
            </w:pPr>
            <w:r w:rsidRPr="009F7E55">
              <w:rPr>
                <w:lang w:val="en-IE"/>
              </w:rPr>
              <w:t>Monitoring is also part of the action itself (i.e., monitoring of the performance of the ESFRI/ERICs research infrastructures, of EOSC as well as monitoring of the implementation of the ERIC Regulation), therefore different levels of monitoring of and within the action will be inter-linked.</w:t>
            </w:r>
          </w:p>
        </w:tc>
      </w:tr>
      <w:tr w:rsidR="00674F14" w:rsidRPr="009F7E55" w14:paraId="2C1330D1" w14:textId="77777777" w:rsidTr="00674F14">
        <w:trPr>
          <w:trHeight w:val="1701"/>
        </w:trPr>
        <w:tc>
          <w:tcPr>
            <w:tcW w:w="2388" w:type="dxa"/>
          </w:tcPr>
          <w:p w14:paraId="12E22F15" w14:textId="5B4ECAAE" w:rsidR="00674F14" w:rsidRPr="009F7E55" w:rsidRDefault="00674F14" w:rsidP="00674F14">
            <w:pPr>
              <w:pStyle w:val="TableParagraph"/>
              <w:spacing w:before="121"/>
              <w:ind w:left="340"/>
              <w:rPr>
                <w:b/>
                <w:lang w:val="en-IE"/>
              </w:rPr>
            </w:pPr>
            <w:r w:rsidRPr="009F7E55">
              <w:rPr>
                <w:b/>
                <w:lang w:val="en-IE"/>
              </w:rPr>
              <w:t>7. Communication</w:t>
            </w:r>
          </w:p>
        </w:tc>
        <w:tc>
          <w:tcPr>
            <w:tcW w:w="6964" w:type="dxa"/>
          </w:tcPr>
          <w:p w14:paraId="075C4C7A" w14:textId="77777777" w:rsidR="00674F14" w:rsidRPr="009F7E55" w:rsidRDefault="00674F14" w:rsidP="00674F14">
            <w:pPr>
              <w:pStyle w:val="TableParagraph"/>
              <w:spacing w:before="119"/>
              <w:ind w:left="107"/>
              <w:rPr>
                <w:lang w:val="en-IE"/>
              </w:rPr>
            </w:pPr>
            <w:r w:rsidRPr="009F7E55">
              <w:rPr>
                <w:lang w:val="en-IE"/>
              </w:rPr>
              <w:t>Communication actions already planned in 2022:</w:t>
            </w:r>
          </w:p>
          <w:p w14:paraId="7AEE8CC7" w14:textId="77777777" w:rsidR="00674F14" w:rsidRPr="009F7E55" w:rsidRDefault="00674F14" w:rsidP="00674F14">
            <w:pPr>
              <w:pStyle w:val="TableParagraph"/>
              <w:numPr>
                <w:ilvl w:val="0"/>
                <w:numId w:val="14"/>
              </w:numPr>
              <w:tabs>
                <w:tab w:val="left" w:pos="485"/>
                <w:tab w:val="left" w:pos="486"/>
              </w:tabs>
              <w:spacing w:before="120"/>
              <w:ind w:right="94"/>
              <w:rPr>
                <w:lang w:val="en-IE"/>
              </w:rPr>
            </w:pPr>
            <w:r w:rsidRPr="009F7E55">
              <w:rPr>
                <w:lang w:val="en-IE"/>
              </w:rPr>
              <w:t>French Presidency conference celebrating 20 years of ESFRI (25 March 2022)</w:t>
            </w:r>
          </w:p>
          <w:p w14:paraId="2C9BB1CB" w14:textId="77777777" w:rsidR="00674F14" w:rsidRPr="009F7E55" w:rsidRDefault="00674F14" w:rsidP="00674F14">
            <w:pPr>
              <w:pStyle w:val="TableParagraph"/>
              <w:numPr>
                <w:ilvl w:val="0"/>
                <w:numId w:val="14"/>
              </w:numPr>
              <w:tabs>
                <w:tab w:val="left" w:pos="485"/>
                <w:tab w:val="left" w:pos="486"/>
              </w:tabs>
              <w:spacing w:before="1"/>
              <w:ind w:hanging="285"/>
              <w:rPr>
                <w:lang w:val="en-IE"/>
              </w:rPr>
            </w:pPr>
            <w:r w:rsidRPr="009F7E55">
              <w:rPr>
                <w:lang w:val="en-IE"/>
              </w:rPr>
              <w:t>ESFRI Workshop on monitoring of RI performance (Q1</w:t>
            </w:r>
            <w:r w:rsidRPr="009F7E55">
              <w:rPr>
                <w:spacing w:val="-12"/>
                <w:lang w:val="en-IE"/>
              </w:rPr>
              <w:t xml:space="preserve"> </w:t>
            </w:r>
            <w:r w:rsidRPr="009F7E55">
              <w:rPr>
                <w:lang w:val="en-IE"/>
              </w:rPr>
              <w:t>2022)</w:t>
            </w:r>
          </w:p>
          <w:p w14:paraId="6C008A31" w14:textId="77777777" w:rsidR="00674F14" w:rsidRPr="009F7E55" w:rsidRDefault="00674F14" w:rsidP="00674F14">
            <w:pPr>
              <w:pStyle w:val="TableParagraph"/>
              <w:numPr>
                <w:ilvl w:val="0"/>
                <w:numId w:val="14"/>
              </w:numPr>
              <w:tabs>
                <w:tab w:val="left" w:pos="485"/>
                <w:tab w:val="left" w:pos="486"/>
              </w:tabs>
              <w:ind w:right="91"/>
              <w:rPr>
                <w:lang w:val="en-IE"/>
              </w:rPr>
            </w:pPr>
            <w:r w:rsidRPr="009F7E55">
              <w:rPr>
                <w:lang w:val="en-IE"/>
              </w:rPr>
              <w:t>ESFRI Workshop on research infrastructures landscape analysis (April 2022)</w:t>
            </w:r>
          </w:p>
          <w:p w14:paraId="6BC264A5" w14:textId="77777777" w:rsidR="00674F14" w:rsidRPr="009F7E55" w:rsidRDefault="00674F14" w:rsidP="00674F14">
            <w:pPr>
              <w:pStyle w:val="TableParagraph"/>
              <w:numPr>
                <w:ilvl w:val="0"/>
                <w:numId w:val="14"/>
              </w:numPr>
              <w:tabs>
                <w:tab w:val="left" w:pos="485"/>
                <w:tab w:val="left" w:pos="486"/>
              </w:tabs>
              <w:spacing w:before="1"/>
              <w:ind w:hanging="285"/>
              <w:rPr>
                <w:lang w:val="en-IE"/>
              </w:rPr>
            </w:pPr>
            <w:r w:rsidRPr="009F7E55">
              <w:rPr>
                <w:lang w:val="en-IE"/>
              </w:rPr>
              <w:t>1</w:t>
            </w:r>
            <w:r w:rsidRPr="009F7E55">
              <w:rPr>
                <w:vertAlign w:val="superscript"/>
                <w:lang w:val="en-IE"/>
              </w:rPr>
              <w:t>st</w:t>
            </w:r>
            <w:r w:rsidRPr="009F7E55">
              <w:rPr>
                <w:lang w:val="en-IE"/>
              </w:rPr>
              <w:t xml:space="preserve"> ESFRI Stakeholder Forum meet-up (Q2</w:t>
            </w:r>
            <w:r w:rsidRPr="009F7E55">
              <w:rPr>
                <w:spacing w:val="-6"/>
                <w:lang w:val="en-IE"/>
              </w:rPr>
              <w:t xml:space="preserve"> </w:t>
            </w:r>
            <w:r w:rsidRPr="009F7E55">
              <w:rPr>
                <w:lang w:val="en-IE"/>
              </w:rPr>
              <w:t>2022)</w:t>
            </w:r>
          </w:p>
          <w:p w14:paraId="1B9C0F0C" w14:textId="77777777" w:rsidR="00674F14" w:rsidRPr="009F7E55" w:rsidRDefault="00674F14" w:rsidP="00674F14">
            <w:pPr>
              <w:pStyle w:val="TableParagraph"/>
              <w:numPr>
                <w:ilvl w:val="0"/>
                <w:numId w:val="14"/>
              </w:numPr>
              <w:tabs>
                <w:tab w:val="left" w:pos="485"/>
                <w:tab w:val="left" w:pos="486"/>
              </w:tabs>
              <w:ind w:hanging="285"/>
              <w:rPr>
                <w:lang w:val="en-IE"/>
              </w:rPr>
            </w:pPr>
            <w:r w:rsidRPr="009F7E55">
              <w:rPr>
                <w:lang w:val="en-IE"/>
              </w:rPr>
              <w:t>Proposed launch of the ESFRI stakeholder digital platform (Q4</w:t>
            </w:r>
            <w:r w:rsidRPr="009F7E55">
              <w:rPr>
                <w:spacing w:val="-9"/>
                <w:lang w:val="en-IE"/>
              </w:rPr>
              <w:t xml:space="preserve"> </w:t>
            </w:r>
            <w:r w:rsidRPr="009F7E55">
              <w:rPr>
                <w:lang w:val="en-IE"/>
              </w:rPr>
              <w:t>2022)</w:t>
            </w:r>
          </w:p>
          <w:p w14:paraId="4CF9F1A3" w14:textId="77777777" w:rsidR="00674F14" w:rsidRPr="009F7E55" w:rsidRDefault="00674F14" w:rsidP="00674F14">
            <w:pPr>
              <w:pStyle w:val="TableParagraph"/>
              <w:numPr>
                <w:ilvl w:val="0"/>
                <w:numId w:val="14"/>
              </w:numPr>
              <w:tabs>
                <w:tab w:val="left" w:pos="485"/>
                <w:tab w:val="left" w:pos="486"/>
              </w:tabs>
              <w:spacing w:before="2" w:line="237" w:lineRule="auto"/>
              <w:ind w:right="93"/>
              <w:rPr>
                <w:lang w:val="en-IE"/>
              </w:rPr>
            </w:pPr>
            <w:r w:rsidRPr="009F7E55">
              <w:rPr>
                <w:lang w:val="en-IE"/>
              </w:rPr>
              <w:t>International Conference on Research Infrastructures under the Czech Presidency (19-21 October</w:t>
            </w:r>
            <w:r w:rsidRPr="009F7E55">
              <w:rPr>
                <w:spacing w:val="-3"/>
                <w:lang w:val="en-IE"/>
              </w:rPr>
              <w:t xml:space="preserve"> </w:t>
            </w:r>
            <w:r w:rsidRPr="009F7E55">
              <w:rPr>
                <w:lang w:val="en-IE"/>
              </w:rPr>
              <w:t>2022)</w:t>
            </w:r>
          </w:p>
          <w:p w14:paraId="2BB7CF7C" w14:textId="77777777" w:rsidR="00674F14" w:rsidRPr="009F7E55" w:rsidRDefault="00674F14" w:rsidP="00674F14">
            <w:pPr>
              <w:pStyle w:val="TableParagraph"/>
              <w:numPr>
                <w:ilvl w:val="0"/>
                <w:numId w:val="14"/>
              </w:numPr>
              <w:tabs>
                <w:tab w:val="left" w:pos="485"/>
                <w:tab w:val="left" w:pos="486"/>
              </w:tabs>
              <w:spacing w:before="2"/>
              <w:ind w:hanging="285"/>
              <w:rPr>
                <w:lang w:val="en-IE"/>
              </w:rPr>
            </w:pPr>
            <w:r w:rsidRPr="009F7E55">
              <w:rPr>
                <w:lang w:val="en-IE"/>
              </w:rPr>
              <w:t>EOSC Symposium (November</w:t>
            </w:r>
            <w:r w:rsidRPr="009F7E55">
              <w:rPr>
                <w:spacing w:val="-2"/>
                <w:lang w:val="en-IE"/>
              </w:rPr>
              <w:t xml:space="preserve"> </w:t>
            </w:r>
            <w:r w:rsidRPr="009F7E55">
              <w:rPr>
                <w:lang w:val="en-IE"/>
              </w:rPr>
              <w:t>2022)</w:t>
            </w:r>
          </w:p>
          <w:p w14:paraId="459F96A6" w14:textId="77777777" w:rsidR="00674F14" w:rsidRPr="009F7E55" w:rsidRDefault="00674F14" w:rsidP="00674F14">
            <w:pPr>
              <w:pStyle w:val="TableParagraph"/>
              <w:numPr>
                <w:ilvl w:val="0"/>
                <w:numId w:val="14"/>
              </w:numPr>
              <w:tabs>
                <w:tab w:val="left" w:pos="485"/>
                <w:tab w:val="left" w:pos="486"/>
              </w:tabs>
              <w:ind w:right="93"/>
              <w:rPr>
                <w:lang w:val="en-IE"/>
              </w:rPr>
            </w:pPr>
            <w:r w:rsidRPr="009F7E55">
              <w:rPr>
                <w:lang w:val="en-IE"/>
              </w:rPr>
              <w:t>Active use of websites dedicated to research infrastructures (such as</w:t>
            </w:r>
            <w:r w:rsidRPr="009F7E55">
              <w:rPr>
                <w:color w:val="0462C1"/>
                <w:lang w:val="en-IE"/>
              </w:rPr>
              <w:t xml:space="preserve"> </w:t>
            </w:r>
            <w:hyperlink r:id="rId11">
              <w:r w:rsidRPr="009F7E55">
                <w:rPr>
                  <w:color w:val="0462C1"/>
                  <w:u w:val="single" w:color="0462C1"/>
                  <w:lang w:val="en-IE"/>
                </w:rPr>
                <w:t>www.esfri.eu</w:t>
              </w:r>
              <w:r w:rsidRPr="009F7E55">
                <w:rPr>
                  <w:color w:val="0462C1"/>
                  <w:lang w:val="en-IE"/>
                </w:rPr>
                <w:t xml:space="preserve"> </w:t>
              </w:r>
            </w:hyperlink>
            <w:r w:rsidRPr="009F7E55">
              <w:rPr>
                <w:lang w:val="en-IE"/>
              </w:rPr>
              <w:t>and the Commission’s</w:t>
            </w:r>
            <w:r w:rsidRPr="009F7E55">
              <w:rPr>
                <w:spacing w:val="-2"/>
                <w:lang w:val="en-IE"/>
              </w:rPr>
              <w:t xml:space="preserve"> </w:t>
            </w:r>
            <w:r w:rsidRPr="009F7E55">
              <w:rPr>
                <w:lang w:val="en-IE"/>
              </w:rPr>
              <w:t>website)</w:t>
            </w:r>
          </w:p>
          <w:p w14:paraId="1663268A" w14:textId="77777777" w:rsidR="00674F14" w:rsidRPr="009F7E55" w:rsidRDefault="00674F14" w:rsidP="00674F14">
            <w:pPr>
              <w:pStyle w:val="TableParagraph"/>
              <w:numPr>
                <w:ilvl w:val="0"/>
                <w:numId w:val="14"/>
              </w:numPr>
              <w:tabs>
                <w:tab w:val="left" w:pos="485"/>
                <w:tab w:val="left" w:pos="486"/>
              </w:tabs>
              <w:ind w:right="93"/>
              <w:rPr>
                <w:lang w:val="en-IE"/>
              </w:rPr>
            </w:pPr>
            <w:r w:rsidRPr="009F7E55">
              <w:rPr>
                <w:lang w:val="en-IE"/>
              </w:rPr>
              <w:t>Active use of social media of the Commission and of ESFRI (Twitter, LinkedIn)</w:t>
            </w:r>
          </w:p>
          <w:p w14:paraId="74CA3380" w14:textId="77777777" w:rsidR="00674F14" w:rsidRPr="009F7E55" w:rsidRDefault="00674F14" w:rsidP="00674F14">
            <w:pPr>
              <w:pStyle w:val="TableParagraph"/>
              <w:spacing w:before="121"/>
              <w:ind w:left="201"/>
              <w:rPr>
                <w:lang w:val="en-IE"/>
              </w:rPr>
            </w:pPr>
            <w:r w:rsidRPr="009F7E55">
              <w:rPr>
                <w:lang w:val="en-IE"/>
              </w:rPr>
              <w:t>Other actions to be considered in 2022:</w:t>
            </w:r>
          </w:p>
          <w:p w14:paraId="0C26BE9F" w14:textId="77777777" w:rsidR="00674F14" w:rsidRPr="009F7E55" w:rsidRDefault="00674F14" w:rsidP="00674F14">
            <w:pPr>
              <w:pStyle w:val="TableParagraph"/>
              <w:numPr>
                <w:ilvl w:val="0"/>
                <w:numId w:val="14"/>
              </w:numPr>
              <w:tabs>
                <w:tab w:val="left" w:pos="485"/>
                <w:tab w:val="left" w:pos="486"/>
              </w:tabs>
              <w:spacing w:before="121"/>
              <w:ind w:right="97"/>
              <w:rPr>
                <w:lang w:val="en-IE"/>
              </w:rPr>
            </w:pPr>
            <w:r w:rsidRPr="009F7E55">
              <w:rPr>
                <w:lang w:val="en-IE"/>
              </w:rPr>
              <w:lastRenderedPageBreak/>
              <w:t>Stakeholder consultation on the European Charter for Access to Research Infrastructures (Q4 2022)</w:t>
            </w:r>
          </w:p>
          <w:p w14:paraId="0A34F121" w14:textId="456B9CD3" w:rsidR="00674F14" w:rsidRPr="009F7E55" w:rsidRDefault="00674F14" w:rsidP="00674F14">
            <w:pPr>
              <w:pStyle w:val="TableParagraph"/>
              <w:spacing w:before="119"/>
              <w:ind w:left="107" w:right="89"/>
              <w:jc w:val="both"/>
              <w:rPr>
                <w:lang w:val="en-IE"/>
              </w:rPr>
            </w:pPr>
            <w:r w:rsidRPr="009F7E55">
              <w:rPr>
                <w:lang w:val="en-IE"/>
              </w:rPr>
              <w:t>Public presentation of the ERIC Report (Q3</w:t>
            </w:r>
            <w:r w:rsidRPr="009F7E55">
              <w:rPr>
                <w:spacing w:val="-12"/>
                <w:lang w:val="en-IE"/>
              </w:rPr>
              <w:t xml:space="preserve"> </w:t>
            </w:r>
            <w:r w:rsidRPr="009F7E55">
              <w:rPr>
                <w:lang w:val="en-IE"/>
              </w:rPr>
              <w:t>2022)</w:t>
            </w:r>
          </w:p>
        </w:tc>
      </w:tr>
      <w:tr w:rsidR="00674F14" w:rsidRPr="009F7E55" w14:paraId="475E1036" w14:textId="77777777" w:rsidTr="00674F14">
        <w:trPr>
          <w:trHeight w:val="1701"/>
        </w:trPr>
        <w:tc>
          <w:tcPr>
            <w:tcW w:w="2388" w:type="dxa"/>
          </w:tcPr>
          <w:p w14:paraId="2B959FA2" w14:textId="48AFD41D" w:rsidR="00674F14" w:rsidRPr="009F7E55" w:rsidRDefault="00674F14" w:rsidP="00674F14">
            <w:pPr>
              <w:pStyle w:val="TableParagraph"/>
              <w:spacing w:before="121"/>
              <w:ind w:left="340"/>
              <w:rPr>
                <w:b/>
                <w:lang w:val="en-IE"/>
              </w:rPr>
            </w:pPr>
            <w:r w:rsidRPr="009F7E55">
              <w:rPr>
                <w:b/>
                <w:lang w:val="en-IE"/>
              </w:rPr>
              <w:lastRenderedPageBreak/>
              <w:t>8. Additional information</w:t>
            </w:r>
          </w:p>
        </w:tc>
        <w:tc>
          <w:tcPr>
            <w:tcW w:w="6964" w:type="dxa"/>
          </w:tcPr>
          <w:p w14:paraId="3E4150F8" w14:textId="77777777" w:rsidR="00674F14" w:rsidRPr="009F7E55" w:rsidRDefault="00674F14" w:rsidP="00674F14">
            <w:pPr>
              <w:pStyle w:val="TableParagraph"/>
              <w:spacing w:before="119"/>
              <w:ind w:left="107" w:right="388"/>
              <w:rPr>
                <w:i/>
                <w:lang w:val="en-IE"/>
              </w:rPr>
            </w:pPr>
            <w:r w:rsidRPr="009F7E55">
              <w:rPr>
                <w:lang w:val="en-IE"/>
              </w:rPr>
              <w:t xml:space="preserve">This action addresses European research infrastructures and the appropriate interface with technology infrastructures. Technology infrastructures, directly linked to Industrial policy, are addressed under ERA Policy Agenda action 12, </w:t>
            </w:r>
            <w:r w:rsidRPr="009F7E55">
              <w:rPr>
                <w:i/>
                <w:lang w:val="en-IE"/>
              </w:rPr>
              <w:t>Accelerating the green/digital transition of Europe’s key industrial ecosystems.</w:t>
            </w:r>
          </w:p>
          <w:p w14:paraId="6ACBFEE0" w14:textId="77777777" w:rsidR="00674F14" w:rsidRPr="009F7E55" w:rsidRDefault="00674F14" w:rsidP="00674F14">
            <w:pPr>
              <w:pStyle w:val="TableParagraph"/>
              <w:spacing w:before="121"/>
              <w:ind w:left="107"/>
              <w:rPr>
                <w:lang w:val="en-IE"/>
              </w:rPr>
            </w:pPr>
            <w:r w:rsidRPr="009F7E55">
              <w:rPr>
                <w:lang w:val="en-IE"/>
              </w:rPr>
              <w:t>References:</w:t>
            </w:r>
          </w:p>
          <w:p w14:paraId="2EFDCDD7" w14:textId="77777777" w:rsidR="00674F14" w:rsidRPr="009F7E55" w:rsidRDefault="00AA3F06" w:rsidP="00674F14">
            <w:pPr>
              <w:pStyle w:val="TableParagraph"/>
              <w:spacing w:before="121"/>
              <w:ind w:left="107"/>
              <w:rPr>
                <w:lang w:val="en-IE"/>
              </w:rPr>
            </w:pPr>
            <w:hyperlink r:id="rId12">
              <w:r w:rsidR="00674F14" w:rsidRPr="009F7E55">
                <w:rPr>
                  <w:color w:val="0462C1"/>
                  <w:u w:val="single" w:color="0462C1"/>
                  <w:lang w:val="en-IE"/>
                </w:rPr>
                <w:t>ESFRI Roadmap 2021</w:t>
              </w:r>
              <w:r w:rsidR="00674F14" w:rsidRPr="009F7E55">
                <w:rPr>
                  <w:color w:val="0462C1"/>
                  <w:lang w:val="en-IE"/>
                </w:rPr>
                <w:t xml:space="preserve"> </w:t>
              </w:r>
            </w:hyperlink>
            <w:r w:rsidR="00674F14" w:rsidRPr="009F7E55">
              <w:rPr>
                <w:lang w:val="en-IE"/>
              </w:rPr>
              <w:t>- Strategy Report on Research Infrastructures</w:t>
            </w:r>
          </w:p>
          <w:p w14:paraId="59CE6B53" w14:textId="77777777" w:rsidR="00674F14" w:rsidRPr="009F7E55" w:rsidRDefault="00AA3F06" w:rsidP="00674F14">
            <w:pPr>
              <w:pStyle w:val="TableParagraph"/>
              <w:spacing w:before="120"/>
              <w:ind w:left="107"/>
              <w:rPr>
                <w:lang w:val="en-IE"/>
              </w:rPr>
            </w:pPr>
            <w:hyperlink r:id="rId13">
              <w:r w:rsidR="00674F14" w:rsidRPr="009F7E55">
                <w:rPr>
                  <w:color w:val="0462C1"/>
                  <w:u w:val="single" w:color="0462C1"/>
                  <w:lang w:val="en-IE"/>
                </w:rPr>
                <w:t>Assessment on the Implementation of the ERIC Regulation</w:t>
              </w:r>
            </w:hyperlink>
          </w:p>
          <w:p w14:paraId="5EF82E29" w14:textId="77777777" w:rsidR="00674F14" w:rsidRPr="009F7E55" w:rsidRDefault="00AA3F06" w:rsidP="00674F14">
            <w:pPr>
              <w:pStyle w:val="TableParagraph"/>
              <w:spacing w:before="118"/>
              <w:ind w:left="107" w:right="166"/>
              <w:rPr>
                <w:lang w:val="en-IE"/>
              </w:rPr>
            </w:pPr>
            <w:hyperlink r:id="rId14">
              <w:r w:rsidR="00674F14" w:rsidRPr="009F7E55">
                <w:rPr>
                  <w:color w:val="0462C1"/>
                  <w:u w:val="single" w:color="0462C1"/>
                  <w:lang w:val="en-IE"/>
                </w:rPr>
                <w:t>MAKING SCIENCE HAPPEN - A new ambition for Research Infrastructures in</w:t>
              </w:r>
            </w:hyperlink>
            <w:r w:rsidR="00674F14" w:rsidRPr="009F7E55">
              <w:rPr>
                <w:color w:val="0462C1"/>
                <w:lang w:val="en-IE"/>
              </w:rPr>
              <w:t xml:space="preserve"> </w:t>
            </w:r>
            <w:hyperlink r:id="rId15">
              <w:r w:rsidR="00674F14" w:rsidRPr="009F7E55">
                <w:rPr>
                  <w:color w:val="0462C1"/>
                  <w:u w:val="single" w:color="0462C1"/>
                  <w:lang w:val="en-IE"/>
                </w:rPr>
                <w:t>the European Research Area - ESFRI WHITE PAPER 2020</w:t>
              </w:r>
            </w:hyperlink>
          </w:p>
          <w:p w14:paraId="720FC105" w14:textId="77777777" w:rsidR="00674F14" w:rsidRPr="009F7E55" w:rsidRDefault="00AA3F06" w:rsidP="00674F14">
            <w:pPr>
              <w:pStyle w:val="TableParagraph"/>
              <w:spacing w:before="118"/>
              <w:ind w:left="107" w:right="166"/>
              <w:rPr>
                <w:color w:val="0462C1"/>
                <w:u w:val="single" w:color="0462C1"/>
                <w:lang w:val="en-IE"/>
              </w:rPr>
            </w:pPr>
            <w:hyperlink r:id="rId16">
              <w:r w:rsidR="00674F14" w:rsidRPr="009F7E55">
                <w:rPr>
                  <w:color w:val="0462C1"/>
                  <w:u w:val="single" w:color="0462C1"/>
                  <w:lang w:val="en-IE"/>
                </w:rPr>
                <w:t>Supporting the transformative impact of research infrastructures on</w:t>
              </w:r>
            </w:hyperlink>
            <w:r w:rsidR="00674F14" w:rsidRPr="009F7E55">
              <w:rPr>
                <w:color w:val="0462C1"/>
                <w:u w:val="single" w:color="0462C1"/>
                <w:lang w:val="en-IE"/>
              </w:rPr>
              <w:t xml:space="preserve"> </w:t>
            </w:r>
            <w:hyperlink r:id="rId17">
              <w:r w:rsidR="00674F14" w:rsidRPr="009F7E55">
                <w:rPr>
                  <w:color w:val="0462C1"/>
                  <w:u w:val="single" w:color="0462C1"/>
                  <w:lang w:val="en-IE"/>
                </w:rPr>
                <w:t>European research</w:t>
              </w:r>
            </w:hyperlink>
          </w:p>
          <w:p w14:paraId="2619D070" w14:textId="616CCCC2" w:rsidR="00674F14" w:rsidRPr="009F7E55" w:rsidRDefault="00AA3F06" w:rsidP="00674F14">
            <w:pPr>
              <w:pStyle w:val="TableParagraph"/>
              <w:spacing w:before="119"/>
              <w:ind w:left="107"/>
              <w:rPr>
                <w:lang w:val="en-IE"/>
              </w:rPr>
            </w:pPr>
            <w:hyperlink r:id="rId18">
              <w:r w:rsidR="00674F14" w:rsidRPr="009F7E55">
                <w:rPr>
                  <w:color w:val="0462C1"/>
                  <w:u w:val="single" w:color="0462C1"/>
                  <w:lang w:val="en-IE"/>
                </w:rPr>
                <w:t>ESFRI Report ‘Monitoring of Research Infrastructures Performance’</w:t>
              </w:r>
            </w:hyperlink>
          </w:p>
        </w:tc>
      </w:tr>
    </w:tbl>
    <w:p w14:paraId="185E2BA9" w14:textId="77777777" w:rsidR="00674F14" w:rsidRPr="00700C6F" w:rsidRDefault="00674F14" w:rsidP="00674F14">
      <w:pPr>
        <w:pStyle w:val="BodyText"/>
        <w:rPr>
          <w:rFonts w:ascii="Times New Roman"/>
          <w:i w:val="0"/>
          <w:sz w:val="24"/>
          <w:szCs w:val="24"/>
        </w:rPr>
      </w:pPr>
    </w:p>
    <w:p w14:paraId="6FBDA438" w14:textId="77777777" w:rsidR="00674F14" w:rsidRDefault="00674F14" w:rsidP="00674F14"/>
    <w:p w14:paraId="743DE2E7" w14:textId="77777777" w:rsidR="00612C8D" w:rsidRDefault="00612C8D" w:rsidP="00612C8D"/>
    <w:sectPr w:rsidR="00612C8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B940D" w14:textId="77777777" w:rsidR="00075A36" w:rsidRDefault="00075A36" w:rsidP="00612C8D">
      <w:pPr>
        <w:spacing w:after="0" w:line="240" w:lineRule="auto"/>
      </w:pPr>
      <w:r>
        <w:separator/>
      </w:r>
    </w:p>
  </w:endnote>
  <w:endnote w:type="continuationSeparator" w:id="0">
    <w:p w14:paraId="0E27B00A" w14:textId="77777777" w:rsidR="00075A36" w:rsidRDefault="00075A36" w:rsidP="0061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676975"/>
      <w:docPartObj>
        <w:docPartGallery w:val="Page Numbers (Bottom of Page)"/>
        <w:docPartUnique/>
      </w:docPartObj>
    </w:sdtPr>
    <w:sdtEndPr>
      <w:rPr>
        <w:noProof/>
      </w:rPr>
    </w:sdtEndPr>
    <w:sdtContent>
      <w:p w14:paraId="3D3D22A9" w14:textId="4276D0A7" w:rsidR="00612C8D" w:rsidRDefault="00612C8D">
        <w:pPr>
          <w:pStyle w:val="Footer"/>
          <w:jc w:val="center"/>
        </w:pPr>
        <w:r>
          <w:fldChar w:fldCharType="begin"/>
        </w:r>
        <w:r>
          <w:instrText xml:space="preserve"> PAGE   \* MERGEFORMAT </w:instrText>
        </w:r>
        <w:r>
          <w:fldChar w:fldCharType="separate"/>
        </w:r>
        <w:r w:rsidR="00AA3F06">
          <w:rPr>
            <w:noProof/>
          </w:rPr>
          <w:t>2</w:t>
        </w:r>
        <w:r>
          <w:rPr>
            <w:noProof/>
          </w:rPr>
          <w:fldChar w:fldCharType="end"/>
        </w:r>
      </w:p>
    </w:sdtContent>
  </w:sdt>
  <w:p w14:paraId="72A3D3EC" w14:textId="77777777" w:rsidR="00612C8D" w:rsidRDefault="00612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61E4C" w14:textId="77777777" w:rsidR="00075A36" w:rsidRDefault="00075A36" w:rsidP="00612C8D">
      <w:pPr>
        <w:spacing w:after="0" w:line="240" w:lineRule="auto"/>
      </w:pPr>
      <w:r>
        <w:separator/>
      </w:r>
    </w:p>
  </w:footnote>
  <w:footnote w:type="continuationSeparator" w:id="0">
    <w:p w14:paraId="44EAFD9C" w14:textId="77777777" w:rsidR="00075A36" w:rsidRDefault="00075A36" w:rsidP="00612C8D">
      <w:pPr>
        <w:spacing w:after="0" w:line="240" w:lineRule="auto"/>
      </w:pPr>
      <w:r>
        <w:continuationSeparator/>
      </w:r>
    </w:p>
  </w:footnote>
  <w:footnote w:id="1">
    <w:p w14:paraId="194D50D6" w14:textId="54FAC3DE" w:rsidR="00674F14" w:rsidRPr="00674F14" w:rsidRDefault="00674F14">
      <w:pPr>
        <w:pStyle w:val="FootnoteText"/>
        <w:rPr>
          <w:lang w:val="en-US"/>
        </w:rPr>
      </w:pPr>
      <w:r>
        <w:rPr>
          <w:rStyle w:val="FootnoteReference"/>
        </w:rPr>
        <w:footnoteRef/>
      </w:r>
      <w:r>
        <w:t xml:space="preserve"> </w:t>
      </w:r>
      <w:r>
        <w:rPr>
          <w:lang w:val="en-IE"/>
        </w:rPr>
        <w:t>Please fill in these boxes.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879"/>
    <w:multiLevelType w:val="multilevel"/>
    <w:tmpl w:val="1B02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D0003"/>
    <w:multiLevelType w:val="hybridMultilevel"/>
    <w:tmpl w:val="3D10FA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B04D78"/>
    <w:multiLevelType w:val="hybridMultilevel"/>
    <w:tmpl w:val="892CDF24"/>
    <w:lvl w:ilvl="0" w:tplc="06B24642">
      <w:numFmt w:val="bullet"/>
      <w:lvlText w:val="o"/>
      <w:lvlJc w:val="left"/>
      <w:pPr>
        <w:ind w:left="821" w:hanging="356"/>
      </w:pPr>
      <w:rPr>
        <w:rFonts w:ascii="Courier New" w:eastAsia="Courier New" w:hAnsi="Courier New" w:cs="Courier New" w:hint="default"/>
        <w:w w:val="100"/>
        <w:sz w:val="22"/>
        <w:szCs w:val="22"/>
        <w:lang w:val="en-US" w:eastAsia="en-US" w:bidi="ar-SA"/>
      </w:rPr>
    </w:lvl>
    <w:lvl w:ilvl="1" w:tplc="BB74D91A">
      <w:numFmt w:val="bullet"/>
      <w:lvlText w:val="•"/>
      <w:lvlJc w:val="left"/>
      <w:pPr>
        <w:ind w:left="1433" w:hanging="356"/>
      </w:pPr>
      <w:rPr>
        <w:rFonts w:hint="default"/>
        <w:lang w:val="en-US" w:eastAsia="en-US" w:bidi="ar-SA"/>
      </w:rPr>
    </w:lvl>
    <w:lvl w:ilvl="2" w:tplc="76E23454">
      <w:numFmt w:val="bullet"/>
      <w:lvlText w:val="•"/>
      <w:lvlJc w:val="left"/>
      <w:pPr>
        <w:ind w:left="2046" w:hanging="356"/>
      </w:pPr>
      <w:rPr>
        <w:rFonts w:hint="default"/>
        <w:lang w:val="en-US" w:eastAsia="en-US" w:bidi="ar-SA"/>
      </w:rPr>
    </w:lvl>
    <w:lvl w:ilvl="3" w:tplc="D7CE7582">
      <w:numFmt w:val="bullet"/>
      <w:lvlText w:val="•"/>
      <w:lvlJc w:val="left"/>
      <w:pPr>
        <w:ind w:left="2660" w:hanging="356"/>
      </w:pPr>
      <w:rPr>
        <w:rFonts w:hint="default"/>
        <w:lang w:val="en-US" w:eastAsia="en-US" w:bidi="ar-SA"/>
      </w:rPr>
    </w:lvl>
    <w:lvl w:ilvl="4" w:tplc="85327928">
      <w:numFmt w:val="bullet"/>
      <w:lvlText w:val="•"/>
      <w:lvlJc w:val="left"/>
      <w:pPr>
        <w:ind w:left="3273" w:hanging="356"/>
      </w:pPr>
      <w:rPr>
        <w:rFonts w:hint="default"/>
        <w:lang w:val="en-US" w:eastAsia="en-US" w:bidi="ar-SA"/>
      </w:rPr>
    </w:lvl>
    <w:lvl w:ilvl="5" w:tplc="5976867A">
      <w:numFmt w:val="bullet"/>
      <w:lvlText w:val="•"/>
      <w:lvlJc w:val="left"/>
      <w:pPr>
        <w:ind w:left="3887" w:hanging="356"/>
      </w:pPr>
      <w:rPr>
        <w:rFonts w:hint="default"/>
        <w:lang w:val="en-US" w:eastAsia="en-US" w:bidi="ar-SA"/>
      </w:rPr>
    </w:lvl>
    <w:lvl w:ilvl="6" w:tplc="93DCF40E">
      <w:numFmt w:val="bullet"/>
      <w:lvlText w:val="•"/>
      <w:lvlJc w:val="left"/>
      <w:pPr>
        <w:ind w:left="4500" w:hanging="356"/>
      </w:pPr>
      <w:rPr>
        <w:rFonts w:hint="default"/>
        <w:lang w:val="en-US" w:eastAsia="en-US" w:bidi="ar-SA"/>
      </w:rPr>
    </w:lvl>
    <w:lvl w:ilvl="7" w:tplc="43826262">
      <w:numFmt w:val="bullet"/>
      <w:lvlText w:val="•"/>
      <w:lvlJc w:val="left"/>
      <w:pPr>
        <w:ind w:left="5113" w:hanging="356"/>
      </w:pPr>
      <w:rPr>
        <w:rFonts w:hint="default"/>
        <w:lang w:val="en-US" w:eastAsia="en-US" w:bidi="ar-SA"/>
      </w:rPr>
    </w:lvl>
    <w:lvl w:ilvl="8" w:tplc="D65879AA">
      <w:numFmt w:val="bullet"/>
      <w:lvlText w:val="•"/>
      <w:lvlJc w:val="left"/>
      <w:pPr>
        <w:ind w:left="5727" w:hanging="356"/>
      </w:pPr>
      <w:rPr>
        <w:rFonts w:hint="default"/>
        <w:lang w:val="en-US" w:eastAsia="en-US" w:bidi="ar-SA"/>
      </w:rPr>
    </w:lvl>
  </w:abstractNum>
  <w:abstractNum w:abstractNumId="3" w15:restartNumberingAfterBreak="0">
    <w:nsid w:val="365A55BF"/>
    <w:multiLevelType w:val="hybridMultilevel"/>
    <w:tmpl w:val="A0625C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55687F"/>
    <w:multiLevelType w:val="hybridMultilevel"/>
    <w:tmpl w:val="3D10F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1B7655"/>
    <w:multiLevelType w:val="hybridMultilevel"/>
    <w:tmpl w:val="02AE4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F77C72"/>
    <w:multiLevelType w:val="multilevel"/>
    <w:tmpl w:val="E91C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3138D"/>
    <w:multiLevelType w:val="hybridMultilevel"/>
    <w:tmpl w:val="8BF2524C"/>
    <w:lvl w:ilvl="0" w:tplc="7DA46AAE">
      <w:numFmt w:val="bullet"/>
      <w:lvlText w:val="-"/>
      <w:lvlJc w:val="left"/>
      <w:pPr>
        <w:ind w:left="485" w:hanging="284"/>
      </w:pPr>
      <w:rPr>
        <w:rFonts w:ascii="Calibri" w:eastAsia="Calibri" w:hAnsi="Calibri" w:cs="Calibri" w:hint="default"/>
        <w:w w:val="100"/>
        <w:sz w:val="22"/>
        <w:szCs w:val="22"/>
        <w:lang w:val="en-US" w:eastAsia="en-US" w:bidi="ar-SA"/>
      </w:rPr>
    </w:lvl>
    <w:lvl w:ilvl="1" w:tplc="2D185622">
      <w:numFmt w:val="bullet"/>
      <w:lvlText w:val="•"/>
      <w:lvlJc w:val="left"/>
      <w:pPr>
        <w:ind w:left="1127" w:hanging="284"/>
      </w:pPr>
      <w:rPr>
        <w:rFonts w:hint="default"/>
        <w:lang w:val="en-US" w:eastAsia="en-US" w:bidi="ar-SA"/>
      </w:rPr>
    </w:lvl>
    <w:lvl w:ilvl="2" w:tplc="ED6279FC">
      <w:numFmt w:val="bullet"/>
      <w:lvlText w:val="•"/>
      <w:lvlJc w:val="left"/>
      <w:pPr>
        <w:ind w:left="1774" w:hanging="284"/>
      </w:pPr>
      <w:rPr>
        <w:rFonts w:hint="default"/>
        <w:lang w:val="en-US" w:eastAsia="en-US" w:bidi="ar-SA"/>
      </w:rPr>
    </w:lvl>
    <w:lvl w:ilvl="3" w:tplc="5B40098E">
      <w:numFmt w:val="bullet"/>
      <w:lvlText w:val="•"/>
      <w:lvlJc w:val="left"/>
      <w:pPr>
        <w:ind w:left="2422" w:hanging="284"/>
      </w:pPr>
      <w:rPr>
        <w:rFonts w:hint="default"/>
        <w:lang w:val="en-US" w:eastAsia="en-US" w:bidi="ar-SA"/>
      </w:rPr>
    </w:lvl>
    <w:lvl w:ilvl="4" w:tplc="1218731A">
      <w:numFmt w:val="bullet"/>
      <w:lvlText w:val="•"/>
      <w:lvlJc w:val="left"/>
      <w:pPr>
        <w:ind w:left="3069" w:hanging="284"/>
      </w:pPr>
      <w:rPr>
        <w:rFonts w:hint="default"/>
        <w:lang w:val="en-US" w:eastAsia="en-US" w:bidi="ar-SA"/>
      </w:rPr>
    </w:lvl>
    <w:lvl w:ilvl="5" w:tplc="42D69432">
      <w:numFmt w:val="bullet"/>
      <w:lvlText w:val="•"/>
      <w:lvlJc w:val="left"/>
      <w:pPr>
        <w:ind w:left="3717" w:hanging="284"/>
      </w:pPr>
      <w:rPr>
        <w:rFonts w:hint="default"/>
        <w:lang w:val="en-US" w:eastAsia="en-US" w:bidi="ar-SA"/>
      </w:rPr>
    </w:lvl>
    <w:lvl w:ilvl="6" w:tplc="BADAC1CC">
      <w:numFmt w:val="bullet"/>
      <w:lvlText w:val="•"/>
      <w:lvlJc w:val="left"/>
      <w:pPr>
        <w:ind w:left="4364" w:hanging="284"/>
      </w:pPr>
      <w:rPr>
        <w:rFonts w:hint="default"/>
        <w:lang w:val="en-US" w:eastAsia="en-US" w:bidi="ar-SA"/>
      </w:rPr>
    </w:lvl>
    <w:lvl w:ilvl="7" w:tplc="2D3CB85E">
      <w:numFmt w:val="bullet"/>
      <w:lvlText w:val="•"/>
      <w:lvlJc w:val="left"/>
      <w:pPr>
        <w:ind w:left="5011" w:hanging="284"/>
      </w:pPr>
      <w:rPr>
        <w:rFonts w:hint="default"/>
        <w:lang w:val="en-US" w:eastAsia="en-US" w:bidi="ar-SA"/>
      </w:rPr>
    </w:lvl>
    <w:lvl w:ilvl="8" w:tplc="7F16057C">
      <w:numFmt w:val="bullet"/>
      <w:lvlText w:val="•"/>
      <w:lvlJc w:val="left"/>
      <w:pPr>
        <w:ind w:left="5659" w:hanging="284"/>
      </w:pPr>
      <w:rPr>
        <w:rFonts w:hint="default"/>
        <w:lang w:val="en-US" w:eastAsia="en-US" w:bidi="ar-SA"/>
      </w:rPr>
    </w:lvl>
  </w:abstractNum>
  <w:abstractNum w:abstractNumId="8" w15:restartNumberingAfterBreak="0">
    <w:nsid w:val="4AD643D9"/>
    <w:multiLevelType w:val="hybridMultilevel"/>
    <w:tmpl w:val="59E2B306"/>
    <w:lvl w:ilvl="0" w:tplc="5EF6A04E">
      <w:numFmt w:val="bullet"/>
      <w:lvlText w:val=""/>
      <w:lvlJc w:val="left"/>
      <w:pPr>
        <w:ind w:left="468" w:hanging="361"/>
      </w:pPr>
      <w:rPr>
        <w:rFonts w:ascii="Symbol" w:eastAsia="Symbol" w:hAnsi="Symbol" w:cs="Symbol" w:hint="default"/>
        <w:w w:val="100"/>
        <w:sz w:val="22"/>
        <w:szCs w:val="22"/>
        <w:lang w:val="en-US" w:eastAsia="en-US" w:bidi="ar-SA"/>
      </w:rPr>
    </w:lvl>
    <w:lvl w:ilvl="1" w:tplc="56B2830A">
      <w:numFmt w:val="bullet"/>
      <w:lvlText w:val="•"/>
      <w:lvlJc w:val="left"/>
      <w:pPr>
        <w:ind w:left="1109" w:hanging="361"/>
      </w:pPr>
      <w:rPr>
        <w:rFonts w:hint="default"/>
        <w:lang w:val="en-US" w:eastAsia="en-US" w:bidi="ar-SA"/>
      </w:rPr>
    </w:lvl>
    <w:lvl w:ilvl="2" w:tplc="7CDA25B4">
      <w:numFmt w:val="bullet"/>
      <w:lvlText w:val="•"/>
      <w:lvlJc w:val="left"/>
      <w:pPr>
        <w:ind w:left="1758" w:hanging="361"/>
      </w:pPr>
      <w:rPr>
        <w:rFonts w:hint="default"/>
        <w:lang w:val="en-US" w:eastAsia="en-US" w:bidi="ar-SA"/>
      </w:rPr>
    </w:lvl>
    <w:lvl w:ilvl="3" w:tplc="F2181FB2">
      <w:numFmt w:val="bullet"/>
      <w:lvlText w:val="•"/>
      <w:lvlJc w:val="left"/>
      <w:pPr>
        <w:ind w:left="2408" w:hanging="361"/>
      </w:pPr>
      <w:rPr>
        <w:rFonts w:hint="default"/>
        <w:lang w:val="en-US" w:eastAsia="en-US" w:bidi="ar-SA"/>
      </w:rPr>
    </w:lvl>
    <w:lvl w:ilvl="4" w:tplc="317820B8">
      <w:numFmt w:val="bullet"/>
      <w:lvlText w:val="•"/>
      <w:lvlJc w:val="left"/>
      <w:pPr>
        <w:ind w:left="3057" w:hanging="361"/>
      </w:pPr>
      <w:rPr>
        <w:rFonts w:hint="default"/>
        <w:lang w:val="en-US" w:eastAsia="en-US" w:bidi="ar-SA"/>
      </w:rPr>
    </w:lvl>
    <w:lvl w:ilvl="5" w:tplc="A6CEE07C">
      <w:numFmt w:val="bullet"/>
      <w:lvlText w:val="•"/>
      <w:lvlJc w:val="left"/>
      <w:pPr>
        <w:ind w:left="3707" w:hanging="361"/>
      </w:pPr>
      <w:rPr>
        <w:rFonts w:hint="default"/>
        <w:lang w:val="en-US" w:eastAsia="en-US" w:bidi="ar-SA"/>
      </w:rPr>
    </w:lvl>
    <w:lvl w:ilvl="6" w:tplc="A67A16BE">
      <w:numFmt w:val="bullet"/>
      <w:lvlText w:val="•"/>
      <w:lvlJc w:val="left"/>
      <w:pPr>
        <w:ind w:left="4356" w:hanging="361"/>
      </w:pPr>
      <w:rPr>
        <w:rFonts w:hint="default"/>
        <w:lang w:val="en-US" w:eastAsia="en-US" w:bidi="ar-SA"/>
      </w:rPr>
    </w:lvl>
    <w:lvl w:ilvl="7" w:tplc="CA36016E">
      <w:numFmt w:val="bullet"/>
      <w:lvlText w:val="•"/>
      <w:lvlJc w:val="left"/>
      <w:pPr>
        <w:ind w:left="5005" w:hanging="361"/>
      </w:pPr>
      <w:rPr>
        <w:rFonts w:hint="default"/>
        <w:lang w:val="en-US" w:eastAsia="en-US" w:bidi="ar-SA"/>
      </w:rPr>
    </w:lvl>
    <w:lvl w:ilvl="8" w:tplc="108898F8">
      <w:numFmt w:val="bullet"/>
      <w:lvlText w:val="•"/>
      <w:lvlJc w:val="left"/>
      <w:pPr>
        <w:ind w:left="5655" w:hanging="361"/>
      </w:pPr>
      <w:rPr>
        <w:rFonts w:hint="default"/>
        <w:lang w:val="en-US" w:eastAsia="en-US" w:bidi="ar-SA"/>
      </w:rPr>
    </w:lvl>
  </w:abstractNum>
  <w:abstractNum w:abstractNumId="9" w15:restartNumberingAfterBreak="0">
    <w:nsid w:val="4AFE3D05"/>
    <w:multiLevelType w:val="hybridMultilevel"/>
    <w:tmpl w:val="5DCAA63A"/>
    <w:lvl w:ilvl="0" w:tplc="9146C922">
      <w:numFmt w:val="bullet"/>
      <w:lvlText w:val="-"/>
      <w:lvlJc w:val="left"/>
      <w:pPr>
        <w:ind w:left="485" w:hanging="284"/>
      </w:pPr>
      <w:rPr>
        <w:rFonts w:ascii="Calibri" w:eastAsia="Calibri" w:hAnsi="Calibri" w:cs="Calibri" w:hint="default"/>
        <w:w w:val="100"/>
        <w:sz w:val="22"/>
        <w:szCs w:val="22"/>
        <w:lang w:val="en-US" w:eastAsia="en-US" w:bidi="ar-SA"/>
      </w:rPr>
    </w:lvl>
    <w:lvl w:ilvl="1" w:tplc="96A6F44A">
      <w:numFmt w:val="bullet"/>
      <w:lvlText w:val="•"/>
      <w:lvlJc w:val="left"/>
      <w:pPr>
        <w:ind w:left="1127" w:hanging="284"/>
      </w:pPr>
      <w:rPr>
        <w:rFonts w:hint="default"/>
        <w:lang w:val="en-US" w:eastAsia="en-US" w:bidi="ar-SA"/>
      </w:rPr>
    </w:lvl>
    <w:lvl w:ilvl="2" w:tplc="54580F72">
      <w:numFmt w:val="bullet"/>
      <w:lvlText w:val="•"/>
      <w:lvlJc w:val="left"/>
      <w:pPr>
        <w:ind w:left="1774" w:hanging="284"/>
      </w:pPr>
      <w:rPr>
        <w:rFonts w:hint="default"/>
        <w:lang w:val="en-US" w:eastAsia="en-US" w:bidi="ar-SA"/>
      </w:rPr>
    </w:lvl>
    <w:lvl w:ilvl="3" w:tplc="E02816A0">
      <w:numFmt w:val="bullet"/>
      <w:lvlText w:val="•"/>
      <w:lvlJc w:val="left"/>
      <w:pPr>
        <w:ind w:left="2422" w:hanging="284"/>
      </w:pPr>
      <w:rPr>
        <w:rFonts w:hint="default"/>
        <w:lang w:val="en-US" w:eastAsia="en-US" w:bidi="ar-SA"/>
      </w:rPr>
    </w:lvl>
    <w:lvl w:ilvl="4" w:tplc="3BDCFAA2">
      <w:numFmt w:val="bullet"/>
      <w:lvlText w:val="•"/>
      <w:lvlJc w:val="left"/>
      <w:pPr>
        <w:ind w:left="3069" w:hanging="284"/>
      </w:pPr>
      <w:rPr>
        <w:rFonts w:hint="default"/>
        <w:lang w:val="en-US" w:eastAsia="en-US" w:bidi="ar-SA"/>
      </w:rPr>
    </w:lvl>
    <w:lvl w:ilvl="5" w:tplc="E056E040">
      <w:numFmt w:val="bullet"/>
      <w:lvlText w:val="•"/>
      <w:lvlJc w:val="left"/>
      <w:pPr>
        <w:ind w:left="3717" w:hanging="284"/>
      </w:pPr>
      <w:rPr>
        <w:rFonts w:hint="default"/>
        <w:lang w:val="en-US" w:eastAsia="en-US" w:bidi="ar-SA"/>
      </w:rPr>
    </w:lvl>
    <w:lvl w:ilvl="6" w:tplc="8D58F6C8">
      <w:numFmt w:val="bullet"/>
      <w:lvlText w:val="•"/>
      <w:lvlJc w:val="left"/>
      <w:pPr>
        <w:ind w:left="4364" w:hanging="284"/>
      </w:pPr>
      <w:rPr>
        <w:rFonts w:hint="default"/>
        <w:lang w:val="en-US" w:eastAsia="en-US" w:bidi="ar-SA"/>
      </w:rPr>
    </w:lvl>
    <w:lvl w:ilvl="7" w:tplc="F336E5EE">
      <w:numFmt w:val="bullet"/>
      <w:lvlText w:val="•"/>
      <w:lvlJc w:val="left"/>
      <w:pPr>
        <w:ind w:left="5011" w:hanging="284"/>
      </w:pPr>
      <w:rPr>
        <w:rFonts w:hint="default"/>
        <w:lang w:val="en-US" w:eastAsia="en-US" w:bidi="ar-SA"/>
      </w:rPr>
    </w:lvl>
    <w:lvl w:ilvl="8" w:tplc="6E4E1A3C">
      <w:numFmt w:val="bullet"/>
      <w:lvlText w:val="•"/>
      <w:lvlJc w:val="left"/>
      <w:pPr>
        <w:ind w:left="5659" w:hanging="284"/>
      </w:pPr>
      <w:rPr>
        <w:rFonts w:hint="default"/>
        <w:lang w:val="en-US" w:eastAsia="en-US" w:bidi="ar-SA"/>
      </w:rPr>
    </w:lvl>
  </w:abstractNum>
  <w:abstractNum w:abstractNumId="10" w15:restartNumberingAfterBreak="0">
    <w:nsid w:val="4D1B42BD"/>
    <w:multiLevelType w:val="multilevel"/>
    <w:tmpl w:val="2D440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241E7"/>
    <w:multiLevelType w:val="hybridMultilevel"/>
    <w:tmpl w:val="1F94D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20285"/>
    <w:multiLevelType w:val="multilevel"/>
    <w:tmpl w:val="D196E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3345B6"/>
    <w:multiLevelType w:val="hybridMultilevel"/>
    <w:tmpl w:val="416E987C"/>
    <w:lvl w:ilvl="0" w:tplc="18090001">
      <w:start w:val="1"/>
      <w:numFmt w:val="bullet"/>
      <w:lvlText w:val=""/>
      <w:lvlJc w:val="left"/>
      <w:pPr>
        <w:ind w:left="723" w:hanging="360"/>
      </w:pPr>
      <w:rPr>
        <w:rFonts w:ascii="Symbol" w:hAnsi="Symbol" w:hint="default"/>
      </w:rPr>
    </w:lvl>
    <w:lvl w:ilvl="1" w:tplc="18090003" w:tentative="1">
      <w:start w:val="1"/>
      <w:numFmt w:val="bullet"/>
      <w:lvlText w:val="o"/>
      <w:lvlJc w:val="left"/>
      <w:pPr>
        <w:ind w:left="1443" w:hanging="360"/>
      </w:pPr>
      <w:rPr>
        <w:rFonts w:ascii="Courier New" w:hAnsi="Courier New" w:cs="Courier New" w:hint="default"/>
      </w:rPr>
    </w:lvl>
    <w:lvl w:ilvl="2" w:tplc="18090005" w:tentative="1">
      <w:start w:val="1"/>
      <w:numFmt w:val="bullet"/>
      <w:lvlText w:val=""/>
      <w:lvlJc w:val="left"/>
      <w:pPr>
        <w:ind w:left="2163" w:hanging="360"/>
      </w:pPr>
      <w:rPr>
        <w:rFonts w:ascii="Wingdings" w:hAnsi="Wingdings" w:hint="default"/>
      </w:rPr>
    </w:lvl>
    <w:lvl w:ilvl="3" w:tplc="18090001" w:tentative="1">
      <w:start w:val="1"/>
      <w:numFmt w:val="bullet"/>
      <w:lvlText w:val=""/>
      <w:lvlJc w:val="left"/>
      <w:pPr>
        <w:ind w:left="2883" w:hanging="360"/>
      </w:pPr>
      <w:rPr>
        <w:rFonts w:ascii="Symbol" w:hAnsi="Symbol" w:hint="default"/>
      </w:rPr>
    </w:lvl>
    <w:lvl w:ilvl="4" w:tplc="18090003" w:tentative="1">
      <w:start w:val="1"/>
      <w:numFmt w:val="bullet"/>
      <w:lvlText w:val="o"/>
      <w:lvlJc w:val="left"/>
      <w:pPr>
        <w:ind w:left="3603" w:hanging="360"/>
      </w:pPr>
      <w:rPr>
        <w:rFonts w:ascii="Courier New" w:hAnsi="Courier New" w:cs="Courier New" w:hint="default"/>
      </w:rPr>
    </w:lvl>
    <w:lvl w:ilvl="5" w:tplc="18090005" w:tentative="1">
      <w:start w:val="1"/>
      <w:numFmt w:val="bullet"/>
      <w:lvlText w:val=""/>
      <w:lvlJc w:val="left"/>
      <w:pPr>
        <w:ind w:left="4323" w:hanging="360"/>
      </w:pPr>
      <w:rPr>
        <w:rFonts w:ascii="Wingdings" w:hAnsi="Wingdings" w:hint="default"/>
      </w:rPr>
    </w:lvl>
    <w:lvl w:ilvl="6" w:tplc="18090001" w:tentative="1">
      <w:start w:val="1"/>
      <w:numFmt w:val="bullet"/>
      <w:lvlText w:val=""/>
      <w:lvlJc w:val="left"/>
      <w:pPr>
        <w:ind w:left="5043" w:hanging="360"/>
      </w:pPr>
      <w:rPr>
        <w:rFonts w:ascii="Symbol" w:hAnsi="Symbol" w:hint="default"/>
      </w:rPr>
    </w:lvl>
    <w:lvl w:ilvl="7" w:tplc="18090003" w:tentative="1">
      <w:start w:val="1"/>
      <w:numFmt w:val="bullet"/>
      <w:lvlText w:val="o"/>
      <w:lvlJc w:val="left"/>
      <w:pPr>
        <w:ind w:left="5763" w:hanging="360"/>
      </w:pPr>
      <w:rPr>
        <w:rFonts w:ascii="Courier New" w:hAnsi="Courier New" w:cs="Courier New" w:hint="default"/>
      </w:rPr>
    </w:lvl>
    <w:lvl w:ilvl="8" w:tplc="18090005" w:tentative="1">
      <w:start w:val="1"/>
      <w:numFmt w:val="bullet"/>
      <w:lvlText w:val=""/>
      <w:lvlJc w:val="left"/>
      <w:pPr>
        <w:ind w:left="6483" w:hanging="360"/>
      </w:pPr>
      <w:rPr>
        <w:rFonts w:ascii="Wingdings" w:hAnsi="Wingdings" w:hint="default"/>
      </w:rPr>
    </w:lvl>
  </w:abstractNum>
  <w:abstractNum w:abstractNumId="14" w15:restartNumberingAfterBreak="0">
    <w:nsid w:val="61720E54"/>
    <w:multiLevelType w:val="multilevel"/>
    <w:tmpl w:val="DE5AA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8A6FE0"/>
    <w:multiLevelType w:val="hybridMultilevel"/>
    <w:tmpl w:val="882C63E0"/>
    <w:lvl w:ilvl="0" w:tplc="15CA2366">
      <w:numFmt w:val="bullet"/>
      <w:lvlText w:val="-"/>
      <w:lvlJc w:val="left"/>
      <w:pPr>
        <w:ind w:left="485" w:hanging="284"/>
      </w:pPr>
      <w:rPr>
        <w:rFonts w:ascii="Calibri" w:eastAsia="Calibri" w:hAnsi="Calibri" w:cs="Calibri" w:hint="default"/>
        <w:w w:val="100"/>
        <w:sz w:val="22"/>
        <w:szCs w:val="22"/>
        <w:lang w:val="en-US" w:eastAsia="en-US" w:bidi="ar-SA"/>
      </w:rPr>
    </w:lvl>
    <w:lvl w:ilvl="1" w:tplc="7806F76C">
      <w:numFmt w:val="bullet"/>
      <w:lvlText w:val="•"/>
      <w:lvlJc w:val="left"/>
      <w:pPr>
        <w:ind w:left="1127" w:hanging="284"/>
      </w:pPr>
      <w:rPr>
        <w:rFonts w:hint="default"/>
        <w:lang w:val="en-US" w:eastAsia="en-US" w:bidi="ar-SA"/>
      </w:rPr>
    </w:lvl>
    <w:lvl w:ilvl="2" w:tplc="75907126">
      <w:numFmt w:val="bullet"/>
      <w:lvlText w:val="•"/>
      <w:lvlJc w:val="left"/>
      <w:pPr>
        <w:ind w:left="1774" w:hanging="284"/>
      </w:pPr>
      <w:rPr>
        <w:rFonts w:hint="default"/>
        <w:lang w:val="en-US" w:eastAsia="en-US" w:bidi="ar-SA"/>
      </w:rPr>
    </w:lvl>
    <w:lvl w:ilvl="3" w:tplc="1BC6E546">
      <w:numFmt w:val="bullet"/>
      <w:lvlText w:val="•"/>
      <w:lvlJc w:val="left"/>
      <w:pPr>
        <w:ind w:left="2422" w:hanging="284"/>
      </w:pPr>
      <w:rPr>
        <w:rFonts w:hint="default"/>
        <w:lang w:val="en-US" w:eastAsia="en-US" w:bidi="ar-SA"/>
      </w:rPr>
    </w:lvl>
    <w:lvl w:ilvl="4" w:tplc="69B25EF4">
      <w:numFmt w:val="bullet"/>
      <w:lvlText w:val="•"/>
      <w:lvlJc w:val="left"/>
      <w:pPr>
        <w:ind w:left="3069" w:hanging="284"/>
      </w:pPr>
      <w:rPr>
        <w:rFonts w:hint="default"/>
        <w:lang w:val="en-US" w:eastAsia="en-US" w:bidi="ar-SA"/>
      </w:rPr>
    </w:lvl>
    <w:lvl w:ilvl="5" w:tplc="34923F5C">
      <w:numFmt w:val="bullet"/>
      <w:lvlText w:val="•"/>
      <w:lvlJc w:val="left"/>
      <w:pPr>
        <w:ind w:left="3717" w:hanging="284"/>
      </w:pPr>
      <w:rPr>
        <w:rFonts w:hint="default"/>
        <w:lang w:val="en-US" w:eastAsia="en-US" w:bidi="ar-SA"/>
      </w:rPr>
    </w:lvl>
    <w:lvl w:ilvl="6" w:tplc="27BEF9EC">
      <w:numFmt w:val="bullet"/>
      <w:lvlText w:val="•"/>
      <w:lvlJc w:val="left"/>
      <w:pPr>
        <w:ind w:left="4364" w:hanging="284"/>
      </w:pPr>
      <w:rPr>
        <w:rFonts w:hint="default"/>
        <w:lang w:val="en-US" w:eastAsia="en-US" w:bidi="ar-SA"/>
      </w:rPr>
    </w:lvl>
    <w:lvl w:ilvl="7" w:tplc="9EBC1080">
      <w:numFmt w:val="bullet"/>
      <w:lvlText w:val="•"/>
      <w:lvlJc w:val="left"/>
      <w:pPr>
        <w:ind w:left="5011" w:hanging="284"/>
      </w:pPr>
      <w:rPr>
        <w:rFonts w:hint="default"/>
        <w:lang w:val="en-US" w:eastAsia="en-US" w:bidi="ar-SA"/>
      </w:rPr>
    </w:lvl>
    <w:lvl w:ilvl="8" w:tplc="56B004C6">
      <w:numFmt w:val="bullet"/>
      <w:lvlText w:val="•"/>
      <w:lvlJc w:val="left"/>
      <w:pPr>
        <w:ind w:left="5659" w:hanging="284"/>
      </w:pPr>
      <w:rPr>
        <w:rFonts w:hint="default"/>
        <w:lang w:val="en-US" w:eastAsia="en-US" w:bidi="ar-SA"/>
      </w:rPr>
    </w:lvl>
  </w:abstractNum>
  <w:abstractNum w:abstractNumId="16" w15:restartNumberingAfterBreak="0">
    <w:nsid w:val="67D639A6"/>
    <w:multiLevelType w:val="hybridMultilevel"/>
    <w:tmpl w:val="AC4EA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D35022"/>
    <w:multiLevelType w:val="hybridMultilevel"/>
    <w:tmpl w:val="CAD6F36C"/>
    <w:lvl w:ilvl="0" w:tplc="0B7E5DB6">
      <w:numFmt w:val="bullet"/>
      <w:lvlText w:val=""/>
      <w:lvlJc w:val="left"/>
      <w:pPr>
        <w:ind w:left="468" w:hanging="361"/>
      </w:pPr>
      <w:rPr>
        <w:rFonts w:ascii="Symbol" w:eastAsia="Symbol" w:hAnsi="Symbol" w:cs="Symbol" w:hint="default"/>
        <w:w w:val="100"/>
        <w:sz w:val="22"/>
        <w:szCs w:val="22"/>
        <w:lang w:val="en-US" w:eastAsia="en-US" w:bidi="ar-SA"/>
      </w:rPr>
    </w:lvl>
    <w:lvl w:ilvl="1" w:tplc="63A64CFC">
      <w:numFmt w:val="bullet"/>
      <w:lvlText w:val="-"/>
      <w:lvlJc w:val="left"/>
      <w:pPr>
        <w:ind w:left="845" w:hanging="360"/>
      </w:pPr>
      <w:rPr>
        <w:rFonts w:ascii="Calibri" w:eastAsia="Calibri" w:hAnsi="Calibri" w:cs="Calibri" w:hint="default"/>
        <w:w w:val="100"/>
        <w:sz w:val="22"/>
        <w:szCs w:val="22"/>
        <w:lang w:val="en-US" w:eastAsia="en-US" w:bidi="ar-SA"/>
      </w:rPr>
    </w:lvl>
    <w:lvl w:ilvl="2" w:tplc="C04A46CE">
      <w:numFmt w:val="bullet"/>
      <w:lvlText w:val="•"/>
      <w:lvlJc w:val="left"/>
      <w:pPr>
        <w:ind w:left="1519" w:hanging="360"/>
      </w:pPr>
      <w:rPr>
        <w:rFonts w:hint="default"/>
        <w:lang w:val="en-US" w:eastAsia="en-US" w:bidi="ar-SA"/>
      </w:rPr>
    </w:lvl>
    <w:lvl w:ilvl="3" w:tplc="B8FE8286">
      <w:numFmt w:val="bullet"/>
      <w:lvlText w:val="•"/>
      <w:lvlJc w:val="left"/>
      <w:pPr>
        <w:ind w:left="2198" w:hanging="360"/>
      </w:pPr>
      <w:rPr>
        <w:rFonts w:hint="default"/>
        <w:lang w:val="en-US" w:eastAsia="en-US" w:bidi="ar-SA"/>
      </w:rPr>
    </w:lvl>
    <w:lvl w:ilvl="4" w:tplc="C3F07050">
      <w:numFmt w:val="bullet"/>
      <w:lvlText w:val="•"/>
      <w:lvlJc w:val="left"/>
      <w:pPr>
        <w:ind w:left="2878" w:hanging="360"/>
      </w:pPr>
      <w:rPr>
        <w:rFonts w:hint="default"/>
        <w:lang w:val="en-US" w:eastAsia="en-US" w:bidi="ar-SA"/>
      </w:rPr>
    </w:lvl>
    <w:lvl w:ilvl="5" w:tplc="12164354">
      <w:numFmt w:val="bullet"/>
      <w:lvlText w:val="•"/>
      <w:lvlJc w:val="left"/>
      <w:pPr>
        <w:ind w:left="3557" w:hanging="360"/>
      </w:pPr>
      <w:rPr>
        <w:rFonts w:hint="default"/>
        <w:lang w:val="en-US" w:eastAsia="en-US" w:bidi="ar-SA"/>
      </w:rPr>
    </w:lvl>
    <w:lvl w:ilvl="6" w:tplc="7D2C8882">
      <w:numFmt w:val="bullet"/>
      <w:lvlText w:val="•"/>
      <w:lvlJc w:val="left"/>
      <w:pPr>
        <w:ind w:left="4236" w:hanging="360"/>
      </w:pPr>
      <w:rPr>
        <w:rFonts w:hint="default"/>
        <w:lang w:val="en-US" w:eastAsia="en-US" w:bidi="ar-SA"/>
      </w:rPr>
    </w:lvl>
    <w:lvl w:ilvl="7" w:tplc="45342936">
      <w:numFmt w:val="bullet"/>
      <w:lvlText w:val="•"/>
      <w:lvlJc w:val="left"/>
      <w:pPr>
        <w:ind w:left="4916" w:hanging="360"/>
      </w:pPr>
      <w:rPr>
        <w:rFonts w:hint="default"/>
        <w:lang w:val="en-US" w:eastAsia="en-US" w:bidi="ar-SA"/>
      </w:rPr>
    </w:lvl>
    <w:lvl w:ilvl="8" w:tplc="5B0E9B5A">
      <w:numFmt w:val="bullet"/>
      <w:lvlText w:val="•"/>
      <w:lvlJc w:val="left"/>
      <w:pPr>
        <w:ind w:left="5595" w:hanging="360"/>
      </w:pPr>
      <w:rPr>
        <w:rFonts w:hint="default"/>
        <w:lang w:val="en-US" w:eastAsia="en-US" w:bidi="ar-SA"/>
      </w:rPr>
    </w:lvl>
  </w:abstractNum>
  <w:abstractNum w:abstractNumId="18" w15:restartNumberingAfterBreak="0">
    <w:nsid w:val="6BDE7582"/>
    <w:multiLevelType w:val="hybridMultilevel"/>
    <w:tmpl w:val="FCD04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85681"/>
    <w:multiLevelType w:val="hybridMultilevel"/>
    <w:tmpl w:val="C7B2986C"/>
    <w:lvl w:ilvl="0" w:tplc="E216E160">
      <w:numFmt w:val="bullet"/>
      <w:lvlText w:val=""/>
      <w:lvlJc w:val="left"/>
      <w:pPr>
        <w:ind w:left="468" w:hanging="361"/>
      </w:pPr>
      <w:rPr>
        <w:rFonts w:ascii="Symbol" w:eastAsia="Symbol" w:hAnsi="Symbol" w:cs="Symbol" w:hint="default"/>
        <w:w w:val="100"/>
        <w:sz w:val="22"/>
        <w:szCs w:val="22"/>
        <w:lang w:val="en-US" w:eastAsia="en-US" w:bidi="ar-SA"/>
      </w:rPr>
    </w:lvl>
    <w:lvl w:ilvl="1" w:tplc="CC88357E">
      <w:numFmt w:val="bullet"/>
      <w:lvlText w:val="•"/>
      <w:lvlJc w:val="left"/>
      <w:pPr>
        <w:ind w:left="1109" w:hanging="361"/>
      </w:pPr>
      <w:rPr>
        <w:rFonts w:hint="default"/>
        <w:lang w:val="en-US" w:eastAsia="en-US" w:bidi="ar-SA"/>
      </w:rPr>
    </w:lvl>
    <w:lvl w:ilvl="2" w:tplc="8F5AE16C">
      <w:numFmt w:val="bullet"/>
      <w:lvlText w:val="•"/>
      <w:lvlJc w:val="left"/>
      <w:pPr>
        <w:ind w:left="1758" w:hanging="361"/>
      </w:pPr>
      <w:rPr>
        <w:rFonts w:hint="default"/>
        <w:lang w:val="en-US" w:eastAsia="en-US" w:bidi="ar-SA"/>
      </w:rPr>
    </w:lvl>
    <w:lvl w:ilvl="3" w:tplc="71706E88">
      <w:numFmt w:val="bullet"/>
      <w:lvlText w:val="•"/>
      <w:lvlJc w:val="left"/>
      <w:pPr>
        <w:ind w:left="2408" w:hanging="361"/>
      </w:pPr>
      <w:rPr>
        <w:rFonts w:hint="default"/>
        <w:lang w:val="en-US" w:eastAsia="en-US" w:bidi="ar-SA"/>
      </w:rPr>
    </w:lvl>
    <w:lvl w:ilvl="4" w:tplc="B8C6F63A">
      <w:numFmt w:val="bullet"/>
      <w:lvlText w:val="•"/>
      <w:lvlJc w:val="left"/>
      <w:pPr>
        <w:ind w:left="3057" w:hanging="361"/>
      </w:pPr>
      <w:rPr>
        <w:rFonts w:hint="default"/>
        <w:lang w:val="en-US" w:eastAsia="en-US" w:bidi="ar-SA"/>
      </w:rPr>
    </w:lvl>
    <w:lvl w:ilvl="5" w:tplc="AA8EA282">
      <w:numFmt w:val="bullet"/>
      <w:lvlText w:val="•"/>
      <w:lvlJc w:val="left"/>
      <w:pPr>
        <w:ind w:left="3707" w:hanging="361"/>
      </w:pPr>
      <w:rPr>
        <w:rFonts w:hint="default"/>
        <w:lang w:val="en-US" w:eastAsia="en-US" w:bidi="ar-SA"/>
      </w:rPr>
    </w:lvl>
    <w:lvl w:ilvl="6" w:tplc="00366A02">
      <w:numFmt w:val="bullet"/>
      <w:lvlText w:val="•"/>
      <w:lvlJc w:val="left"/>
      <w:pPr>
        <w:ind w:left="4356" w:hanging="361"/>
      </w:pPr>
      <w:rPr>
        <w:rFonts w:hint="default"/>
        <w:lang w:val="en-US" w:eastAsia="en-US" w:bidi="ar-SA"/>
      </w:rPr>
    </w:lvl>
    <w:lvl w:ilvl="7" w:tplc="2A148664">
      <w:numFmt w:val="bullet"/>
      <w:lvlText w:val="•"/>
      <w:lvlJc w:val="left"/>
      <w:pPr>
        <w:ind w:left="5005" w:hanging="361"/>
      </w:pPr>
      <w:rPr>
        <w:rFonts w:hint="default"/>
        <w:lang w:val="en-US" w:eastAsia="en-US" w:bidi="ar-SA"/>
      </w:rPr>
    </w:lvl>
    <w:lvl w:ilvl="8" w:tplc="1318D348">
      <w:numFmt w:val="bullet"/>
      <w:lvlText w:val="•"/>
      <w:lvlJc w:val="left"/>
      <w:pPr>
        <w:ind w:left="5655" w:hanging="361"/>
      </w:pPr>
      <w:rPr>
        <w:rFonts w:hint="default"/>
        <w:lang w:val="en-US" w:eastAsia="en-US" w:bidi="ar-SA"/>
      </w:rPr>
    </w:lvl>
  </w:abstractNum>
  <w:abstractNum w:abstractNumId="20" w15:restartNumberingAfterBreak="0">
    <w:nsid w:val="79B7398E"/>
    <w:multiLevelType w:val="hybridMultilevel"/>
    <w:tmpl w:val="6B4CA9B6"/>
    <w:lvl w:ilvl="0" w:tplc="160AE24A">
      <w:numFmt w:val="bullet"/>
      <w:lvlText w:val="-"/>
      <w:lvlJc w:val="left"/>
      <w:pPr>
        <w:ind w:left="465" w:hanging="359"/>
      </w:pPr>
      <w:rPr>
        <w:rFonts w:ascii="Calibri" w:eastAsia="Calibri" w:hAnsi="Calibri" w:cs="Calibri" w:hint="default"/>
        <w:w w:val="100"/>
        <w:sz w:val="22"/>
        <w:szCs w:val="22"/>
        <w:lang w:val="en-US" w:eastAsia="en-US" w:bidi="ar-SA"/>
      </w:rPr>
    </w:lvl>
    <w:lvl w:ilvl="1" w:tplc="F5C2C204">
      <w:numFmt w:val="bullet"/>
      <w:lvlText w:val="o"/>
      <w:lvlJc w:val="left"/>
      <w:pPr>
        <w:ind w:left="821" w:hanging="356"/>
      </w:pPr>
      <w:rPr>
        <w:rFonts w:ascii="Courier New" w:eastAsia="Courier New" w:hAnsi="Courier New" w:cs="Courier New" w:hint="default"/>
        <w:w w:val="100"/>
        <w:sz w:val="22"/>
        <w:szCs w:val="22"/>
        <w:lang w:val="en-US" w:eastAsia="en-US" w:bidi="ar-SA"/>
      </w:rPr>
    </w:lvl>
    <w:lvl w:ilvl="2" w:tplc="89F29CAA">
      <w:numFmt w:val="bullet"/>
      <w:lvlText w:val="•"/>
      <w:lvlJc w:val="left"/>
      <w:pPr>
        <w:ind w:left="1501" w:hanging="356"/>
      </w:pPr>
      <w:rPr>
        <w:rFonts w:hint="default"/>
        <w:lang w:val="en-US" w:eastAsia="en-US" w:bidi="ar-SA"/>
      </w:rPr>
    </w:lvl>
    <w:lvl w:ilvl="3" w:tplc="C3A298CE">
      <w:numFmt w:val="bullet"/>
      <w:lvlText w:val="•"/>
      <w:lvlJc w:val="left"/>
      <w:pPr>
        <w:ind w:left="2183" w:hanging="356"/>
      </w:pPr>
      <w:rPr>
        <w:rFonts w:hint="default"/>
        <w:lang w:val="en-US" w:eastAsia="en-US" w:bidi="ar-SA"/>
      </w:rPr>
    </w:lvl>
    <w:lvl w:ilvl="4" w:tplc="9360362E">
      <w:numFmt w:val="bullet"/>
      <w:lvlText w:val="•"/>
      <w:lvlJc w:val="left"/>
      <w:pPr>
        <w:ind w:left="2864" w:hanging="356"/>
      </w:pPr>
      <w:rPr>
        <w:rFonts w:hint="default"/>
        <w:lang w:val="en-US" w:eastAsia="en-US" w:bidi="ar-SA"/>
      </w:rPr>
    </w:lvl>
    <w:lvl w:ilvl="5" w:tplc="F7B0E054">
      <w:numFmt w:val="bullet"/>
      <w:lvlText w:val="•"/>
      <w:lvlJc w:val="left"/>
      <w:pPr>
        <w:ind w:left="3546" w:hanging="356"/>
      </w:pPr>
      <w:rPr>
        <w:rFonts w:hint="default"/>
        <w:lang w:val="en-US" w:eastAsia="en-US" w:bidi="ar-SA"/>
      </w:rPr>
    </w:lvl>
    <w:lvl w:ilvl="6" w:tplc="9294CB00">
      <w:numFmt w:val="bullet"/>
      <w:lvlText w:val="•"/>
      <w:lvlJc w:val="left"/>
      <w:pPr>
        <w:ind w:left="4227" w:hanging="356"/>
      </w:pPr>
      <w:rPr>
        <w:rFonts w:hint="default"/>
        <w:lang w:val="en-US" w:eastAsia="en-US" w:bidi="ar-SA"/>
      </w:rPr>
    </w:lvl>
    <w:lvl w:ilvl="7" w:tplc="45E4CE62">
      <w:numFmt w:val="bullet"/>
      <w:lvlText w:val="•"/>
      <w:lvlJc w:val="left"/>
      <w:pPr>
        <w:ind w:left="4909" w:hanging="356"/>
      </w:pPr>
      <w:rPr>
        <w:rFonts w:hint="default"/>
        <w:lang w:val="en-US" w:eastAsia="en-US" w:bidi="ar-SA"/>
      </w:rPr>
    </w:lvl>
    <w:lvl w:ilvl="8" w:tplc="398C3A9A">
      <w:numFmt w:val="bullet"/>
      <w:lvlText w:val="•"/>
      <w:lvlJc w:val="left"/>
      <w:pPr>
        <w:ind w:left="5590" w:hanging="356"/>
      </w:pPr>
      <w:rPr>
        <w:rFonts w:hint="default"/>
        <w:lang w:val="en-US" w:eastAsia="en-US" w:bidi="ar-SA"/>
      </w:rPr>
    </w:lvl>
  </w:abstractNum>
  <w:num w:numId="1">
    <w:abstractNumId w:val="16"/>
  </w:num>
  <w:num w:numId="2">
    <w:abstractNumId w:val="4"/>
  </w:num>
  <w:num w:numId="3">
    <w:abstractNumId w:val="1"/>
  </w:num>
  <w:num w:numId="4">
    <w:abstractNumId w:val="11"/>
  </w:num>
  <w:num w:numId="5">
    <w:abstractNumId w:val="5"/>
  </w:num>
  <w:num w:numId="6">
    <w:abstractNumId w:val="18"/>
  </w:num>
  <w:num w:numId="7">
    <w:abstractNumId w:val="6"/>
  </w:num>
  <w:num w:numId="8">
    <w:abstractNumId w:val="0"/>
  </w:num>
  <w:num w:numId="9">
    <w:abstractNumId w:val="12"/>
  </w:num>
  <w:num w:numId="10">
    <w:abstractNumId w:val="14"/>
  </w:num>
  <w:num w:numId="11">
    <w:abstractNumId w:val="10"/>
  </w:num>
  <w:num w:numId="12">
    <w:abstractNumId w:val="13"/>
  </w:num>
  <w:num w:numId="13">
    <w:abstractNumId w:val="3"/>
  </w:num>
  <w:num w:numId="14">
    <w:abstractNumId w:val="9"/>
  </w:num>
  <w:num w:numId="15">
    <w:abstractNumId w:val="15"/>
  </w:num>
  <w:num w:numId="16">
    <w:abstractNumId w:val="7"/>
  </w:num>
  <w:num w:numId="17">
    <w:abstractNumId w:val="17"/>
  </w:num>
  <w:num w:numId="18">
    <w:abstractNumId w:val="2"/>
  </w:num>
  <w:num w:numId="19">
    <w:abstractNumId w:val="20"/>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6311E6"/>
    <w:rsid w:val="00024BFB"/>
    <w:rsid w:val="00075A36"/>
    <w:rsid w:val="001E6DE3"/>
    <w:rsid w:val="002012FE"/>
    <w:rsid w:val="00241501"/>
    <w:rsid w:val="002A2C8B"/>
    <w:rsid w:val="00336399"/>
    <w:rsid w:val="00387B96"/>
    <w:rsid w:val="003A17C0"/>
    <w:rsid w:val="003A3000"/>
    <w:rsid w:val="003B4FD5"/>
    <w:rsid w:val="00497CDC"/>
    <w:rsid w:val="004A0029"/>
    <w:rsid w:val="005204D0"/>
    <w:rsid w:val="0055065C"/>
    <w:rsid w:val="0059549F"/>
    <w:rsid w:val="00612C8D"/>
    <w:rsid w:val="006311E6"/>
    <w:rsid w:val="00674F14"/>
    <w:rsid w:val="007F6ADD"/>
    <w:rsid w:val="0089246C"/>
    <w:rsid w:val="00A83BEB"/>
    <w:rsid w:val="00AA3F06"/>
    <w:rsid w:val="00AB59F8"/>
    <w:rsid w:val="00B17F25"/>
    <w:rsid w:val="00BD2525"/>
    <w:rsid w:val="00CD32CA"/>
    <w:rsid w:val="00CD45B7"/>
    <w:rsid w:val="00CE11DA"/>
    <w:rsid w:val="00D8425C"/>
    <w:rsid w:val="00DD5B2E"/>
    <w:rsid w:val="00E35139"/>
    <w:rsid w:val="00E366DC"/>
    <w:rsid w:val="00EA3D8D"/>
    <w:rsid w:val="00EC735A"/>
    <w:rsid w:val="00F14218"/>
    <w:rsid w:val="36D0CBE3"/>
    <w:rsid w:val="5B3064B2"/>
    <w:rsid w:val="60CF9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947A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E6"/>
    <w:pPr>
      <w:ind w:left="720"/>
      <w:contextualSpacing/>
    </w:pPr>
  </w:style>
  <w:style w:type="table" w:styleId="TableGrid">
    <w:name w:val="Table Grid"/>
    <w:basedOn w:val="TableNormal"/>
    <w:uiPriority w:val="39"/>
    <w:rsid w:val="0052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C8D"/>
  </w:style>
  <w:style w:type="paragraph" w:styleId="Footer">
    <w:name w:val="footer"/>
    <w:basedOn w:val="Normal"/>
    <w:link w:val="FooterChar"/>
    <w:uiPriority w:val="99"/>
    <w:unhideWhenUsed/>
    <w:rsid w:val="00612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C8D"/>
  </w:style>
  <w:style w:type="paragraph" w:styleId="BalloonText">
    <w:name w:val="Balloon Text"/>
    <w:basedOn w:val="Normal"/>
    <w:link w:val="BalloonTextChar"/>
    <w:uiPriority w:val="99"/>
    <w:semiHidden/>
    <w:unhideWhenUsed/>
    <w:rsid w:val="00F142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218"/>
    <w:rPr>
      <w:rFonts w:ascii="Segoe UI" w:hAnsi="Segoe UI" w:cs="Segoe UI"/>
      <w:sz w:val="18"/>
      <w:szCs w:val="18"/>
    </w:rPr>
  </w:style>
  <w:style w:type="paragraph" w:customStyle="1" w:styleId="paragraph">
    <w:name w:val="paragraph"/>
    <w:basedOn w:val="Normal"/>
    <w:rsid w:val="002012FE"/>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2012FE"/>
  </w:style>
  <w:style w:type="character" w:customStyle="1" w:styleId="eop">
    <w:name w:val="eop"/>
    <w:basedOn w:val="DefaultParagraphFont"/>
    <w:rsid w:val="002012FE"/>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noteText">
    <w:name w:val="footnote text"/>
    <w:basedOn w:val="Normal"/>
    <w:link w:val="FootnoteTextChar"/>
    <w:uiPriority w:val="99"/>
    <w:semiHidden/>
    <w:unhideWhenUsed/>
    <w:rsid w:val="00674F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F14"/>
    <w:rPr>
      <w:sz w:val="20"/>
      <w:szCs w:val="20"/>
    </w:rPr>
  </w:style>
  <w:style w:type="character" w:styleId="FootnoteReference">
    <w:name w:val="footnote reference"/>
    <w:basedOn w:val="DefaultParagraphFont"/>
    <w:uiPriority w:val="99"/>
    <w:semiHidden/>
    <w:unhideWhenUsed/>
    <w:rsid w:val="00674F14"/>
    <w:rPr>
      <w:vertAlign w:val="superscript"/>
    </w:rPr>
  </w:style>
  <w:style w:type="table" w:customStyle="1" w:styleId="TableNormal1">
    <w:name w:val="Table Normal1"/>
    <w:uiPriority w:val="2"/>
    <w:semiHidden/>
    <w:unhideWhenUsed/>
    <w:qFormat/>
    <w:rsid w:val="00674F1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74F14"/>
    <w:pPr>
      <w:widowControl w:val="0"/>
      <w:autoSpaceDE w:val="0"/>
      <w:autoSpaceDN w:val="0"/>
      <w:spacing w:before="1" w:after="0" w:line="240" w:lineRule="auto"/>
    </w:pPr>
    <w:rPr>
      <w:rFonts w:ascii="Calibri" w:eastAsia="Calibri" w:hAnsi="Calibri" w:cs="Calibri"/>
      <w:i/>
      <w:sz w:val="20"/>
      <w:szCs w:val="20"/>
      <w:lang w:val="en-US"/>
    </w:rPr>
  </w:style>
  <w:style w:type="character" w:customStyle="1" w:styleId="BodyTextChar">
    <w:name w:val="Body Text Char"/>
    <w:basedOn w:val="DefaultParagraphFont"/>
    <w:link w:val="BodyText"/>
    <w:uiPriority w:val="1"/>
    <w:rsid w:val="00674F14"/>
    <w:rPr>
      <w:rFonts w:ascii="Calibri" w:eastAsia="Calibri" w:hAnsi="Calibri" w:cs="Calibri"/>
      <w:i/>
      <w:sz w:val="20"/>
      <w:szCs w:val="20"/>
      <w:lang w:val="en-US"/>
    </w:rPr>
  </w:style>
  <w:style w:type="paragraph" w:customStyle="1" w:styleId="TableParagraph">
    <w:name w:val="Table Paragraph"/>
    <w:basedOn w:val="Normal"/>
    <w:uiPriority w:val="1"/>
    <w:qFormat/>
    <w:rsid w:val="00674F14"/>
    <w:pPr>
      <w:widowControl w:val="0"/>
      <w:autoSpaceDE w:val="0"/>
      <w:autoSpaceDN w:val="0"/>
      <w:spacing w:after="0" w:line="240" w:lineRule="auto"/>
      <w:ind w:left="485"/>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23341">
      <w:bodyDiv w:val="1"/>
      <w:marLeft w:val="0"/>
      <w:marRight w:val="0"/>
      <w:marTop w:val="0"/>
      <w:marBottom w:val="0"/>
      <w:divBdr>
        <w:top w:val="none" w:sz="0" w:space="0" w:color="auto"/>
        <w:left w:val="none" w:sz="0" w:space="0" w:color="auto"/>
        <w:bottom w:val="none" w:sz="0" w:space="0" w:color="auto"/>
        <w:right w:val="none" w:sz="0" w:space="0" w:color="auto"/>
      </w:divBdr>
    </w:div>
    <w:div w:id="9426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uropa.eu/en/publication-detail/-/publication/cdbe5c78-353b-11ec-bd8e-01aa75ed71a1" TargetMode="External"/><Relationship Id="rId18" Type="http://schemas.openxmlformats.org/officeDocument/2006/relationships/hyperlink" Target="https://www.esfri.eu/sites/default/files/ESFRI_WG_Monitoring_Report.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roadmap2021.esfri.eu/media/1295/esfri-roadmap-2021.pdf" TargetMode="External"/><Relationship Id="rId17" Type="http://schemas.openxmlformats.org/officeDocument/2006/relationships/hyperlink" Target="https://op.europa.eu/en/publication-detail/-/publication/310d694d-3f53-11eb-b27b-01aa75ed71a1" TargetMode="External"/><Relationship Id="rId2" Type="http://schemas.openxmlformats.org/officeDocument/2006/relationships/customXml" Target="../customXml/item2.xml"/><Relationship Id="rId16" Type="http://schemas.openxmlformats.org/officeDocument/2006/relationships/hyperlink" Target="https://op.europa.eu/en/publication-detail/-/publication/310d694d-3f53-11eb-b27b-01aa75ed71a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fri.eu/" TargetMode="External"/><Relationship Id="rId5" Type="http://schemas.openxmlformats.org/officeDocument/2006/relationships/numbering" Target="numbering.xml"/><Relationship Id="rId15" Type="http://schemas.openxmlformats.org/officeDocument/2006/relationships/hyperlink" Target="https://www.esfri.eu/sites/default/files/White_paper_ESFRI-final.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fri.eu/sites/default/files/White_paper_ESFRI-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D24022E66C1540A3B1E037465E0CE3" ma:contentTypeVersion="6" ma:contentTypeDescription="Create a new document." ma:contentTypeScope="" ma:versionID="1a358eede45ef319d2a2e8bd5026bf47">
  <xsd:schema xmlns:xsd="http://www.w3.org/2001/XMLSchema" xmlns:xs="http://www.w3.org/2001/XMLSchema" xmlns:p="http://schemas.microsoft.com/office/2006/metadata/properties" xmlns:ns2="d07530ff-ae8d-4383-9420-67306a016191" xmlns:ns3="d0b4669b-3562-445a-a428-e501203eb641" targetNamespace="http://schemas.microsoft.com/office/2006/metadata/properties" ma:root="true" ma:fieldsID="22c344dc126d5dfb151c55654ddf30d0" ns2:_="" ns3:_="">
    <xsd:import namespace="d07530ff-ae8d-4383-9420-67306a016191"/>
    <xsd:import namespace="d0b4669b-3562-445a-a428-e501203eb6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530ff-ae8d-4383-9420-67306a016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b4669b-3562-445a-a428-e501203eb64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EF1031A-8EE9-4AA1-B8F7-E92B54DFD938}">
  <ds:schemaRefs>
    <ds:schemaRef ds:uri="http://schemas.microsoft.com/sharepoint/v3/contenttype/forms"/>
  </ds:schemaRefs>
</ds:datastoreItem>
</file>

<file path=customXml/itemProps2.xml><?xml version="1.0" encoding="utf-8"?>
<ds:datastoreItem xmlns:ds="http://schemas.openxmlformats.org/officeDocument/2006/customXml" ds:itemID="{1E4F150B-CDAF-456B-99F7-68571CFF22F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0b4669b-3562-445a-a428-e501203eb641"/>
    <ds:schemaRef ds:uri="http://purl.org/dc/elements/1.1/"/>
    <ds:schemaRef ds:uri="http://schemas.microsoft.com/office/2006/metadata/properties"/>
    <ds:schemaRef ds:uri="d07530ff-ae8d-4383-9420-67306a016191"/>
    <ds:schemaRef ds:uri="http://www.w3.org/XML/1998/namespace"/>
    <ds:schemaRef ds:uri="http://purl.org/dc/dcmitype/"/>
  </ds:schemaRefs>
</ds:datastoreItem>
</file>

<file path=customXml/itemProps3.xml><?xml version="1.0" encoding="utf-8"?>
<ds:datastoreItem xmlns:ds="http://schemas.openxmlformats.org/officeDocument/2006/customXml" ds:itemID="{2C774797-9FF9-4A12-8CC5-DBC97DC9B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530ff-ae8d-4383-9420-67306a016191"/>
    <ds:schemaRef ds:uri="d0b4669b-3562-445a-a428-e501203eb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4E3E10-8F58-40E9-BFE8-2721B065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2776</Words>
  <Characters>16772</Characters>
  <Application>Microsoft Office Word</Application>
  <DocSecurity>0</DocSecurity>
  <Lines>390</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2022-05-12T14:14:00Z</dcterms:created>
  <dcterms:modified xsi:type="dcterms:W3CDTF">2022-05-12T14:33:00Z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0x01010043D24022E66C1540A3B1E037465E0CE3</vt:lpwstr>
  </property>
</Properties>
</file>