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bookmarkStart w:id="4006" w:name="muhj20020401_001_en-muhj20020401_001_en"/>
    <w:p>
      <w:pPr>
        <w:pStyle w:val="head-default"/>
        <w:keepNext/>
        <w:keepLines/>
        <w:spacing w:before="160"/>
        <w:ind w:firstLine="0"/>
        <w:jc w:val="center"/>
      </w:pPr>
      <w:r>
        <w:rPr/>
        <w:t xml:space="preserve">The Universal House of Justice</w:t>
      </w:r>
    </w:p>
    <w:p>
      <w:pPr>
        <w:keepNext/>
      </w:pPr>
      <w:r/>
    </w:p>
    <w:p>
      <w:pPr>
        <w:ind w:firstLine="0"/>
        <w:jc w:val="center"/>
      </w:pPr>
      <w:r>
        <w:rPr/>
        <w:t xml:space="preserve">April 2002</w:t>
      </w:r>
    </w:p>
    <w:p>
      <w:pPr>
        <w:keepNext/>
      </w:pPr>
      <w:r/>
    </w:p>
    <w:p>
      <w:pPr>
        <w:keepNext/>
        <w:keepLines/>
      </w:pPr>
      <w:r/>
    </w:p>
    <w:p>
      <w:pPr>
        <w:ind w:firstLine="0"/>
        <w:jc w:val="left"/>
      </w:pPr>
      <w:r>
        <w:rPr/>
        <w:t xml:space="preserve">To The World’s Religious Leaders</w:t>
      </w:r>
    </w:p>
    <w:p>
      <w:pPr>
        <w:keepNext/>
      </w:pPr>
      <w:r/>
    </w:p>
    <w:bookmarkStart w:id="50016" w:name="muhj20020401_001_en-p1"/>
    <w:p>
      <w:pPr>
        <w:ind w:firstLine="0"/>
        <w:jc w:val="left"/>
      </w:pPr>
      <w:r>
        <w:rPr/>
        <w:t xml:space="preserve">The enduring legacy of the twentieth century is that it compelled the peoples of the world to begin seeing themselves as the members of a single human race, and the earth as that race’s common homeland. Despite the continuing conflict and violence that darken the horizon, prejudices that once seemed inherent in the nature of the human species are everywhere giving way. Down with them come barriers that long divided the family of man into a Babel of incoherent identities of cultural, ethnic or national origin. That so fundamental a change could occur in so brief a period—virtually overnight in the perspective of historical time—suggests the magnitude of the possibilities for the future.</w:t>
      </w:r>
    </w:p>
    <w:p>
      <w:pPr>
        <w:keepNext/>
      </w:pPr>
      <w:r/>
    </w:p>
    <w:bookmarkEnd w:id="50016"/>
    <w:bookmarkStart w:id="50019" w:name="muhj20020401_001_en-p2"/>
    <w:p>
      <w:pPr>
        <w:ind w:firstLine="284"/>
        <w:jc w:val="left"/>
      </w:pPr>
      <w:r>
        <w:rPr/>
        <w:t xml:space="preserve">Tragically, organized religion, whose very reason for being entails service to the cause of brotherhood and peace, behaves all too frequently as one of the most formidable obstacles in the path; to cite a particular painful fact, it has long lent its credibility to fanaticism. We feel a responsibility, as the governing council of one of the world religions, to urge earnest consideration of the challenge this poses for religious leadership. Both the issue and the circumstances to which it gives rise require that we speak frankly. We trust that common service to the Divine will ensure that what we say will be received in the same spirit of goodwill as it is put forward.</w:t>
      </w:r>
    </w:p>
    <w:p>
      <w:pPr>
        <w:keepNext/>
      </w:pPr>
      <w:r/>
    </w:p>
    <w:bookmarkEnd w:id="50019"/>
    <w:bookmarkStart w:id="50022" w:name="muhj20020401_001_en-p3"/>
    <w:p>
      <w:pPr>
        <w:ind w:firstLine="284"/>
        <w:jc w:val="left"/>
      </w:pPr>
      <w:r>
        <w:rPr/>
        <w:t xml:space="preserve">The issue comes sharply into focus when one considers what has been achieved elsewhere. In the past, apart from isolated exceptions, women were regarded as an inferior breed, their nature hedged about by superstitions, denied the opportunity to express the potentialities of the human spirit and relegated to the role of serving the needs of men. Clearly, there are many societies where such conditions persist and are even fanatically defended. At the level of global discourse, however, the concept of the equality of the sexes has, for all practical purposes, now assumed the force of universally accepted principle. It enjoys similar authority in most of the academic community and information media. So basic has been the revisioning that exponents of male supremacy must look for support on the margins of responsible opinion.</w:t>
      </w:r>
    </w:p>
    <w:p>
      <w:pPr>
        <w:keepNext/>
      </w:pPr>
      <w:r/>
    </w:p>
    <w:bookmarkEnd w:id="50022"/>
    <w:bookmarkStart w:id="50025" w:name="muhj20020401_001_en-p4"/>
    <w:p>
      <w:pPr>
        <w:ind w:firstLine="284"/>
        <w:jc w:val="left"/>
      </w:pPr>
      <w:r>
        <w:rPr/>
        <w:t xml:space="preserve">The beleaguered battalions of nationalism face a similar fate. With each passing crisis in world affairs, it becomes easier for the citizen to distinguish between a love of country that enriches one’s life, and submission to inflammatory rhetoric designed to provoke hatred and fear of others. Even where it is expedient to participate in the familiar nationalistic rites, public response is as often marked by feelings of awkwardness as it is by the strong convictions and ready enthusiasm of earlier times. The effect has been reinforced by the restructuring steadily taking place in the international order. Whatever the shortcomings of the United Nations system in its present form, and however handicapped its ability to take collective military action against aggression, no one can mistake the fact that the fetish of absolute national sovereignty is on its way to extinction.</w:t>
      </w:r>
    </w:p>
    <w:p>
      <w:pPr>
        <w:keepNext/>
      </w:pPr>
      <w:r/>
    </w:p>
    <w:bookmarkEnd w:id="50025"/>
    <w:bookmarkStart w:id="50028" w:name="muhj20020401_001_en-p5"/>
    <w:p>
      <w:pPr>
        <w:ind w:firstLine="284"/>
        <w:jc w:val="left"/>
      </w:pPr>
      <w:r>
        <w:rPr/>
        <w:t xml:space="preserve">Racial and ethnic prejudices have been subjected to equally summary treatment by historical processes that have little patience left for such pretensions. Here, rejection of the past has been especially decisive. Racism is now tainted by its association with the horrors of the twentieth century to the degree that it has taken on something of the character of a spiritual disease. While surviving as a social attitude in many parts of the world—and as a blight on the lives of a significant segment of humankind—racial prejudice has become so universally condemned in principle that no body of people can any longer safely allow themselves to be identified with it. </w:t>
      </w:r>
    </w:p>
    <w:p>
      <w:pPr>
        <w:keepNext/>
      </w:pPr>
      <w:r/>
    </w:p>
    <w:bookmarkEnd w:id="50028"/>
    <w:bookmarkStart w:id="50031" w:name="muhj20020401_001_en-p6"/>
    <w:p>
      <w:pPr>
        <w:ind w:firstLine="284"/>
        <w:jc w:val="left"/>
      </w:pPr>
      <w:r>
        <w:rPr/>
        <w:t xml:space="preserve">It is not that a dark past has been erased and a new world of light has suddenly been born. Vast numbers of people continue to endure the effects of ingrained prejudices of ethnicity, gender, nation, caste and class. All the evidence indicates that such injustices will long persist as the institutions and standards that humanity is devising only slowly become empowered to construct a new order of relationships and to bring relief to the oppressed. The point, rather, is that a threshold has been crossed from which there is no credible possibility of return. Fundamental principles have been identified, articulated, accorded broad publicity and are becoming progressively incarnated in institutions capable of imposing them on public behaviour. There is no doubt that, however protracted and painful the struggle, the outcome will be to revolutionize relationships among all peoples, at the grassroots level. </w:t>
      </w:r>
    </w:p>
    <w:p>
      <w:pPr>
        <w:keepNext/>
      </w:pPr>
      <w:r/>
    </w:p>
    <w:bookmarkEnd w:id="50031"/>
    <w:p>
      <w:pPr>
        <w:ind w:firstLine="284"/>
        <w:jc w:val="center"/>
      </w:pPr>
      <w:r>
        <w:rPr>
          <w:sz w:val="26"/>
          <w:szCs w:val="26"/>
        </w:rPr>
        <w:t xml:space="preserve">* * *</w:t>
      </w:r>
    </w:p>
    <w:p>
      <w:pPr>
        <w:keepNext/>
      </w:pPr>
      <w:r/>
    </w:p>
    <w:bookmarkStart w:id="50037" w:name="muhj20020401_001_en-p7"/>
    <w:p>
      <w:pPr>
        <w:keepNext/>
        <w:keepLines/>
      </w:pPr>
      <w:r/>
    </w:p>
    <w:p>
      <w:pPr>
        <w:ind w:firstLine="0"/>
        <w:jc w:val="left"/>
      </w:pPr>
      <w:r>
        <w:rPr/>
        <w:t xml:space="preserve">As the twentieth century opened, the prejudice that seemed more likely than any other to succumb to the forces of change was that of religion. In the West, scientific advances had already dealt rudely with some of the central pillars of sectarian exclusivity. In the context of the transformation taking place in the human race’s conception of itself, the most promising new religious development seemed to be the interfaith movement. In 1893, the World’s Columbian Exposition surprised even its ambitious organizers by giving birth to the famed “Parliament of Religions”, a vision of spiritual and moral consensus that captured the popular imagination on all continents and managed to eclipse even the scientific, technological and commercial wonders that the Exposition celebrated. </w:t>
      </w:r>
    </w:p>
    <w:p>
      <w:pPr>
        <w:keepNext/>
      </w:pPr>
      <w:r/>
    </w:p>
    <w:bookmarkEnd w:id="50037"/>
    <w:bookmarkStart w:id="50040" w:name="muhj20020401_001_en-p8"/>
    <w:p>
      <w:pPr>
        <w:ind w:firstLine="284"/>
        <w:jc w:val="left"/>
      </w:pPr>
      <w:r>
        <w:rPr/>
        <w:t xml:space="preserve">Briefly, it appeared that ancient walls had fallen. For influential thinkers in the field of religion, the gathering stood unique, “unprecedented in the history of the world”. The Parliament had, its distinguished principal organizer said, “emancipated the world from bigotry”. An imaginative leadership, it was confidently predicted, would seize the opportunity and awaken in the earth’s long-divided religious communities a spirit of brotherhood that could provide the needed moral underpinnings for the new world of prosperity and progress. Thus encouraged, interfaith movements of every kind took root and flourished. A vast literature, available in many languages, introduced an ever wider public, believers and non-believers alike, to the teachings of all the major faiths, an interest picked up in due course by radio, television, film and eventually the Internet. Institutions of higher learning launched degree programmes in the study of comparative religion. By the time the century ended, interfaith worship services, unthinkable only a few decades earlier, were becoming commonplace.</w:t>
      </w:r>
    </w:p>
    <w:p>
      <w:pPr>
        <w:keepNext/>
      </w:pPr>
      <w:r/>
    </w:p>
    <w:bookmarkEnd w:id="50040"/>
    <w:bookmarkStart w:id="50043" w:name="muhj20020401_001_en-p9"/>
    <w:p>
      <w:pPr>
        <w:ind w:firstLine="284"/>
        <w:jc w:val="left"/>
      </w:pPr>
      <w:r>
        <w:rPr/>
        <w:t xml:space="preserve">Alas, it is clear that these initiatives lack both intellectual coherence and spiritual commitment. In contrast to the processes of unification that are transforming the rest of humanity’s social relationships, the suggestion that all of the world’s great religions are equally valid in nature and origin is stubbornly resisted by entrenched patterns of sectarian thought. The progress of racial integration is a development that is not merely an expression of sentimentality or strategy but arises from the recognition that the earth’s peoples constitute a single species whose many variations do not themselves confer any advantage or impose any handicap on individual members of the race. The emancipation of women, likewise, has entailed the willingness of both society’s institutions and popular opinion to acknowledge that there are no acceptable grounds—biological, social or moral—to justify denying women full equality with men, and girls equal educational opportunities with boys. Nor does appreciation of the contributions that some nations are making to the shaping of an evolving global civilization support the inherited illusion that other nations have little or nothing to bring to the effort.</w:t>
      </w:r>
    </w:p>
    <w:p>
      <w:pPr>
        <w:keepNext/>
      </w:pPr>
      <w:r/>
    </w:p>
    <w:bookmarkEnd w:id="50043"/>
    <w:bookmarkStart w:id="50046" w:name="muhj20020401_001_en-p10"/>
    <w:p>
      <w:pPr>
        <w:ind w:firstLine="284"/>
        <w:jc w:val="left"/>
      </w:pPr>
      <w:r>
        <w:rPr/>
        <w:t xml:space="preserve">So fundamental a reorientation religious leadership appears, for the most part, unable to undertake. Other segments of society embrace the implications of the oneness of humankind, not only as the inevitable next step in the advancement of civilization, but as the fulfilment of lesser identities of every kind that our race brings to this critical moment in our collective history. Yet, the greater part of organized religion stands paralyzed at the threshold of the future, gripped in those very dogmas and claims of privileged access to truth that have been responsible for creating some of the most bitter conflicts dividing the earth’s inhabitants. </w:t>
      </w:r>
    </w:p>
    <w:p>
      <w:pPr>
        <w:keepNext/>
      </w:pPr>
      <w:r/>
    </w:p>
    <w:bookmarkEnd w:id="50046"/>
    <w:bookmarkStart w:id="50049" w:name="muhj20020401_001_en-p11"/>
    <w:p>
      <w:pPr>
        <w:ind w:firstLine="284"/>
        <w:jc w:val="left"/>
      </w:pPr>
      <w:r>
        <w:rPr/>
        <w:t xml:space="preserve">The consequences, in terms of human well-being, have been ruinous. It is surely unnecessary to cite in detail the horrors being visited upon hapless populations today by outbursts of fanaticism that shame the name of religion. Nor is the phenomenon a recent one. To take only one of many examples, Europe’s sixteenth century wars of religion cost that continent the lives of some thirty percent of its entire population. One must wonder what has been the longer term harvest of the seeds planted in popular consciousness by the blind forces of sectarian dogmatism that inspired such conflicts. </w:t>
      </w:r>
    </w:p>
    <w:p>
      <w:pPr>
        <w:keepNext/>
      </w:pPr>
      <w:r/>
    </w:p>
    <w:bookmarkEnd w:id="50049"/>
    <w:bookmarkStart w:id="50052" w:name="muhj20020401_001_en-p12"/>
    <w:p>
      <w:pPr>
        <w:ind w:firstLine="284"/>
        <w:jc w:val="left"/>
      </w:pPr>
      <w:r>
        <w:rPr/>
        <w:t xml:space="preserve">To this accounting must be added a betrayal of the life of the mind which, more than any other factor, has robbed religion of the capacity it inherently possesses to play a decisive role in the shaping of world affairs. Locked into preoccupation with agendas that disperse and vitiate human energies, religious institutions have too often been the chief agents in discouraging exploration of reality and the exercise of those intellectual faculties that distinguish humankind. Denunciations of materialism or terrorism are of no real assistance in coping with the contemporary moral crisis if they do not begin by addressing candidly the failure of responsibility that has left believing masses exposed and vulnerable to these influences. </w:t>
      </w:r>
    </w:p>
    <w:p>
      <w:pPr>
        <w:keepNext/>
      </w:pPr>
      <w:r/>
    </w:p>
    <w:bookmarkEnd w:id="50052"/>
    <w:bookmarkStart w:id="50055" w:name="muhj20020401_001_en-p13"/>
    <w:p>
      <w:pPr>
        <w:ind w:firstLine="284"/>
        <w:jc w:val="left"/>
      </w:pPr>
      <w:r>
        <w:rPr/>
        <w:t xml:space="preserve">Such reflections, however painful, are less an indictment of organized religion than a reminder of the unique power it represents. Religion, as we are all aware, reaches to the roots of motivation. When it has been faithful to the spirit and example of the transcendent Figures who gave the world its great belief systems, it has awakened in whole populations capacities to love, to forgive, to create, to dare greatly, to overcome prejudice, to sacrifice for the common good and to discipline the impulses of animal instinct. Unquestionably, the seminal force in the civilizing of human nature has been the influence of the succession of these Manifestations of the Divine that extends back to the dawn of recorded history.</w:t>
      </w:r>
    </w:p>
    <w:p>
      <w:pPr>
        <w:keepNext/>
      </w:pPr>
      <w:r/>
    </w:p>
    <w:bookmarkEnd w:id="50055"/>
    <w:bookmarkStart w:id="50058" w:name="muhj20020401_001_en-p14"/>
    <w:p>
      <w:pPr>
        <w:ind w:firstLine="284"/>
        <w:jc w:val="left"/>
      </w:pPr>
      <w:r>
        <w:rPr/>
        <w:t xml:space="preserve">This same force, that operated with such effect in ages past, remains an inextinguishable feature of human consciousness. Against all odds, and with little in the way of meaningful encouragement, it continues to sustain the struggle for survival of uncounted millions, and to raise up in all lands heroes and saints whose lives are the most persuasive vindication of the principles contained in the scriptures of their respective faiths. As the course of civilization demonstrates, religion is also capable of profoundly influencing the structure of social relationships. Indeed, it would be difficult to think of any fundamental advance in civilization that did not derive its moral thrust from this perennial source. Is it conceivable, then, that passage to the culminating stage in the millennia-long process of the organization of the planet can be accomplished in a spiritual vacuum? If the perverse ideologies let loose on our world during the century just past contributed nothing else, they demonstrated conclusively that the need cannot be met by alternatives that lie within the power of human invention.</w:t>
      </w:r>
    </w:p>
    <w:p>
      <w:pPr>
        <w:keepNext/>
      </w:pPr>
      <w:r/>
    </w:p>
    <w:bookmarkEnd w:id="50058"/>
    <w:p>
      <w:pPr>
        <w:ind w:firstLine="284"/>
        <w:jc w:val="center"/>
      </w:pPr>
      <w:r>
        <w:rPr>
          <w:sz w:val="26"/>
          <w:szCs w:val="26"/>
        </w:rPr>
        <w:t xml:space="preserve">* * *</w:t>
      </w:r>
    </w:p>
    <w:p>
      <w:pPr>
        <w:keepNext/>
      </w:pPr>
      <w:r/>
    </w:p>
    <w:bookmarkStart w:id="50064" w:name="muhj20020401_001_en-p15"/>
    <w:p>
      <w:pPr>
        <w:keepNext/>
        <w:keepLines/>
      </w:pPr>
      <w:r/>
    </w:p>
    <w:p>
      <w:pPr>
        <w:ind w:firstLine="0"/>
        <w:jc w:val="left"/>
      </w:pPr>
      <w:r>
        <w:rPr/>
        <w:t xml:space="preserve">The implications for today are summed up by Bahá’u’lláh in words written over a century ago and widely disseminated in the intervening decades:</w:t>
      </w:r>
    </w:p>
    <w:p>
      <w:pPr>
        <w:keepNext/>
      </w:pPr>
      <w:r/>
    </w:p>
    <w:bookmarkEnd w:id="50064"/>
    <w:p>
      <w:pPr>
        <w:keepNext/>
        <w:keepLines/>
      </w:pPr>
      <w:r/>
    </w:p>
    <w:bookmarkStart w:id="60067" w:name="muhj20020401_001_en-p16"/>
    <w:p>
      <w:pPr>
        <w:ind w:left="300"/>
        <w:ind w:firstLine="284"/>
        <w:jc w:val="left"/>
      </w:pPr>
      <w:r>
        <w:rPr/>
        <w:t xml:space="preserve">There can be no doubt whatever that the peoples of the world, of whatever race or religion, derive their inspiration from one heavenly Source, and are the subjects of one God. The difference between the ordinances under which they abide should be attributed to the varying requirements and exigencies of the age in which they were revealed. All of them, except a few which are the outcome of human perversity, were ordained of God, and are a reflection of His Will and Purpose. Arise and, armed with the power of faith, shatter to pieces the gods of your vain imaginings, the sowers of dissension amongst you. Cleave unto that which draweth you together and uniteth you. </w:t>
      </w:r>
    </w:p>
    <w:p>
      <w:pPr>
        <w:keepNext/>
      </w:pPr>
      <w:r/>
    </w:p>
    <w:bookmarkEnd w:id="60067"/>
    <w:p>
      <w:pPr>
        <w:keepNext/>
      </w:pPr>
      <w:r/>
    </w:p>
    <w:bookmarkStart w:id="50071" w:name="muhj20020401_001_en-p17"/>
    <w:p>
      <w:pPr>
        <w:ind w:firstLine="284"/>
        <w:jc w:val="left"/>
      </w:pPr>
      <w:r>
        <w:rPr/>
        <w:t xml:space="preserve">Such an appeal does not call for abandonment of faith in the fundamental verities of any of the world’s great belief systems. Far otherwise. Faith has its own imperative and is its own justification. What others believe—or do not believe—cannot be the authority in any individual conscience worthy of the name. What the above words do unequivocally urge is renunciation of all those claims to exclusivity or finality that, in winding their roots around the life of the spirit, have been the greatest single factor in suffocating impulses to unity and in promoting hatred and violence.</w:t>
      </w:r>
    </w:p>
    <w:p>
      <w:pPr>
        <w:keepNext/>
      </w:pPr>
      <w:r/>
    </w:p>
    <w:bookmarkEnd w:id="50071"/>
    <w:bookmarkStart w:id="50074" w:name="muhj20020401_001_en-p18"/>
    <w:p>
      <w:pPr>
        <w:ind w:firstLine="284"/>
        <w:jc w:val="left"/>
      </w:pPr>
      <w:r>
        <w:rPr/>
        <w:t xml:space="preserve">It is to this historic challenge that we believe leaders of religion must respond if religious leadership is to have meaning in the global society emerging from the transformative experiences of the twentieth century. It is evident that growing numbers of people are coming to realize that the truth underlying all religions is in its essence one. This recognition arises not through a resolution of theological disputes, but as an intuitive awareness born from the ever widening experience of others and from a dawning acceptance of the oneness of the human family itself. Out of the welter of religious doctrines, rituals and legal codes inherited from vanished worlds, there is emerging a sense that spiritual life, like the oneness manifest in diverse nationalities, races and cultures, constitutes one unbounded reality equally accessible to everyone. In order for this diffuse and still tentative perception to consolidate itself and contribute effectively to the building of a peaceful world, it must have the wholehearted confirmation of those to whom, even at this late hour, masses of the earth’s population look for guidance.</w:t>
      </w:r>
    </w:p>
    <w:p>
      <w:pPr>
        <w:keepNext/>
      </w:pPr>
      <w:r/>
    </w:p>
    <w:bookmarkEnd w:id="50074"/>
    <w:bookmarkStart w:id="50077" w:name="muhj20020401_001_en-p19"/>
    <w:p>
      <w:pPr>
        <w:ind w:firstLine="284"/>
        <w:jc w:val="left"/>
      </w:pPr>
      <w:r>
        <w:rPr/>
        <w:t xml:space="preserve">There are certainly wide differences among the world’s major religious traditions with respect to social ordinances and forms of worship. Given the thousands of years during which successive revelations of the Divine have addressed the changing needs of a constantly evolving civilization, it could hardly be otherwise. Indeed, an inherent feature of the scriptures of most of the major faiths would appear to be the expression, in some form or other, of the principle of religion’s evolutionary nature. What cannot be morally justified is the manipulation of cultural legacies that were intended to enrich spiritual experience, as a means to arouse prejudice and alienation. The primary task of the soul will always be to investigate reality, to live in accordance with the truths of which it becomes persuaded and to accord full respect to the efforts of others to do the same. </w:t>
      </w:r>
    </w:p>
    <w:p>
      <w:pPr>
        <w:keepNext/>
      </w:pPr>
      <w:r/>
    </w:p>
    <w:bookmarkEnd w:id="50077"/>
    <w:bookmarkStart w:id="50080" w:name="muhj20020401_001_en-p20"/>
    <w:p>
      <w:pPr>
        <w:ind w:firstLine="284"/>
        <w:jc w:val="left"/>
      </w:pPr>
      <w:r>
        <w:rPr/>
        <w:t xml:space="preserve">It may be objected that, if all the great religions are to be recognized as equally Divine in origin, the effect will be to encourage, or at least to facilitate, the conversion of numbers of people from one religion to another. Whether or not this is true, it is surely of peripheral importance when set against the opportunity that history has at last opened to those who are conscious of a world that transcends this terrestrial one—and against the responsibility that this awareness imposes. Each of the great faiths can adduce impressive and credible testimony to its efficacy in nurturing moral character. Similarly, no one could convincingly argue that doctrines attached to one particular belief system have been either more or less prolific in generating bigotry and superstition than those attached to any other. In an integrating world, it is natural that patterns of response and association will undergo a continuous process of shifting, and the role of institutions, of whatever kind, is surely to consider how these developments can be managed in a way that promotes unity. The guarantee that the outcome will ultimately be sound—spiritually, morally and socially—lies in the abiding faith of the unconsulted masses of the earth’s inhabitants that the universe is ruled not by human caprice, but by a loving and unfailing Providence.</w:t>
      </w:r>
    </w:p>
    <w:p>
      <w:pPr>
        <w:keepNext/>
      </w:pPr>
      <w:r/>
    </w:p>
    <w:bookmarkEnd w:id="50080"/>
    <w:bookmarkStart w:id="50083" w:name="muhj20020401_001_en-p21"/>
    <w:p>
      <w:pPr>
        <w:ind w:firstLine="284"/>
        <w:jc w:val="left"/>
      </w:pPr>
      <w:r>
        <w:rPr/>
        <w:t xml:space="preserve">Together with the crumbling of barriers separating peoples, our age is witnessing the dissolution of the once insuperable wall that the past assumed would forever separate the life of Heaven from the life of Earth. The scriptures of all religions have always taught the believer to see in service to others not only a moral duty, but an avenue for the soul’s own approach to God. Today, the progressive restructuring of society gives this familiar teaching new dimensions of meaning. As the age-old promise of a world animated by principles of justice slowly takes on the character of a realistic goal, meeting the needs of the soul and those of society will increasingly be seen as reciprocal aspects of a mature spiritual life.</w:t>
      </w:r>
    </w:p>
    <w:p>
      <w:pPr>
        <w:keepNext/>
      </w:pPr>
      <w:r/>
    </w:p>
    <w:bookmarkEnd w:id="50083"/>
    <w:bookmarkStart w:id="50086" w:name="muhj20020401_001_en-p22"/>
    <w:p>
      <w:pPr>
        <w:ind w:firstLine="284"/>
        <w:jc w:val="left"/>
      </w:pPr>
      <w:r>
        <w:rPr/>
        <w:t xml:space="preserve">If religious leadership is to rise to the challenge that this latter perception represents, such response must begin by acknowledging that religion and science are the two indispensable knowledge systems through which the potentialities of consciousness develop. Far from being in conflict with one another, these fundamental modes of the mind’s exploration of reality are mutually dependent and have been most productive in those rare but happy periods of history when their complementary nature has been recognized and they have been able to work together. The insights and skills generated by scientific advance will have always to look to the guidance of spiritual and moral commitment to ensure their appropriate application; religious convictions, no matter how cherished they may be, must submit, willingly and gratefully, to impartial testing by scientific methods.</w:t>
      </w:r>
    </w:p>
    <w:p>
      <w:pPr>
        <w:keepNext/>
      </w:pPr>
      <w:r/>
    </w:p>
    <w:bookmarkEnd w:id="50086"/>
    <w:bookmarkStart w:id="50089" w:name="muhj20020401_001_en-p23"/>
    <w:p>
      <w:pPr>
        <w:ind w:firstLine="284"/>
        <w:jc w:val="left"/>
      </w:pPr>
      <w:r>
        <w:rPr/>
        <w:t xml:space="preserve">We come finally to an issue that we approach with some diffidence as it touches most directly on conscience. Among the many temptations the world offers, the test that has, not surprisingly, preoccupied religious leaders is that of exercising power in matters of belief. No one who has dedicated long years to earnest meditation and study of the scriptures of one or another of the great religions requires any further reminder of the oft-repeated axiom regarding the potentiality of power to corrupt and to do so increasingly as such power grows. The unheralded inner victories won in this respect by unnumbered clerics all down the ages have no doubt been one of the chief sources of organized religion’s creative strength and must rank as one of its highest distinctions. To the same degree, surrender to the lure of worldly power and advantage, on the part of other religious leaders, has cultivated a fertile breeding ground for cynicism, corruption and despair among all who observe it. The implications for the ability of religious leadership to fulfil its social responsibility at this point in history need no elaboration.</w:t>
      </w:r>
    </w:p>
    <w:p>
      <w:pPr>
        <w:keepNext/>
      </w:pPr>
      <w:r/>
    </w:p>
    <w:bookmarkEnd w:id="50089"/>
    <w:p>
      <w:pPr>
        <w:ind w:firstLine="284"/>
        <w:jc w:val="center"/>
      </w:pPr>
      <w:r>
        <w:rPr>
          <w:sz w:val="26"/>
          <w:szCs w:val="26"/>
        </w:rPr>
        <w:t xml:space="preserve">* * *</w:t>
      </w:r>
    </w:p>
    <w:p>
      <w:pPr>
        <w:keepNext/>
      </w:pPr>
      <w:r/>
    </w:p>
    <w:bookmarkStart w:id="50095" w:name="muhj20020401_001_en-p24"/>
    <w:p>
      <w:pPr>
        <w:keepNext/>
        <w:keepLines/>
      </w:pPr>
      <w:r/>
    </w:p>
    <w:p>
      <w:pPr>
        <w:ind w:firstLine="0"/>
        <w:jc w:val="left"/>
      </w:pPr>
      <w:r>
        <w:rPr/>
        <w:t xml:space="preserve">Because it is concerned with the ennobling of character and the harmonizing of relationships, religion has served throughout history as the ultimate authority in giving meaning to life. In every age, it has cultivated the good, reproved the wrong and held up, to the gaze of all those willing to see, a vision of potentialities as yet unrealized. From its counsels the rational soul has derived encouragement in overcoming limits imposed by the world and in fulfilling itself. As the name implies, religion has simultaneously been the chief force binding diverse peoples together in ever larger and more complex societies through which the individual capacities thus released can find expression. The great advantage of the present age is the perspective that makes it possible for the entire human race to see this civilizing process as a single phenomenon, the ever-recurring encounters of our world with the world of God. </w:t>
      </w:r>
    </w:p>
    <w:p>
      <w:pPr>
        <w:keepNext/>
      </w:pPr>
      <w:r/>
    </w:p>
    <w:bookmarkEnd w:id="50095"/>
    <w:bookmarkStart w:id="50098" w:name="muhj20020401_001_en-p25"/>
    <w:p>
      <w:pPr>
        <w:ind w:firstLine="284"/>
        <w:jc w:val="left"/>
      </w:pPr>
      <w:r>
        <w:rPr/>
        <w:t xml:space="preserve">Inspired by this perspective, the Bahá’í community has been a vigorous promoter of interfaith activities from the time of their inception. Apart from cherished associations that these activities create, Bahá’ís see in the struggle of diverse religions to draw closer together a response to the Divine Will for a human race that is entering on its collective maturity. The members of our community will continue to assist in every way we can. We owe it to our partners in this common effort, however, to state clearly our conviction that interfaith discourse, if it is to contribute meaningfully to healing the ills that afflict a desperate humanity, must now address honestly and without further evasion the implications of the over-arching truth that called the movement into being: that God is one and that, beyond all diversity of cultural expression and human interpretation, religion is likewise one. </w:t>
      </w:r>
    </w:p>
    <w:p>
      <w:pPr>
        <w:keepNext/>
      </w:pPr>
      <w:r/>
    </w:p>
    <w:bookmarkEnd w:id="50098"/>
    <w:bookmarkStart w:id="500101" w:name="muhj20020401_001_en-p26"/>
    <w:p>
      <w:pPr>
        <w:ind w:firstLine="284"/>
        <w:jc w:val="left"/>
      </w:pPr>
      <w:r>
        <w:rPr/>
        <w:t xml:space="preserve">With every day that passes, danger grows that the rising fires of religious prejudice will ignite a worldwide conflagration the consequences of which are unthinkable. Such a danger civil government, unaided, cannot overcome. Nor should we delude ourselves that appeals for mutual tolerance can alone hope to extinguish animosities that claim to possess Divine sanction. The crisis calls on religious leadership for a break with the past as decisive as those that opened the way for society to address equally corrosive prejudices of race, gender and nation. Whatever justification exists for exercising influence in matters of conscience lies in serving the well-being of humankind. At this greatest turning point in the history of civilization, the demands of such service could not be more clear. “The well-being of mankind, its peace and security, are unattainable”, Bahá’u’lláh urges, “unless and until its unity is firmly established.” </w:t>
      </w:r>
    </w:p>
    <w:p>
      <w:pPr>
        <w:keepNext/>
      </w:pPr>
      <w:r/>
    </w:p>
    <w:bookmarkEnd w:id="500101"/>
    <w:p>
      <w:pPr>
        <w:ind w:left="4305"/>
        <w:jc w:val="left"/>
      </w:pPr>
      <w:r>
        <w:rPr/>
        <w:t xml:space="preserve">[signed: The Universal House </w:t>
      </w:r>
      <w:r>
        <w:rPr/>
        <w:t xml:space="preserve">of Justice]</w:t>
      </w:r>
    </w:p>
    <w:bookmarkEnd w:id="4006"/>
    <w:p>
      <w:pPr>
        <w:keepNext/>
        <w:pBdr>
          <w:bottom w:val="single" w:sz="5" w:space="1"/>
        </w:pBdr>
        <w:spacing w:before="300" w:after="40"/>
      </w:pPr>
    </w:p>
    <w:bookmarkStart w:id="9990660009" w:name="copyright-terms-use"/>
    <w:p>
      <w:pPr>
        <w:ind w:firstLine="0"/>
        <w:jc w:val="left"/>
      </w:pPr>
      <w:r>
        <w:rPr>
          <w:rFonts w:ascii="Arial Unicode MS" w:eastAsia="Arial Unicode MS" w:hAnsi="Arial Unicode MS" w:cs="Arial Unicode MS"/>
          <w:sz w:val="12"/>
          <w:szCs w:val="12"/>
        </w:rPr>
        <w:t xml:space="preserve">This document has been downloaded from the </w:t>
      </w:r>
      <w:hyperlink xmlns:r="http://schemas.openxmlformats.org/officeDocument/2006/relationships" r:id="rId3001">
        <w:r>
          <w:rPr>
            <w:rFonts w:ascii="Arial Unicode MS" w:eastAsia="Arial Unicode MS" w:hAnsi="Arial Unicode MS" w:cs="Arial Unicode MS"/>
            <w:sz w:val="12"/>
            <w:szCs w:val="12"/>
            <w:u w:val="single"/>
          </w:rPr>
          <w:t xml:space="preserve">Bahá’í Reference Library</w:t>
        </w:r>
      </w:hyperlink>
      <w:r>
        <w:rPr>
          <w:rFonts w:ascii="Arial Unicode MS" w:eastAsia="Arial Unicode MS" w:hAnsi="Arial Unicode MS" w:cs="Arial Unicode MS"/>
          <w:sz w:val="12"/>
          <w:szCs w:val="12"/>
        </w:rPr>
        <w:t xml:space="preserve">. You are free to use its content subject to the terms of use found at </w:t>
      </w:r>
      <w:hyperlink xmlns:r="http://schemas.openxmlformats.org/officeDocument/2006/relationships" r:id="rId3004">
        <w:r>
          <w:rPr>
            <w:rFonts w:ascii="Arial Unicode MS" w:eastAsia="Arial Unicode MS" w:hAnsi="Arial Unicode MS" w:cs="Arial Unicode MS"/>
            <w:sz w:val="12"/>
            <w:szCs w:val="12"/>
            <w:u w:val="single"/>
          </w:rPr>
          <w:t xml:space="preserve">www.bahai.org/legal</w:t>
        </w:r>
      </w:hyperlink>
    </w:p>
    <w:bookmarkEnd w:id="9990660009"/>
  </w:body>
</w:document>
</file>

<file path=word/numbering.xml><?xml version="1.0" encoding="utf-8"?>
<w:numbering xmlns:w="http://schemas.openxmlformats.org/wordprocessingml/2006/main"/>
</file>

<file path=word/settings.xml><?xml version="1.0" encoding="utf-8"?>
<w:settings xmlns:o="urn:schemas-microsoft-com:office:office" xmlns:m="http://schemas.openxmlformats.org/officeDocument/2006/math" xmlns:w10="urn:schemas-microsoft-com:office:word" xmlns:sl="http://schemas.openxmlformats.org/schemaLibrary/2006/main" xmlns:w="http://schemas.openxmlformats.org/wordprocessingml/2006/main">
  <w:proofState w:spelling="clean" w:grammar="clean"/>
  <w:compat>
    <w:spaceForUL/>
    <w:balanceSingleByteDoubleByteWidth/>
    <w:doNotLeaveBackslashAlone/>
    <w:ulTrailSpace/>
    <w:doNotExpandShiftReturn/>
    <w:adjustLineHeightInTable/>
  </w:compat>
</w:settings>
</file>

<file path=word/styles.xml><?xml version="1.0" encoding="utf-8"?>
<w:styles xmlns:w="http://schemas.openxmlformats.org/wordprocessingml/2006/main">
  <w:docDefaults>
    <w:rPrDefault>
      <w:rPr>
        <w:rFonts w:ascii="Georgia" w:eastAsia="Georgia" w:hAnsi="Georgia" w:cs="Georgia"/>
        <w:sz w:val="22"/>
        <w:szCs w:val="22"/>
      </w:rPr>
    </w:rPrDefault>
    <w:pPrDefault>
      <w:pPr>
        <w:spacing w:line="240"/>
        <w:jc w:val="both"/>
      </w:pPr>
    </w:pPrDefault>
  </w:docDefaults>
  <w:style w:type="character" w:styleId="NotesReference">
    <w:name w:val="note reference"/>
    <w:rPr>
      <w:vertAlign w:val="superscript"/>
    </w:rPr>
  </w:style>
  <w:style w:type="paragraph" w:styleId="boundarypage">
    <w:hidden/>
    <w:pPr>
      <w:keepNext/>
      <w:spacing w:before="0" w:after="0"/>
      <w:jc w:val="center"/>
    </w:pPr>
    <w:rPr>
      <w:sz w:val="32"/>
      <w:szCs w:val="32"/>
    </w:rPr>
  </w:style>
  <w:style w:type="paragraph" w:styleId="boundarypage-subtitle">
    <w:hidden/>
    <w:pPr>
      <w:keepNext/>
      <w:spacing w:before="0" w:after="0"/>
      <w:jc w:val="center"/>
    </w:pPr>
    <w:rPr>
      <w:sz w:val="22"/>
      <w:szCs w:val="22"/>
    </w:rPr>
  </w:style>
  <w:style w:type="paragraph" w:styleId="boundarypage-para">
    <w:hidden/>
    <w:pPr>
      <w:keepNext/>
      <w:spacing w:before="0" w:after="0"/>
      <w:jc w:val="center"/>
    </w:pPr>
    <w:rPr>
      <w:sz w:val="22"/>
      <w:szCs w:val="22"/>
    </w:rPr>
  </w:style>
  <w:style w:type="paragraph" w:styleId="byline">
    <w:hidden/>
    <w:pPr>
      <w:spacing w:before="40"/>
    </w:pPr>
    <w:rPr>
      <w:sz w:val="22"/>
      <w:szCs w:val="22"/>
    </w:rPr>
  </w:style>
  <w:style w:type="paragraph" w:styleId="divGen-notes">
    <w:hidden/>
    <w:pPr/>
    <w:rPr>
      <w:sz w:val="32"/>
      <w:szCs w:val="32"/>
    </w:rPr>
  </w:style>
  <w:style w:type="paragraph" w:styleId="docAuthor">
    <w:hidden/>
    <w:pPr/>
    <w:rPr>
      <w:sz w:val="24"/>
      <w:szCs w:val="24"/>
    </w:rPr>
  </w:style>
  <w:style w:type="paragraph" w:styleId="head-default">
    <w:hidden/>
    <w:pPr>
      <w:jc w:val="left"/>
    </w:pPr>
    <w:rPr>
      <w:sz w:val="22"/>
      <w:szCs w:val="22"/>
    </w:rPr>
  </w:style>
  <w:style w:type="paragraph" w:styleId="head-subtitle">
    <w:hidden/>
    <w:pPr/>
    <w:rPr>
      <w:sz w:val="18"/>
      <w:szCs w:val="18"/>
    </w:rPr>
  </w:style>
  <w:style w:type="paragraph" w:styleId="head-main">
    <w:hidden/>
    <w:pPr/>
    <w:rPr>
      <w:sz w:val="20"/>
      <w:szCs w:val="20"/>
    </w:rPr>
  </w:style>
  <w:style w:type="paragraph" w:styleId="titlePart-default">
    <w:hidden/>
    <w:pPr/>
    <w:rPr>
      <w:sz w:val="24"/>
      <w:szCs w:val="24"/>
    </w:rPr>
  </w:style>
  <w:style w:type="paragraph" w:styleId="titlePart-alt">
    <w:hidden/>
    <w:pPr/>
    <w:rPr>
      <w:sz w:val="28"/>
      <w:szCs w:val="28"/>
    </w:rPr>
  </w:style>
  <w:style w:type="paragraph" w:styleId="titlePart-main">
    <w:hidden/>
    <w:pPr/>
    <w:rPr>
      <w:sz w:val="32"/>
      <w:szCs w:val="32"/>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5"
                 Type="http://schemas.openxmlformats.org/officeDocument/2006/relationships/settings"
                 Target="settings.xml"/>
   <Relationship Id="rId3001"
                 Type="http://schemas.openxmlformats.org/officeDocument/2006/relationships/hyperlink"
                 Target="http://www.bahai.org/library/"
                 TargetMode="External"/>
   <Relationship Id="rId3004"
                 Type="http://schemas.openxmlformats.org/officeDocument/2006/relationships/hyperlink"
                 Target="http://www.bahai.org/legal"
                 TargetMode="External"/>
</Relationships>
</file>