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62B7" w14:textId="77777777" w:rsidR="00A63097" w:rsidRPr="00A63097" w:rsidRDefault="00A63097" w:rsidP="00A63097">
      <w:pPr>
        <w:spacing w:after="160" w:line="280" w:lineRule="exact"/>
        <w:rPr>
          <w:rFonts w:ascii="Calibri" w:eastAsia="Calibri" w:hAnsi="Calibri" w:cs="Calibri"/>
        </w:rPr>
      </w:pPr>
      <w:r w:rsidRPr="00A63097">
        <w:rPr>
          <w:rFonts w:ascii="Calibri" w:eastAsia="Calibri" w:hAnsi="Calibri" w:cs="Calibri"/>
        </w:rPr>
        <w:t xml:space="preserve">TO: </w:t>
      </w:r>
      <w:r w:rsidRPr="00A63097">
        <w:rPr>
          <w:rFonts w:ascii="Calibri" w:eastAsia="Calibri" w:hAnsi="Calibri" w:cs="Calibri"/>
        </w:rPr>
        <w:tab/>
        <w:t>Carrie Mears, Chair, Valuation of Securities (E) Task Force</w:t>
      </w:r>
      <w:r w:rsidRPr="00A63097">
        <w:rPr>
          <w:rFonts w:ascii="Calibri" w:eastAsia="Calibri" w:hAnsi="Calibri" w:cs="Calibri"/>
        </w:rPr>
        <w:br/>
      </w:r>
      <w:r w:rsidRPr="00A63097">
        <w:rPr>
          <w:rFonts w:ascii="Calibri" w:eastAsia="Calibri" w:hAnsi="Calibri" w:cs="Calibri"/>
        </w:rPr>
        <w:tab/>
        <w:t xml:space="preserve">Members of the Valuation of Securities (E) Task Force </w:t>
      </w:r>
    </w:p>
    <w:p w14:paraId="755EDAD9" w14:textId="19A60AF0" w:rsidR="00A63097" w:rsidRPr="00A63097" w:rsidRDefault="00A63097" w:rsidP="00A63097">
      <w:pPr>
        <w:spacing w:after="160" w:line="280" w:lineRule="exact"/>
        <w:ind w:left="720" w:hanging="720"/>
        <w:rPr>
          <w:rFonts w:ascii="Calibri" w:eastAsia="Calibri" w:hAnsi="Calibri" w:cs="Calibri"/>
        </w:rPr>
      </w:pPr>
      <w:r w:rsidRPr="00A63097">
        <w:rPr>
          <w:rFonts w:ascii="Calibri" w:eastAsia="Calibri" w:hAnsi="Calibri" w:cs="Calibri"/>
        </w:rPr>
        <w:t>FROM:</w:t>
      </w:r>
      <w:r w:rsidRPr="00A63097">
        <w:rPr>
          <w:rFonts w:ascii="Calibri" w:eastAsia="Calibri" w:hAnsi="Calibri" w:cs="Calibri"/>
        </w:rPr>
        <w:tab/>
        <w:t>Eric Kolchinsky, Director, NAIC Structured Securities Group (SSG) and Capital Markets Bureau</w:t>
      </w:r>
      <w:r w:rsidRPr="00A63097">
        <w:rPr>
          <w:rFonts w:ascii="Calibri" w:eastAsia="Calibri" w:hAnsi="Calibri" w:cs="Calibri"/>
        </w:rPr>
        <w:br/>
        <w:t>Charles A. Therriault, Director, NAIC Securities Valuation Office (SVO)</w:t>
      </w:r>
    </w:p>
    <w:p w14:paraId="52FEA4E7" w14:textId="691A0C4A" w:rsidR="00A63097" w:rsidRPr="00A63097" w:rsidRDefault="00A63097" w:rsidP="00A63097">
      <w:pPr>
        <w:spacing w:after="160" w:line="280" w:lineRule="exact"/>
        <w:ind w:left="720" w:hanging="720"/>
        <w:rPr>
          <w:rFonts w:ascii="Calibri" w:eastAsia="Calibri" w:hAnsi="Calibri" w:cs="Calibri"/>
        </w:rPr>
      </w:pPr>
      <w:r w:rsidRPr="00A63097">
        <w:rPr>
          <w:rFonts w:ascii="Calibri" w:eastAsia="Calibri" w:hAnsi="Calibri" w:cs="Calibri"/>
        </w:rPr>
        <w:t>RE:</w:t>
      </w:r>
      <w:r w:rsidRPr="00A6309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Proposed Methodology for Modelling CLOs</w:t>
      </w:r>
    </w:p>
    <w:p w14:paraId="0E090551" w14:textId="1A5ED9FF" w:rsidR="00A63097" w:rsidRPr="00A63097" w:rsidRDefault="00A63097" w:rsidP="00A63097">
      <w:pPr>
        <w:pBdr>
          <w:bottom w:val="single" w:sz="4" w:space="1" w:color="auto"/>
        </w:pBdr>
        <w:spacing w:after="160" w:line="280" w:lineRule="exact"/>
        <w:rPr>
          <w:rFonts w:ascii="Garamond" w:eastAsia="Calibri" w:hAnsi="Garamond" w:cs="Calibri"/>
        </w:rPr>
      </w:pPr>
      <w:r w:rsidRPr="00A63097">
        <w:rPr>
          <w:rFonts w:ascii="Calibri" w:eastAsia="Calibri" w:hAnsi="Calibri" w:cs="Calibri"/>
        </w:rPr>
        <w:t>DATE:</w:t>
      </w:r>
      <w:r w:rsidRPr="00A6309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December 12</w:t>
      </w:r>
      <w:r w:rsidRPr="00A63097">
        <w:rPr>
          <w:rFonts w:ascii="Calibri" w:eastAsia="Calibri" w:hAnsi="Calibri" w:cs="Calibri"/>
        </w:rPr>
        <w:t>, 2022</w:t>
      </w:r>
      <w:r w:rsidRPr="00A63097">
        <w:rPr>
          <w:rFonts w:ascii="Garamond" w:eastAsia="Calibri" w:hAnsi="Garamond" w:cs="Calibri"/>
        </w:rPr>
        <w:tab/>
      </w:r>
    </w:p>
    <w:p w14:paraId="7D9A6FC6" w14:textId="25EF8D0C" w:rsidR="00E81FF7" w:rsidRPr="00923224" w:rsidRDefault="00A63097" w:rsidP="00A63097">
      <w:pPr>
        <w:spacing w:after="160" w:line="259" w:lineRule="auto"/>
        <w:jc w:val="both"/>
        <w:rPr>
          <w:rFonts w:ascii="Calibri" w:eastAsia="Calibri" w:hAnsi="Calibri" w:cs="Arial"/>
        </w:rPr>
      </w:pPr>
      <w:r w:rsidRPr="00A63097">
        <w:rPr>
          <w:rFonts w:ascii="Calibri" w:eastAsia="Calibri" w:hAnsi="Calibri" w:cs="Arial"/>
          <w:b/>
          <w:bCs/>
        </w:rPr>
        <w:t>Summary</w:t>
      </w:r>
      <w:r w:rsidRPr="00A63097">
        <w:rPr>
          <w:rFonts w:ascii="Calibri" w:eastAsia="Calibri" w:hAnsi="Calibri" w:cs="Arial"/>
        </w:rPr>
        <w:t xml:space="preserve"> – A collateralized loan obligation (CLO) is type of structured security backed by a pool of debt, typically corporate loans with low credit ratings.  </w:t>
      </w:r>
      <w:r w:rsidR="009778D6" w:rsidRPr="00923224">
        <w:rPr>
          <w:rFonts w:ascii="Calibri" w:eastAsia="Calibri" w:hAnsi="Calibri" w:cs="Arial"/>
        </w:rPr>
        <w:t xml:space="preserve">During the Summer National Meeting </w:t>
      </w:r>
      <w:r w:rsidR="004A6214">
        <w:rPr>
          <w:rFonts w:ascii="Calibri" w:eastAsia="Calibri" w:hAnsi="Calibri" w:cs="Arial"/>
        </w:rPr>
        <w:t>the Valuation of Securities (E) Task Force (</w:t>
      </w:r>
      <w:r w:rsidR="00C71AF2" w:rsidRPr="00923224">
        <w:rPr>
          <w:rFonts w:ascii="Calibri" w:eastAsia="Calibri" w:hAnsi="Calibri" w:cs="Arial"/>
        </w:rPr>
        <w:t>VOS</w:t>
      </w:r>
      <w:r w:rsidR="004A6214">
        <w:rPr>
          <w:rFonts w:ascii="Calibri" w:eastAsia="Calibri" w:hAnsi="Calibri" w:cs="Arial"/>
        </w:rPr>
        <w:t>)</w:t>
      </w:r>
      <w:r w:rsidR="00C71AF2" w:rsidRPr="00923224">
        <w:rPr>
          <w:rFonts w:ascii="Calibri" w:eastAsia="Calibri" w:hAnsi="Calibri" w:cs="Arial"/>
        </w:rPr>
        <w:t xml:space="preserve"> exposed a proposal to have SSG model CLOs</w:t>
      </w:r>
      <w:r w:rsidR="006565E9" w:rsidRPr="00923224">
        <w:rPr>
          <w:rFonts w:ascii="Calibri" w:eastAsia="Calibri" w:hAnsi="Calibri" w:cs="Arial"/>
        </w:rPr>
        <w:t>.</w:t>
      </w:r>
    </w:p>
    <w:p w14:paraId="1FCB89CC" w14:textId="77777777" w:rsidR="00981006" w:rsidRPr="00A63097" w:rsidRDefault="00981006" w:rsidP="00A63097">
      <w:pPr>
        <w:spacing w:after="160" w:line="259" w:lineRule="auto"/>
        <w:jc w:val="both"/>
        <w:rPr>
          <w:rFonts w:ascii="Calibri" w:eastAsia="Calibri" w:hAnsi="Calibri" w:cs="Arial"/>
        </w:rPr>
      </w:pPr>
    </w:p>
    <w:p w14:paraId="0FE06423" w14:textId="7AC5BE23" w:rsidR="00A63097" w:rsidRPr="00923224" w:rsidRDefault="00A63097" w:rsidP="00A63097">
      <w:pPr>
        <w:spacing w:after="160" w:line="259" w:lineRule="auto"/>
        <w:jc w:val="both"/>
        <w:rPr>
          <w:rFonts w:ascii="Calibri" w:eastAsia="Calibri" w:hAnsi="Calibri" w:cs="Arial"/>
        </w:rPr>
      </w:pPr>
      <w:r w:rsidRPr="00923224">
        <w:rPr>
          <w:rFonts w:ascii="Calibri" w:eastAsia="Calibri" w:hAnsi="Calibri" w:cs="Arial"/>
          <w:b/>
          <w:bCs/>
        </w:rPr>
        <w:t>Methodology Recommendation</w:t>
      </w:r>
      <w:r w:rsidRPr="00A63097">
        <w:rPr>
          <w:rFonts w:ascii="Calibri" w:eastAsia="Calibri" w:hAnsi="Calibri" w:cs="Arial"/>
        </w:rPr>
        <w:t xml:space="preserve"> – </w:t>
      </w:r>
      <w:r w:rsidRPr="00923224">
        <w:rPr>
          <w:rFonts w:ascii="Calibri" w:eastAsia="Calibri" w:hAnsi="Calibri" w:cs="Arial"/>
        </w:rPr>
        <w:t xml:space="preserve">Pending the decision of VOS regarding the financial modeling of CLOs as well as </w:t>
      </w:r>
      <w:r w:rsidR="004A6214">
        <w:rPr>
          <w:rFonts w:ascii="Calibri" w:eastAsia="Calibri" w:hAnsi="Calibri" w:cs="Arial"/>
        </w:rPr>
        <w:t xml:space="preserve">the </w:t>
      </w:r>
      <w:r w:rsidRPr="00A63097">
        <w:rPr>
          <w:rFonts w:ascii="Calibri" w:eastAsia="Calibri" w:hAnsi="Calibri" w:cs="Arial"/>
        </w:rPr>
        <w:t>Risk-Based Capital Investment Risk and Evaluation (E) Working Group (RBCIREWG)</w:t>
      </w:r>
      <w:r w:rsidRPr="00923224">
        <w:rPr>
          <w:rFonts w:ascii="Calibri" w:eastAsia="Calibri" w:hAnsi="Calibri" w:cs="Arial"/>
        </w:rPr>
        <w:t xml:space="preserve"> decision with respect to the addition of higher capital charges, SSG has been asked to expose the methodology which would be used to model CLOs.</w:t>
      </w:r>
    </w:p>
    <w:p w14:paraId="2B78BA7D" w14:textId="16DC9E5E" w:rsidR="00A63097" w:rsidRPr="00923224" w:rsidRDefault="00A63097" w:rsidP="00284088">
      <w:pPr>
        <w:tabs>
          <w:tab w:val="left" w:pos="5960"/>
        </w:tabs>
        <w:spacing w:after="160" w:line="259" w:lineRule="auto"/>
        <w:jc w:val="both"/>
        <w:rPr>
          <w:rFonts w:ascii="Calibri" w:eastAsia="Calibri" w:hAnsi="Calibri" w:cs="Arial"/>
        </w:rPr>
      </w:pPr>
      <w:r w:rsidRPr="00923224">
        <w:rPr>
          <w:rFonts w:ascii="Calibri" w:eastAsia="Calibri" w:hAnsi="Calibri" w:cs="Arial"/>
        </w:rPr>
        <w:t xml:space="preserve">The methodology presented </w:t>
      </w:r>
      <w:r w:rsidR="00284088" w:rsidRPr="00923224">
        <w:rPr>
          <w:rFonts w:ascii="Calibri" w:eastAsia="Calibri" w:hAnsi="Calibri" w:cs="Arial"/>
        </w:rPr>
        <w:t xml:space="preserve">in Annex A hereto, is based on SSG’s annual </w:t>
      </w:r>
      <w:r w:rsidR="004A6214">
        <w:rPr>
          <w:rFonts w:ascii="Calibri" w:eastAsia="Calibri" w:hAnsi="Calibri" w:cs="Arial"/>
        </w:rPr>
        <w:t xml:space="preserve">CLO </w:t>
      </w:r>
      <w:r w:rsidR="00284088" w:rsidRPr="00923224">
        <w:rPr>
          <w:rFonts w:ascii="Calibri" w:eastAsia="Calibri" w:hAnsi="Calibri" w:cs="Arial"/>
        </w:rPr>
        <w:t xml:space="preserve">stress tests.  Critically, it excludes the Scenarios to be </w:t>
      </w:r>
      <w:r w:rsidR="00E81FF7" w:rsidRPr="00923224">
        <w:rPr>
          <w:rFonts w:ascii="Calibri" w:eastAsia="Calibri" w:hAnsi="Calibri" w:cs="Arial"/>
        </w:rPr>
        <w:t xml:space="preserve">used in the process.  SSG believes that the discussion of the Scenarios is expected to be more in depth and require more time once the methodology is agreed upon.  </w:t>
      </w:r>
    </w:p>
    <w:p w14:paraId="65D94068" w14:textId="33079BEB" w:rsidR="00E81FF7" w:rsidRPr="00923224" w:rsidRDefault="00E81FF7" w:rsidP="00284088">
      <w:pPr>
        <w:tabs>
          <w:tab w:val="left" w:pos="5960"/>
        </w:tabs>
        <w:spacing w:after="160" w:line="259" w:lineRule="auto"/>
        <w:jc w:val="both"/>
        <w:rPr>
          <w:rFonts w:ascii="Calibri" w:eastAsia="Calibri" w:hAnsi="Calibri" w:cs="Arial"/>
        </w:rPr>
      </w:pPr>
      <w:r w:rsidRPr="00923224">
        <w:rPr>
          <w:rFonts w:ascii="Calibri" w:eastAsia="Calibri" w:hAnsi="Calibri" w:cs="Arial"/>
        </w:rPr>
        <w:t>The assumptions presented here cover the mechanics of the modeling process</w:t>
      </w:r>
      <w:r w:rsidR="00981006" w:rsidRPr="00923224">
        <w:rPr>
          <w:rFonts w:ascii="Calibri" w:eastAsia="Calibri" w:hAnsi="Calibri" w:cs="Arial"/>
        </w:rPr>
        <w:t xml:space="preserve"> and cash flow</w:t>
      </w:r>
      <w:r w:rsidR="00923224">
        <w:rPr>
          <w:rFonts w:ascii="Calibri" w:eastAsia="Calibri" w:hAnsi="Calibri" w:cs="Arial"/>
        </w:rPr>
        <w:t>.</w:t>
      </w:r>
      <w:r w:rsidR="00981006" w:rsidRPr="00923224">
        <w:rPr>
          <w:rFonts w:ascii="Calibri" w:eastAsia="Calibri" w:hAnsi="Calibri" w:cs="Arial"/>
        </w:rPr>
        <w:t xml:space="preserve">  </w:t>
      </w:r>
      <w:r w:rsidR="00923224">
        <w:rPr>
          <w:rFonts w:ascii="Calibri" w:eastAsia="Calibri" w:hAnsi="Calibri" w:cs="Arial"/>
        </w:rPr>
        <w:t xml:space="preserve">A consensus on these assumptions will allow </w:t>
      </w:r>
      <w:r w:rsidR="00F23F69">
        <w:rPr>
          <w:rFonts w:ascii="Calibri" w:eastAsia="Calibri" w:hAnsi="Calibri" w:cs="Arial"/>
        </w:rPr>
        <w:t xml:space="preserve">a more cogent discussion of the </w:t>
      </w:r>
      <w:r w:rsidR="00315D32">
        <w:rPr>
          <w:rFonts w:ascii="Calibri" w:eastAsia="Calibri" w:hAnsi="Calibri" w:cs="Arial"/>
        </w:rPr>
        <w:t>Scenarios and their impact.</w:t>
      </w:r>
    </w:p>
    <w:p w14:paraId="746CF697" w14:textId="49B1AA6D" w:rsidR="005E3355" w:rsidRPr="00923224" w:rsidRDefault="005E3355" w:rsidP="00284088">
      <w:pPr>
        <w:tabs>
          <w:tab w:val="left" w:pos="5960"/>
        </w:tabs>
        <w:spacing w:after="160" w:line="259" w:lineRule="auto"/>
        <w:jc w:val="both"/>
        <w:rPr>
          <w:rFonts w:ascii="Calibri" w:eastAsia="Calibri" w:hAnsi="Calibri" w:cs="Arial"/>
        </w:rPr>
      </w:pPr>
    </w:p>
    <w:p w14:paraId="3FE3F63B" w14:textId="206D9026" w:rsidR="005E3355" w:rsidRPr="00923224" w:rsidRDefault="005E3355" w:rsidP="00284088">
      <w:pPr>
        <w:tabs>
          <w:tab w:val="left" w:pos="5960"/>
        </w:tabs>
        <w:spacing w:after="160" w:line="259" w:lineRule="auto"/>
        <w:jc w:val="both"/>
        <w:rPr>
          <w:rFonts w:ascii="Calibri" w:eastAsia="Calibri" w:hAnsi="Calibri" w:cs="Arial"/>
        </w:rPr>
      </w:pPr>
      <w:r w:rsidRPr="00923224">
        <w:rPr>
          <w:rFonts w:ascii="Calibri" w:eastAsia="Calibri" w:hAnsi="Calibri" w:cs="Arial"/>
          <w:b/>
          <w:bCs/>
        </w:rPr>
        <w:t>Questions Posed</w:t>
      </w:r>
      <w:r w:rsidR="00315D32">
        <w:rPr>
          <w:rFonts w:ascii="Calibri" w:eastAsia="Calibri" w:hAnsi="Calibri" w:cs="Arial"/>
          <w:b/>
          <w:bCs/>
        </w:rPr>
        <w:t xml:space="preserve"> to Interested Parties</w:t>
      </w:r>
      <w:r w:rsidR="007317F5" w:rsidRPr="00923224">
        <w:rPr>
          <w:rFonts w:ascii="Calibri" w:eastAsia="Calibri" w:hAnsi="Calibri" w:cs="Arial"/>
        </w:rPr>
        <w:t>:</w:t>
      </w:r>
    </w:p>
    <w:p w14:paraId="59CC545A" w14:textId="5D015A78" w:rsidR="00A63097" w:rsidRPr="00923224" w:rsidRDefault="007317F5" w:rsidP="007317F5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t xml:space="preserve">Are there any other Assumptions (other than Default </w:t>
      </w:r>
      <w:r w:rsidR="00426E6B" w:rsidRPr="00923224">
        <w:rPr>
          <w:rFonts w:ascii="Calibri" w:eastAsia="Calibri" w:hAnsi="Calibri" w:cs="Arial"/>
          <w:sz w:val="22"/>
          <w:szCs w:val="22"/>
        </w:rPr>
        <w:t>/ Recovery Rate</w:t>
      </w:r>
      <w:r w:rsidR="00A16699" w:rsidRPr="00923224">
        <w:rPr>
          <w:rFonts w:ascii="Calibri" w:eastAsia="Calibri" w:hAnsi="Calibri" w:cs="Arial"/>
          <w:sz w:val="22"/>
          <w:szCs w:val="22"/>
        </w:rPr>
        <w:t>)</w:t>
      </w:r>
      <w:r w:rsidR="00426E6B" w:rsidRPr="00923224">
        <w:rPr>
          <w:rFonts w:ascii="Calibri" w:eastAsia="Calibri" w:hAnsi="Calibri" w:cs="Arial"/>
          <w:sz w:val="22"/>
          <w:szCs w:val="22"/>
        </w:rPr>
        <w:t xml:space="preserve"> that will allow market participants to completely replicate the work of NAIC for </w:t>
      </w:r>
      <w:r w:rsidR="004A6214" w:rsidRPr="6BF621A5">
        <w:rPr>
          <w:rFonts w:asciiTheme="minorHAnsi" w:hAnsiTheme="minorHAnsi" w:cstheme="minorBidi"/>
          <w:sz w:val="22"/>
          <w:szCs w:val="22"/>
        </w:rPr>
        <w:t>broadly syndicated loan</w:t>
      </w:r>
      <w:r w:rsidR="00426E6B" w:rsidRPr="00923224">
        <w:rPr>
          <w:rFonts w:ascii="Calibri" w:eastAsia="Calibri" w:hAnsi="Calibri" w:cs="Arial"/>
          <w:sz w:val="22"/>
          <w:szCs w:val="22"/>
        </w:rPr>
        <w:t xml:space="preserve"> CLOs?</w:t>
      </w:r>
    </w:p>
    <w:p w14:paraId="3669638A" w14:textId="2B012153" w:rsidR="00906698" w:rsidRPr="00923224" w:rsidRDefault="00A16699" w:rsidP="001A6B7E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t xml:space="preserve">Are these Assumptions reasonable?  Please consider that the </w:t>
      </w:r>
      <w:r w:rsidR="0009558E" w:rsidRPr="00923224">
        <w:rPr>
          <w:rFonts w:ascii="Calibri" w:eastAsia="Calibri" w:hAnsi="Calibri" w:cs="Arial"/>
          <w:sz w:val="22"/>
          <w:szCs w:val="22"/>
        </w:rPr>
        <w:t xml:space="preserve">Default and Recovery Rate Assumptions will come later and that </w:t>
      </w:r>
      <w:r w:rsidR="007A491C" w:rsidRPr="00923224">
        <w:rPr>
          <w:rFonts w:ascii="Calibri" w:eastAsia="Calibri" w:hAnsi="Calibri" w:cs="Arial"/>
          <w:sz w:val="22"/>
          <w:szCs w:val="22"/>
        </w:rPr>
        <w:t xml:space="preserve">there will </w:t>
      </w:r>
      <w:r w:rsidR="00062290">
        <w:rPr>
          <w:rFonts w:ascii="Calibri" w:eastAsia="Calibri" w:hAnsi="Calibri" w:cs="Arial"/>
          <w:sz w:val="22"/>
          <w:szCs w:val="22"/>
        </w:rPr>
        <w:t xml:space="preserve">be </w:t>
      </w:r>
      <w:r w:rsidR="004A25A2" w:rsidRPr="00923224">
        <w:rPr>
          <w:rFonts w:ascii="Calibri" w:eastAsia="Calibri" w:hAnsi="Calibri" w:cs="Arial"/>
          <w:sz w:val="22"/>
          <w:szCs w:val="22"/>
        </w:rPr>
        <w:t xml:space="preserve">ample opportunity to comment on how these perform on actual </w:t>
      </w:r>
      <w:r w:rsidR="009273EC" w:rsidRPr="00923224">
        <w:rPr>
          <w:rFonts w:ascii="Calibri" w:eastAsia="Calibri" w:hAnsi="Calibri" w:cs="Arial"/>
          <w:sz w:val="22"/>
          <w:szCs w:val="22"/>
        </w:rPr>
        <w:t xml:space="preserve">CLOs replicated by market participants.  </w:t>
      </w:r>
    </w:p>
    <w:p w14:paraId="79C95787" w14:textId="3420029E" w:rsidR="00780837" w:rsidRPr="00923224" w:rsidRDefault="00A27CFE" w:rsidP="00780837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t xml:space="preserve">Any other issues that you wish to bring to </w:t>
      </w:r>
      <w:r w:rsidR="001A6B7E" w:rsidRPr="00923224">
        <w:rPr>
          <w:rFonts w:ascii="Calibri" w:eastAsia="Calibri" w:hAnsi="Calibri" w:cs="Arial"/>
          <w:sz w:val="22"/>
          <w:szCs w:val="22"/>
        </w:rPr>
        <w:t>our attention.</w:t>
      </w:r>
    </w:p>
    <w:p w14:paraId="133D6808" w14:textId="35CCA82A" w:rsidR="001A6B7E" w:rsidRPr="00923224" w:rsidRDefault="001A6B7E" w:rsidP="001A6B7E">
      <w:pPr>
        <w:pStyle w:val="ListParagraph"/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</w:p>
    <w:p w14:paraId="74917CE4" w14:textId="63E9F24E" w:rsidR="001A6B7E" w:rsidRPr="00923224" w:rsidRDefault="001A6B7E" w:rsidP="001A6B7E">
      <w:pPr>
        <w:spacing w:after="160" w:line="259" w:lineRule="auto"/>
        <w:jc w:val="both"/>
        <w:rPr>
          <w:rFonts w:ascii="Calibri" w:eastAsia="Calibri" w:hAnsi="Calibri" w:cs="Arial"/>
        </w:rPr>
      </w:pPr>
      <w:r w:rsidRPr="00923224">
        <w:rPr>
          <w:rFonts w:ascii="Calibri" w:eastAsia="Calibri" w:hAnsi="Calibri" w:cs="Arial"/>
        </w:rPr>
        <w:t xml:space="preserve">For any alternative assumptions </w:t>
      </w:r>
      <w:r w:rsidR="009778D6" w:rsidRPr="00923224">
        <w:rPr>
          <w:rFonts w:ascii="Calibri" w:eastAsia="Calibri" w:hAnsi="Calibri" w:cs="Arial"/>
        </w:rPr>
        <w:t xml:space="preserve">or assumptions deemed unreasonable, </w:t>
      </w:r>
      <w:r w:rsidRPr="00923224">
        <w:rPr>
          <w:rFonts w:ascii="Calibri" w:eastAsia="Calibri" w:hAnsi="Calibri" w:cs="Arial"/>
        </w:rPr>
        <w:t>please provide the following:</w:t>
      </w:r>
    </w:p>
    <w:p w14:paraId="0C7132B0" w14:textId="77777777" w:rsidR="001A6B7E" w:rsidRPr="00923224" w:rsidRDefault="001A6B7E" w:rsidP="001A6B7E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t>An actionable alternative which can be replicated by the NAIC and market participants.</w:t>
      </w:r>
    </w:p>
    <w:p w14:paraId="6DB24727" w14:textId="4724D08A" w:rsidR="001A6B7E" w:rsidRPr="00923224" w:rsidRDefault="001A6B7E" w:rsidP="001A6B7E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t xml:space="preserve">A quantitative justification for such an alternative based on all available historical date (not just the 2011-2019 </w:t>
      </w:r>
      <w:r w:rsidR="00221A31">
        <w:rPr>
          <w:rFonts w:ascii="Calibri" w:eastAsia="Calibri" w:hAnsi="Calibri" w:cs="Arial"/>
          <w:sz w:val="22"/>
          <w:szCs w:val="22"/>
        </w:rPr>
        <w:t xml:space="preserve">economic </w:t>
      </w:r>
      <w:r w:rsidRPr="00923224">
        <w:rPr>
          <w:rFonts w:ascii="Calibri" w:eastAsia="Calibri" w:hAnsi="Calibri" w:cs="Arial"/>
          <w:sz w:val="22"/>
          <w:szCs w:val="22"/>
        </w:rPr>
        <w:t>expansion</w:t>
      </w:r>
      <w:r w:rsidR="00221A31">
        <w:rPr>
          <w:rFonts w:ascii="Calibri" w:eastAsia="Calibri" w:hAnsi="Calibri" w:cs="Arial"/>
          <w:sz w:val="22"/>
          <w:szCs w:val="22"/>
        </w:rPr>
        <w:t>,</w:t>
      </w:r>
      <w:r w:rsidRPr="00923224">
        <w:rPr>
          <w:rFonts w:ascii="Calibri" w:eastAsia="Calibri" w:hAnsi="Calibri" w:cs="Arial"/>
          <w:sz w:val="22"/>
          <w:szCs w:val="22"/>
        </w:rPr>
        <w:t xml:space="preserve"> for example).</w:t>
      </w:r>
    </w:p>
    <w:p w14:paraId="6B608C5D" w14:textId="3BF87B5A" w:rsidR="001A6B7E" w:rsidRPr="00923224" w:rsidRDefault="001A6B7E" w:rsidP="001A6B7E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Calibri" w:eastAsia="Calibri" w:hAnsi="Calibri" w:cs="Arial"/>
          <w:sz w:val="22"/>
          <w:szCs w:val="22"/>
        </w:rPr>
      </w:pPr>
      <w:r w:rsidRPr="00923224">
        <w:rPr>
          <w:rFonts w:ascii="Calibri" w:eastAsia="Calibri" w:hAnsi="Calibri" w:cs="Arial"/>
          <w:sz w:val="22"/>
          <w:szCs w:val="22"/>
        </w:rPr>
        <w:lastRenderedPageBreak/>
        <w:t xml:space="preserve">References to whether such alternative is used by rating agencies in their public published methodologies and whether </w:t>
      </w:r>
      <w:r w:rsidR="00062290">
        <w:rPr>
          <w:rFonts w:ascii="Calibri" w:eastAsia="Calibri" w:hAnsi="Calibri" w:cs="Arial"/>
          <w:sz w:val="22"/>
          <w:szCs w:val="22"/>
        </w:rPr>
        <w:t>it</w:t>
      </w:r>
      <w:r w:rsidR="00062290" w:rsidRPr="00923224">
        <w:rPr>
          <w:rFonts w:ascii="Calibri" w:eastAsia="Calibri" w:hAnsi="Calibri" w:cs="Arial"/>
          <w:sz w:val="22"/>
          <w:szCs w:val="22"/>
        </w:rPr>
        <w:t xml:space="preserve"> </w:t>
      </w:r>
      <w:r w:rsidRPr="00923224">
        <w:rPr>
          <w:rFonts w:ascii="Calibri" w:eastAsia="Calibri" w:hAnsi="Calibri" w:cs="Arial"/>
          <w:sz w:val="22"/>
          <w:szCs w:val="22"/>
        </w:rPr>
        <w:t xml:space="preserve">contemplates a trade-off (for example between the timing of recovery and the amount recovered).  Specific citations to publications will be greatly appreciated.  </w:t>
      </w:r>
    </w:p>
    <w:p w14:paraId="075C2203" w14:textId="77777777" w:rsidR="001A6B7E" w:rsidRPr="007317F5" w:rsidRDefault="001A6B7E" w:rsidP="001A6B7E">
      <w:pPr>
        <w:pStyle w:val="ListParagraph"/>
        <w:spacing w:after="160" w:line="259" w:lineRule="auto"/>
        <w:ind w:left="0"/>
        <w:jc w:val="both"/>
        <w:rPr>
          <w:rFonts w:ascii="Calibri" w:eastAsia="Calibri" w:hAnsi="Calibri" w:cs="Arial"/>
        </w:rPr>
      </w:pPr>
    </w:p>
    <w:p w14:paraId="6FB122D1" w14:textId="5D80485D" w:rsidR="00C13164" w:rsidRDefault="00C13164" w:rsidP="00A63097">
      <w:pPr>
        <w:rPr>
          <w:rFonts w:ascii="AvenirNext LT Pro Regular" w:hAnsi="AvenirNext LT Pro Regular"/>
        </w:rPr>
      </w:pPr>
    </w:p>
    <w:p w14:paraId="1D6500B0" w14:textId="46D81ECD" w:rsidR="00472B58" w:rsidRDefault="00472B58" w:rsidP="00A63097">
      <w:pPr>
        <w:rPr>
          <w:rFonts w:ascii="AvenirNext LT Pro Regular" w:hAnsi="AvenirNext LT Pro Regular"/>
        </w:rPr>
      </w:pPr>
    </w:p>
    <w:p w14:paraId="6C228785" w14:textId="03B5EC7C" w:rsidR="00472B58" w:rsidRDefault="00472B58" w:rsidP="00A63097">
      <w:pPr>
        <w:rPr>
          <w:rFonts w:ascii="AvenirNext LT Pro Regular" w:hAnsi="AvenirNext LT Pro Regular"/>
        </w:rPr>
      </w:pPr>
    </w:p>
    <w:p w14:paraId="753E0B90" w14:textId="684E8E31" w:rsidR="00472B58" w:rsidRDefault="00472B58" w:rsidP="00A63097">
      <w:pPr>
        <w:rPr>
          <w:rFonts w:ascii="AvenirNext LT Pro Regular" w:hAnsi="AvenirNext LT Pro Regular"/>
        </w:rPr>
      </w:pPr>
    </w:p>
    <w:p w14:paraId="28B1E9CF" w14:textId="4C637547" w:rsidR="00472B58" w:rsidRDefault="00472B58" w:rsidP="00A63097">
      <w:pPr>
        <w:rPr>
          <w:rFonts w:ascii="AvenirNext LT Pro Regular" w:hAnsi="AvenirNext LT Pro Regular"/>
        </w:rPr>
      </w:pPr>
    </w:p>
    <w:p w14:paraId="1E96FEC9" w14:textId="21B91E44" w:rsidR="00472B58" w:rsidRDefault="00472B58" w:rsidP="00A63097">
      <w:pPr>
        <w:rPr>
          <w:rFonts w:ascii="AvenirNext LT Pro Regular" w:hAnsi="AvenirNext LT Pro Regular"/>
        </w:rPr>
      </w:pPr>
    </w:p>
    <w:p w14:paraId="55CAE7D9" w14:textId="642D652B" w:rsidR="00472B58" w:rsidRDefault="00472B58" w:rsidP="00A63097">
      <w:pPr>
        <w:rPr>
          <w:rFonts w:ascii="AvenirNext LT Pro Regular" w:hAnsi="AvenirNext LT Pro Regular"/>
        </w:rPr>
      </w:pPr>
    </w:p>
    <w:p w14:paraId="3C8F0DB2" w14:textId="570D2ECB" w:rsidR="00472B58" w:rsidRDefault="00472B58" w:rsidP="00A63097">
      <w:pPr>
        <w:rPr>
          <w:rFonts w:ascii="AvenirNext LT Pro Regular" w:hAnsi="AvenirNext LT Pro Regular"/>
        </w:rPr>
      </w:pPr>
    </w:p>
    <w:p w14:paraId="2FC90660" w14:textId="4E06688A" w:rsidR="00472B58" w:rsidRDefault="00472B58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br w:type="page"/>
      </w:r>
    </w:p>
    <w:p w14:paraId="66E563E7" w14:textId="17D1950F" w:rsidR="00472B58" w:rsidRDefault="00472B58" w:rsidP="00A63097">
      <w:pPr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lastRenderedPageBreak/>
        <w:t>ANNEX A</w:t>
      </w:r>
    </w:p>
    <w:p w14:paraId="11B52744" w14:textId="77777777" w:rsidR="00472B58" w:rsidRDefault="00472B58" w:rsidP="00472B58">
      <w:pPr>
        <w:spacing w:after="0"/>
        <w:jc w:val="center"/>
        <w:rPr>
          <w:b/>
          <w:bCs/>
          <w:color w:val="365F91" w:themeColor="accent1" w:themeShade="BF"/>
          <w:sz w:val="28"/>
          <w:szCs w:val="28"/>
        </w:rPr>
      </w:pPr>
      <w:bookmarkStart w:id="0" w:name="_Int_rroOuKJw"/>
      <w:r w:rsidRPr="0FC0AE6C">
        <w:rPr>
          <w:b/>
          <w:bCs/>
          <w:color w:val="365F91" w:themeColor="accent1" w:themeShade="BF"/>
          <w:sz w:val="28"/>
          <w:szCs w:val="28"/>
        </w:rPr>
        <w:t>NAIC Collateralized Loan Obligation (CLO) Stress Tests Methodology</w:t>
      </w:r>
      <w:bookmarkEnd w:id="0"/>
    </w:p>
    <w:p w14:paraId="6DB0285A" w14:textId="77777777" w:rsidR="00472B58" w:rsidRDefault="00472B58" w:rsidP="00472B58">
      <w:pPr>
        <w:spacing w:after="0"/>
        <w:jc w:val="center"/>
        <w:rPr>
          <w:b/>
          <w:bCs/>
          <w:color w:val="365F91" w:themeColor="accent1" w:themeShade="BF"/>
          <w:sz w:val="28"/>
          <w:szCs w:val="28"/>
        </w:rPr>
      </w:pPr>
    </w:p>
    <w:p w14:paraId="3FA83CBC" w14:textId="77777777" w:rsidR="00472B58" w:rsidRPr="00F1332D" w:rsidRDefault="00472B58" w:rsidP="00472B58">
      <w:pPr>
        <w:spacing w:after="0"/>
        <w:rPr>
          <w:b/>
          <w:bCs/>
          <w:i/>
          <w:iCs/>
          <w:color w:val="365F91" w:themeColor="accent1" w:themeShade="BF"/>
        </w:rPr>
      </w:pPr>
      <w:r w:rsidRPr="00F1332D">
        <w:rPr>
          <w:b/>
          <w:bCs/>
          <w:i/>
          <w:iCs/>
          <w:color w:val="365F91" w:themeColor="accent1" w:themeShade="BF"/>
        </w:rPr>
        <w:t>Scope</w:t>
      </w:r>
    </w:p>
    <w:p w14:paraId="342EC7B9" w14:textId="50EEA6C2" w:rsidR="00472B58" w:rsidRPr="00AA50CD" w:rsidRDefault="00472B58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We </w:t>
      </w:r>
      <w:r w:rsidR="008C5AAB">
        <w:rPr>
          <w:rFonts w:asciiTheme="minorHAnsi" w:hAnsiTheme="minorHAnsi" w:cstheme="minorBidi"/>
          <w:sz w:val="22"/>
          <w:szCs w:val="22"/>
        </w:rPr>
        <w:t xml:space="preserve">will </w:t>
      </w:r>
      <w:r w:rsidRPr="6BF621A5">
        <w:rPr>
          <w:rFonts w:asciiTheme="minorHAnsi" w:hAnsiTheme="minorHAnsi" w:cstheme="minorBidi"/>
          <w:sz w:val="22"/>
          <w:szCs w:val="22"/>
        </w:rPr>
        <w:t>model all tranches of broadly syndicated loan CLOs held by U.S. insurance companies.</w:t>
      </w:r>
    </w:p>
    <w:p w14:paraId="01B0CC5E" w14:textId="5776DC3E" w:rsidR="00472B58" w:rsidRPr="00AA50CD" w:rsidRDefault="00BC4605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At this stage we will exclude</w:t>
      </w:r>
      <w:r w:rsidR="00472B58" w:rsidRPr="6BF621A5">
        <w:rPr>
          <w:rFonts w:asciiTheme="minorHAnsi" w:hAnsiTheme="minorHAnsi" w:cstheme="minorBidi"/>
          <w:sz w:val="22"/>
          <w:szCs w:val="22"/>
        </w:rPr>
        <w:t>:</w:t>
      </w:r>
    </w:p>
    <w:p w14:paraId="769CE28D" w14:textId="77777777" w:rsidR="00472B58" w:rsidRPr="00AA50C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Commercial real estate (CRE) CLOs – The risk is commercial real estate, and different assumptions are required.</w:t>
      </w:r>
    </w:p>
    <w:p w14:paraId="7BAC2219" w14:textId="765902D2" w:rsidR="00472B58" w:rsidRPr="00AA50C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Re-securitizations, asset-backed securities (ABS)</w:t>
      </w:r>
      <w:r w:rsidR="004A6214">
        <w:rPr>
          <w:rFonts w:asciiTheme="minorHAnsi" w:hAnsiTheme="minorHAnsi" w:cstheme="minorBidi"/>
          <w:sz w:val="22"/>
          <w:szCs w:val="22"/>
        </w:rPr>
        <w:t>,</w:t>
      </w:r>
      <w:r w:rsidRPr="6BF621A5">
        <w:rPr>
          <w:rFonts w:asciiTheme="minorHAnsi" w:hAnsiTheme="minorHAnsi" w:cstheme="minorBidi"/>
          <w:sz w:val="22"/>
          <w:szCs w:val="22"/>
        </w:rPr>
        <w:t xml:space="preserve"> collateralized debt obligations </w:t>
      </w:r>
      <w:r w:rsidR="004A6214">
        <w:rPr>
          <w:rFonts w:asciiTheme="minorHAnsi" w:hAnsiTheme="minorHAnsi" w:cstheme="minorBidi"/>
          <w:sz w:val="22"/>
          <w:szCs w:val="22"/>
        </w:rPr>
        <w:t>(</w:t>
      </w:r>
      <w:r w:rsidRPr="6BF621A5">
        <w:rPr>
          <w:rFonts w:asciiTheme="minorHAnsi" w:hAnsiTheme="minorHAnsi" w:cstheme="minorBidi"/>
          <w:sz w:val="22"/>
          <w:szCs w:val="22"/>
        </w:rPr>
        <w:t>CDOs) and trust preferred securities (</w:t>
      </w:r>
      <w:proofErr w:type="spellStart"/>
      <w:r w:rsidRPr="6BF621A5">
        <w:rPr>
          <w:rFonts w:asciiTheme="minorHAnsi" w:hAnsiTheme="minorHAnsi" w:cstheme="minorBidi"/>
          <w:sz w:val="22"/>
          <w:szCs w:val="22"/>
        </w:rPr>
        <w:t>TruPS</w:t>
      </w:r>
      <w:proofErr w:type="spellEnd"/>
      <w:r w:rsidRPr="6BF621A5">
        <w:rPr>
          <w:rFonts w:asciiTheme="minorHAnsi" w:hAnsiTheme="minorHAnsi" w:cstheme="minorBidi"/>
          <w:sz w:val="22"/>
          <w:szCs w:val="22"/>
        </w:rPr>
        <w:t>) CDOs – They are out of scope.</w:t>
      </w:r>
    </w:p>
    <w:p w14:paraId="15A518FD" w14:textId="77777777" w:rsidR="00472B58" w:rsidRPr="00AA50C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Middle market CLOs – They are temporarily excluded, as the asset class requires specialized assumptions. We hope to return to these assets shortly.</w:t>
      </w:r>
    </w:p>
    <w:p w14:paraId="79BC57C8" w14:textId="75299415" w:rsidR="00472B58" w:rsidRPr="00AA50CD" w:rsidRDefault="00472B58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Another limitation </w:t>
      </w:r>
      <w:r w:rsidR="008C5AAB">
        <w:rPr>
          <w:rFonts w:asciiTheme="minorHAnsi" w:hAnsiTheme="minorHAnsi" w:cstheme="minorBidi"/>
          <w:sz w:val="22"/>
          <w:szCs w:val="22"/>
        </w:rPr>
        <w:t>is</w:t>
      </w:r>
      <w:r w:rsidRPr="6BF621A5">
        <w:rPr>
          <w:rFonts w:asciiTheme="minorHAnsi" w:hAnsiTheme="minorHAnsi" w:cstheme="minorBidi"/>
          <w:sz w:val="22"/>
          <w:szCs w:val="22"/>
        </w:rPr>
        <w:t xml:space="preserve"> the availability of the specific CLO via our third-party software vendor.</w:t>
      </w:r>
    </w:p>
    <w:p w14:paraId="4DB240A5" w14:textId="77777777" w:rsidR="00BC4605" w:rsidRDefault="00BC4605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</w:p>
    <w:p w14:paraId="4980847F" w14:textId="05EC1A1B" w:rsidR="00472B58" w:rsidRPr="00F1332D" w:rsidRDefault="00FF40E7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  <w:r>
        <w:rPr>
          <w:b/>
          <w:bCs/>
          <w:i/>
          <w:iCs/>
          <w:color w:val="365F91" w:themeColor="accent1" w:themeShade="BF"/>
        </w:rPr>
        <w:t>Givens</w:t>
      </w:r>
    </w:p>
    <w:p w14:paraId="6267EB41" w14:textId="185C7C9C" w:rsidR="00472B58" w:rsidRDefault="00FF40E7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These will be determined </w:t>
      </w:r>
      <w:r w:rsidR="000147BD">
        <w:rPr>
          <w:rFonts w:asciiTheme="minorHAnsi" w:hAnsiTheme="minorHAnsi" w:cstheme="minorBidi"/>
          <w:sz w:val="22"/>
          <w:szCs w:val="22"/>
        </w:rPr>
        <w:t>via the “</w:t>
      </w:r>
      <w:r w:rsidR="0066245B">
        <w:rPr>
          <w:rFonts w:asciiTheme="minorHAnsi" w:hAnsiTheme="minorHAnsi" w:cstheme="minorBidi"/>
          <w:sz w:val="22"/>
          <w:szCs w:val="22"/>
        </w:rPr>
        <w:t>Scenario</w:t>
      </w:r>
      <w:r w:rsidR="000147BD">
        <w:rPr>
          <w:rFonts w:asciiTheme="minorHAnsi" w:hAnsiTheme="minorHAnsi" w:cstheme="minorBidi"/>
          <w:sz w:val="22"/>
          <w:szCs w:val="22"/>
        </w:rPr>
        <w:t>”</w:t>
      </w:r>
      <w:r w:rsidR="0066245B">
        <w:rPr>
          <w:rFonts w:asciiTheme="minorHAnsi" w:hAnsiTheme="minorHAnsi" w:cstheme="minorBidi"/>
          <w:sz w:val="22"/>
          <w:szCs w:val="22"/>
        </w:rPr>
        <w:t xml:space="preserve"> portion of the process</w:t>
      </w:r>
      <w:r w:rsidR="000147BD">
        <w:rPr>
          <w:rFonts w:asciiTheme="minorHAnsi" w:hAnsiTheme="minorHAnsi" w:cstheme="minorBidi"/>
          <w:sz w:val="22"/>
          <w:szCs w:val="22"/>
        </w:rPr>
        <w:t xml:space="preserve"> following the setting of the methodology.</w:t>
      </w:r>
    </w:p>
    <w:p w14:paraId="67A443FD" w14:textId="2A877C4A" w:rsidR="00B54DC9" w:rsidRDefault="0066245B" w:rsidP="00B54DC9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Assume that the inputs are period</w:t>
      </w:r>
      <w:r w:rsidR="00B54DC9">
        <w:rPr>
          <w:rFonts w:asciiTheme="minorHAnsi" w:hAnsiTheme="minorHAnsi" w:cstheme="minorBidi"/>
          <w:sz w:val="22"/>
          <w:szCs w:val="22"/>
        </w:rPr>
        <w:t>ic “partial” default rates for each loan</w:t>
      </w:r>
      <w:r w:rsidR="00397453">
        <w:rPr>
          <w:rFonts w:asciiTheme="minorHAnsi" w:hAnsiTheme="minorHAnsi" w:cstheme="minorBidi"/>
          <w:sz w:val="22"/>
          <w:szCs w:val="22"/>
        </w:rPr>
        <w:t xml:space="preserve"> based on the current rating.</w:t>
      </w:r>
      <w:r w:rsidR="00B54DC9">
        <w:rPr>
          <w:rFonts w:asciiTheme="minorHAnsi" w:hAnsiTheme="minorHAnsi" w:cstheme="minorBidi"/>
          <w:sz w:val="22"/>
          <w:szCs w:val="22"/>
        </w:rPr>
        <w:t xml:space="preserve">  </w:t>
      </w:r>
    </w:p>
    <w:p w14:paraId="6827C98C" w14:textId="3482AFBD" w:rsidR="00B54DC9" w:rsidRPr="00B54DC9" w:rsidRDefault="00B54DC9" w:rsidP="00B54DC9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In addition, assume each loan has a </w:t>
      </w:r>
      <w:r w:rsidR="00397453">
        <w:rPr>
          <w:rFonts w:asciiTheme="minorHAnsi" w:hAnsiTheme="minorHAnsi" w:cstheme="minorBidi"/>
          <w:sz w:val="22"/>
          <w:szCs w:val="22"/>
        </w:rPr>
        <w:t>recovery rate</w:t>
      </w:r>
      <w:r w:rsidR="000147BD">
        <w:rPr>
          <w:rFonts w:asciiTheme="minorHAnsi" w:hAnsiTheme="minorHAnsi" w:cstheme="minorBidi"/>
          <w:sz w:val="22"/>
          <w:szCs w:val="22"/>
        </w:rPr>
        <w:t>, based on its seniority,</w:t>
      </w:r>
      <w:r w:rsidR="00397453">
        <w:rPr>
          <w:rFonts w:asciiTheme="minorHAnsi" w:hAnsiTheme="minorHAnsi" w:cstheme="minorBidi"/>
          <w:sz w:val="22"/>
          <w:szCs w:val="22"/>
        </w:rPr>
        <w:t xml:space="preserve"> for </w:t>
      </w:r>
      <w:r w:rsidR="00062290">
        <w:rPr>
          <w:rFonts w:asciiTheme="minorHAnsi" w:hAnsiTheme="minorHAnsi" w:cstheme="minorBidi"/>
          <w:sz w:val="22"/>
          <w:szCs w:val="22"/>
        </w:rPr>
        <w:t xml:space="preserve">that </w:t>
      </w:r>
      <w:r w:rsidR="00397453">
        <w:rPr>
          <w:rFonts w:asciiTheme="minorHAnsi" w:hAnsiTheme="minorHAnsi" w:cstheme="minorBidi"/>
          <w:sz w:val="22"/>
          <w:szCs w:val="22"/>
        </w:rPr>
        <w:t>period.</w:t>
      </w:r>
    </w:p>
    <w:p w14:paraId="18DBB0D7" w14:textId="77777777" w:rsidR="00472B58" w:rsidRPr="00397453" w:rsidRDefault="00472B58" w:rsidP="00397453">
      <w:pPr>
        <w:rPr>
          <w:rFonts w:cstheme="minorHAnsi"/>
        </w:rPr>
      </w:pPr>
    </w:p>
    <w:p w14:paraId="13235AB8" w14:textId="190A5C8D" w:rsidR="00472B58" w:rsidRPr="00507A1D" w:rsidRDefault="00472B58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  <w:r w:rsidRPr="00507A1D">
        <w:rPr>
          <w:b/>
          <w:bCs/>
          <w:i/>
          <w:iCs/>
          <w:color w:val="365F91" w:themeColor="accent1" w:themeShade="BF"/>
        </w:rPr>
        <w:t xml:space="preserve">Assigning </w:t>
      </w:r>
      <w:r w:rsidR="008C1506">
        <w:rPr>
          <w:b/>
          <w:bCs/>
          <w:i/>
          <w:iCs/>
          <w:color w:val="365F91" w:themeColor="accent1" w:themeShade="BF"/>
        </w:rPr>
        <w:t xml:space="preserve">Ratings </w:t>
      </w:r>
      <w:r w:rsidRPr="00507A1D">
        <w:rPr>
          <w:b/>
          <w:bCs/>
          <w:i/>
          <w:iCs/>
          <w:color w:val="365F91" w:themeColor="accent1" w:themeShade="BF"/>
        </w:rPr>
        <w:t>to Underlying Assets</w:t>
      </w:r>
    </w:p>
    <w:p w14:paraId="38581EB7" w14:textId="77777777" w:rsidR="00472B58" w:rsidRPr="00507A1D" w:rsidRDefault="00472B58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Historical default rates are reported at the </w:t>
      </w:r>
      <w:r w:rsidRPr="6BF621A5">
        <w:rPr>
          <w:rFonts w:asciiTheme="minorHAnsi" w:hAnsiTheme="minorHAnsi" w:cstheme="minorBidi"/>
          <w:b/>
          <w:bCs/>
          <w:sz w:val="22"/>
          <w:szCs w:val="22"/>
        </w:rPr>
        <w:t>issuer</w:t>
      </w:r>
      <w:r w:rsidRPr="6BF621A5">
        <w:rPr>
          <w:rFonts w:asciiTheme="minorHAnsi" w:hAnsiTheme="minorHAnsi" w:cstheme="minorBidi"/>
          <w:sz w:val="22"/>
          <w:szCs w:val="22"/>
        </w:rPr>
        <w:t xml:space="preserve"> level, while the debt instrument typically has an </w:t>
      </w:r>
      <w:r w:rsidRPr="6BF621A5">
        <w:rPr>
          <w:rFonts w:asciiTheme="minorHAnsi" w:hAnsiTheme="minorHAnsi" w:cstheme="minorBidi"/>
          <w:b/>
          <w:bCs/>
          <w:sz w:val="22"/>
          <w:szCs w:val="22"/>
        </w:rPr>
        <w:t>issue</w:t>
      </w:r>
      <w:r w:rsidRPr="6BF621A5">
        <w:rPr>
          <w:rFonts w:asciiTheme="minorHAnsi" w:hAnsiTheme="minorHAnsi" w:cstheme="minorBidi"/>
          <w:sz w:val="22"/>
          <w:szCs w:val="22"/>
        </w:rPr>
        <w:t xml:space="preserve"> rating, which may be different. The issuer rating is used to calibrate the default rate, while the issue rating influences the recovery rate.  </w:t>
      </w:r>
    </w:p>
    <w:p w14:paraId="279F12C5" w14:textId="51CD3605" w:rsidR="00472B58" w:rsidRPr="00507A1D" w:rsidRDefault="00472B58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We </w:t>
      </w:r>
      <w:r w:rsidR="00BE08CA">
        <w:rPr>
          <w:rFonts w:asciiTheme="minorHAnsi" w:hAnsiTheme="minorHAnsi" w:cstheme="minorBidi"/>
          <w:sz w:val="22"/>
          <w:szCs w:val="22"/>
        </w:rPr>
        <w:t>propose</w:t>
      </w:r>
      <w:r w:rsidRPr="6BF621A5">
        <w:rPr>
          <w:rFonts w:asciiTheme="minorHAnsi" w:hAnsiTheme="minorHAnsi" w:cstheme="minorBidi"/>
          <w:sz w:val="22"/>
          <w:szCs w:val="22"/>
        </w:rPr>
        <w:t xml:space="preserve"> the following logic: </w:t>
      </w:r>
    </w:p>
    <w:p w14:paraId="1C9FE390" w14:textId="1DD6998E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If an asset has an </w:t>
      </w:r>
      <w:r w:rsidRPr="6BF621A5">
        <w:rPr>
          <w:rFonts w:asciiTheme="minorHAnsi" w:hAnsiTheme="minorHAnsi" w:cstheme="minorBidi"/>
          <w:b/>
          <w:bCs/>
          <w:sz w:val="22"/>
          <w:szCs w:val="22"/>
        </w:rPr>
        <w:t>Issuer</w:t>
      </w:r>
      <w:r w:rsidRPr="6BF621A5">
        <w:rPr>
          <w:rFonts w:asciiTheme="minorHAnsi" w:hAnsiTheme="minorHAnsi" w:cstheme="minorBidi"/>
          <w:sz w:val="22"/>
          <w:szCs w:val="22"/>
        </w:rPr>
        <w:t xml:space="preserve"> </w:t>
      </w:r>
      <w:bookmarkStart w:id="1" w:name="_Hlk120609008"/>
      <w:r w:rsidRPr="6BF621A5">
        <w:rPr>
          <w:rFonts w:asciiTheme="minorHAnsi" w:hAnsiTheme="minorHAnsi" w:cstheme="minorBidi"/>
          <w:sz w:val="22"/>
          <w:szCs w:val="22"/>
        </w:rPr>
        <w:t xml:space="preserve">rating </w:t>
      </w:r>
      <w:r w:rsidR="00244259">
        <w:rPr>
          <w:rFonts w:asciiTheme="minorHAnsi" w:hAnsiTheme="minorHAnsi" w:cstheme="minorBidi"/>
          <w:sz w:val="22"/>
          <w:szCs w:val="22"/>
        </w:rPr>
        <w:t xml:space="preserve">available </w:t>
      </w:r>
      <w:r w:rsidR="00F16909">
        <w:rPr>
          <w:rFonts w:asciiTheme="minorHAnsi" w:hAnsiTheme="minorHAnsi" w:cstheme="minorBidi"/>
          <w:sz w:val="22"/>
          <w:szCs w:val="22"/>
        </w:rPr>
        <w:t xml:space="preserve">within our </w:t>
      </w:r>
      <w:proofErr w:type="gramStart"/>
      <w:r w:rsidR="00F16909">
        <w:rPr>
          <w:rFonts w:asciiTheme="minorHAnsi" w:hAnsiTheme="minorHAnsi" w:cstheme="minorBidi"/>
          <w:sz w:val="22"/>
          <w:szCs w:val="22"/>
        </w:rPr>
        <w:t>thi</w:t>
      </w:r>
      <w:r w:rsidR="003E26D4">
        <w:rPr>
          <w:rFonts w:asciiTheme="minorHAnsi" w:hAnsiTheme="minorHAnsi" w:cstheme="minorBidi"/>
          <w:sz w:val="22"/>
          <w:szCs w:val="22"/>
        </w:rPr>
        <w:t>rd party</w:t>
      </w:r>
      <w:proofErr w:type="gramEnd"/>
      <w:r w:rsidR="003E26D4">
        <w:rPr>
          <w:rFonts w:asciiTheme="minorHAnsi" w:hAnsiTheme="minorHAnsi" w:cstheme="minorBidi"/>
          <w:sz w:val="22"/>
          <w:szCs w:val="22"/>
        </w:rPr>
        <w:t xml:space="preserve"> software (generally those </w:t>
      </w:r>
      <w:r w:rsidRPr="6BF621A5">
        <w:rPr>
          <w:rFonts w:asciiTheme="minorHAnsi" w:hAnsiTheme="minorHAnsi" w:cstheme="minorBidi"/>
          <w:sz w:val="22"/>
          <w:szCs w:val="22"/>
        </w:rPr>
        <w:t>reported by Moody, Standard &amp; Poor’s (S&amp;P)</w:t>
      </w:r>
      <w:r w:rsidR="00063AA1">
        <w:rPr>
          <w:rFonts w:asciiTheme="minorHAnsi" w:hAnsiTheme="minorHAnsi" w:cstheme="minorBidi"/>
          <w:sz w:val="22"/>
          <w:szCs w:val="22"/>
        </w:rPr>
        <w:t xml:space="preserve"> or</w:t>
      </w:r>
      <w:r w:rsidRPr="6BF621A5">
        <w:rPr>
          <w:rFonts w:asciiTheme="minorHAnsi" w:hAnsiTheme="minorHAnsi" w:cstheme="minorBidi"/>
          <w:sz w:val="22"/>
          <w:szCs w:val="22"/>
        </w:rPr>
        <w:t xml:space="preserve"> Fitch</w:t>
      </w:r>
      <w:r w:rsidR="003E26D4">
        <w:rPr>
          <w:rFonts w:asciiTheme="minorHAnsi" w:hAnsiTheme="minorHAnsi" w:cstheme="minorBidi"/>
          <w:sz w:val="22"/>
          <w:szCs w:val="22"/>
        </w:rPr>
        <w:t>)</w:t>
      </w:r>
      <w:bookmarkEnd w:id="1"/>
      <w:r w:rsidRPr="6BF621A5">
        <w:rPr>
          <w:rFonts w:asciiTheme="minorHAnsi" w:hAnsiTheme="minorHAnsi" w:cstheme="minorBidi"/>
          <w:sz w:val="22"/>
          <w:szCs w:val="22"/>
        </w:rPr>
        <w:t xml:space="preserve">, that rating </w:t>
      </w:r>
      <w:r w:rsidR="00062290">
        <w:rPr>
          <w:rFonts w:asciiTheme="minorHAnsi" w:hAnsiTheme="minorHAnsi" w:cstheme="minorBidi"/>
          <w:sz w:val="22"/>
          <w:szCs w:val="22"/>
        </w:rPr>
        <w:t>will be</w:t>
      </w:r>
      <w:r w:rsidR="00062290" w:rsidRPr="6BF621A5">
        <w:rPr>
          <w:rFonts w:asciiTheme="minorHAnsi" w:hAnsiTheme="minorHAnsi" w:cstheme="minorBidi"/>
          <w:sz w:val="22"/>
          <w:szCs w:val="22"/>
        </w:rPr>
        <w:t xml:space="preserve"> </w:t>
      </w:r>
      <w:r w:rsidRPr="6BF621A5">
        <w:rPr>
          <w:rFonts w:asciiTheme="minorHAnsi" w:hAnsiTheme="minorHAnsi" w:cstheme="minorBidi"/>
          <w:sz w:val="22"/>
          <w:szCs w:val="22"/>
        </w:rPr>
        <w:t>used to set the applicable default rating.</w:t>
      </w:r>
    </w:p>
    <w:p w14:paraId="3CE9D68B" w14:textId="784D27E6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Otherwise, if an asset has an </w:t>
      </w:r>
      <w:r w:rsidRPr="6BF621A5">
        <w:rPr>
          <w:rFonts w:asciiTheme="minorHAnsi" w:hAnsiTheme="minorHAnsi" w:cstheme="minorBidi"/>
          <w:b/>
          <w:bCs/>
          <w:sz w:val="22"/>
          <w:szCs w:val="22"/>
        </w:rPr>
        <w:t>Issue</w:t>
      </w:r>
      <w:r w:rsidRPr="6BF621A5">
        <w:rPr>
          <w:rFonts w:asciiTheme="minorHAnsi" w:hAnsiTheme="minorHAnsi" w:cstheme="minorBidi"/>
          <w:sz w:val="22"/>
          <w:szCs w:val="22"/>
        </w:rPr>
        <w:t xml:space="preserve"> rating </w:t>
      </w:r>
      <w:r w:rsidR="003E26D4" w:rsidRPr="003E26D4">
        <w:rPr>
          <w:rFonts w:asciiTheme="minorHAnsi" w:hAnsiTheme="minorHAnsi" w:cstheme="minorBidi"/>
          <w:sz w:val="22"/>
          <w:szCs w:val="22"/>
        </w:rPr>
        <w:t xml:space="preserve">available within our third party software (generally those reported by Moody, </w:t>
      </w:r>
      <w:r w:rsidR="003E26D4">
        <w:rPr>
          <w:rFonts w:asciiTheme="minorHAnsi" w:hAnsiTheme="minorHAnsi" w:cstheme="minorBidi"/>
          <w:sz w:val="22"/>
          <w:szCs w:val="22"/>
        </w:rPr>
        <w:t>S</w:t>
      </w:r>
      <w:r w:rsidR="003E26D4" w:rsidRPr="003E26D4">
        <w:rPr>
          <w:rFonts w:asciiTheme="minorHAnsi" w:hAnsiTheme="minorHAnsi" w:cstheme="minorBidi"/>
          <w:sz w:val="22"/>
          <w:szCs w:val="22"/>
        </w:rPr>
        <w:t>&amp;P</w:t>
      </w:r>
      <w:r w:rsidR="00063AA1">
        <w:rPr>
          <w:rFonts w:asciiTheme="minorHAnsi" w:hAnsiTheme="minorHAnsi" w:cstheme="minorBidi"/>
          <w:sz w:val="22"/>
          <w:szCs w:val="22"/>
        </w:rPr>
        <w:t xml:space="preserve"> or</w:t>
      </w:r>
      <w:r w:rsidR="003E26D4" w:rsidRPr="003E26D4">
        <w:rPr>
          <w:rFonts w:asciiTheme="minorHAnsi" w:hAnsiTheme="minorHAnsi" w:cstheme="minorBidi"/>
          <w:sz w:val="22"/>
          <w:szCs w:val="22"/>
        </w:rPr>
        <w:t xml:space="preserve"> Fitch)</w:t>
      </w:r>
      <w:r w:rsidR="00A15FA3">
        <w:rPr>
          <w:rFonts w:asciiTheme="minorHAnsi" w:hAnsiTheme="minorHAnsi" w:cstheme="minorBidi"/>
          <w:sz w:val="22"/>
          <w:szCs w:val="22"/>
        </w:rPr>
        <w:t xml:space="preserve"> </w:t>
      </w:r>
      <w:r w:rsidRPr="6BF621A5">
        <w:rPr>
          <w:rFonts w:asciiTheme="minorHAnsi" w:hAnsiTheme="minorHAnsi" w:cstheme="minorBidi"/>
          <w:sz w:val="22"/>
          <w:szCs w:val="22"/>
        </w:rPr>
        <w:t xml:space="preserve">that rating </w:t>
      </w:r>
      <w:r w:rsidR="00062290">
        <w:rPr>
          <w:rFonts w:asciiTheme="minorHAnsi" w:hAnsiTheme="minorHAnsi" w:cstheme="minorBidi"/>
          <w:sz w:val="22"/>
          <w:szCs w:val="22"/>
        </w:rPr>
        <w:t>will be</w:t>
      </w:r>
      <w:r w:rsidR="00062290" w:rsidRPr="6BF621A5">
        <w:rPr>
          <w:rFonts w:asciiTheme="minorHAnsi" w:hAnsiTheme="minorHAnsi" w:cstheme="minorBidi"/>
          <w:sz w:val="22"/>
          <w:szCs w:val="22"/>
        </w:rPr>
        <w:t xml:space="preserve"> </w:t>
      </w:r>
      <w:r w:rsidRPr="6BF621A5">
        <w:rPr>
          <w:rFonts w:asciiTheme="minorHAnsi" w:hAnsiTheme="minorHAnsi" w:cstheme="minorBidi"/>
          <w:sz w:val="22"/>
          <w:szCs w:val="22"/>
        </w:rPr>
        <w:t>adjusted to set the applicable default rating as follows:</w:t>
      </w:r>
    </w:p>
    <w:p w14:paraId="71D8540E" w14:textId="78348717" w:rsidR="00472B58" w:rsidRPr="00507A1D" w:rsidRDefault="00472B58" w:rsidP="00472B58">
      <w:pPr>
        <w:pStyle w:val="ListParagraph"/>
        <w:numPr>
          <w:ilvl w:val="2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Asset is reported as Senior Secured Loan or Senior Unsecured Bond: default rating = </w:t>
      </w:r>
      <w:r w:rsidRPr="6BF621A5">
        <w:rPr>
          <w:rFonts w:asciiTheme="minorHAnsi" w:hAnsiTheme="minorHAnsi" w:cstheme="minorBidi"/>
          <w:b/>
          <w:bCs/>
          <w:sz w:val="22"/>
          <w:szCs w:val="22"/>
        </w:rPr>
        <w:t>Issue</w:t>
      </w:r>
      <w:r w:rsidRPr="6BF621A5">
        <w:rPr>
          <w:rFonts w:asciiTheme="minorHAnsi" w:hAnsiTheme="minorHAnsi" w:cstheme="minorBidi"/>
          <w:sz w:val="22"/>
          <w:szCs w:val="22"/>
        </w:rPr>
        <w:t xml:space="preserve"> rating</w:t>
      </w:r>
      <w:r w:rsidR="006851C2">
        <w:rPr>
          <w:rFonts w:asciiTheme="minorHAnsi" w:hAnsiTheme="minorHAnsi" w:cstheme="minorBidi"/>
          <w:sz w:val="22"/>
          <w:szCs w:val="22"/>
        </w:rPr>
        <w:t xml:space="preserve"> </w:t>
      </w:r>
      <w:r w:rsidR="00CE07A2">
        <w:rPr>
          <w:rFonts w:asciiTheme="minorHAnsi" w:hAnsiTheme="minorHAnsi" w:cstheme="minorBidi"/>
          <w:sz w:val="22"/>
          <w:szCs w:val="22"/>
        </w:rPr>
        <w:t>+ 1 notch (</w:t>
      </w:r>
      <w:proofErr w:type="gramStart"/>
      <w:r w:rsidR="00CE07A2">
        <w:rPr>
          <w:rFonts w:asciiTheme="minorHAnsi" w:hAnsiTheme="minorHAnsi" w:cstheme="minorBidi"/>
          <w:sz w:val="22"/>
          <w:szCs w:val="22"/>
        </w:rPr>
        <w:t>i.e.</w:t>
      </w:r>
      <w:proofErr w:type="gramEnd"/>
      <w:r w:rsidR="00CE07A2">
        <w:rPr>
          <w:rFonts w:asciiTheme="minorHAnsi" w:hAnsiTheme="minorHAnsi" w:cstheme="minorBidi"/>
          <w:sz w:val="22"/>
          <w:szCs w:val="22"/>
        </w:rPr>
        <w:t xml:space="preserve"> higher default probab</w:t>
      </w:r>
      <w:r w:rsidR="009E4B3D">
        <w:rPr>
          <w:rFonts w:asciiTheme="minorHAnsi" w:hAnsiTheme="minorHAnsi" w:cstheme="minorBidi"/>
          <w:sz w:val="22"/>
          <w:szCs w:val="22"/>
        </w:rPr>
        <w:t>ility)</w:t>
      </w:r>
    </w:p>
    <w:p w14:paraId="131D9AD2" w14:textId="187C7C02" w:rsidR="00472B58" w:rsidRDefault="00472B58" w:rsidP="00472B58">
      <w:pPr>
        <w:pStyle w:val="ListParagraph"/>
        <w:numPr>
          <w:ilvl w:val="2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5C899071">
        <w:rPr>
          <w:rFonts w:asciiTheme="minorHAnsi" w:hAnsiTheme="minorHAnsi" w:cstheme="minorBidi"/>
          <w:sz w:val="22"/>
          <w:szCs w:val="22"/>
        </w:rPr>
        <w:t xml:space="preserve">Otherwise: default rating = </w:t>
      </w:r>
      <w:r w:rsidRPr="5C899071">
        <w:rPr>
          <w:rFonts w:asciiTheme="minorHAnsi" w:hAnsiTheme="minorHAnsi" w:cstheme="minorBidi"/>
          <w:b/>
          <w:bCs/>
          <w:sz w:val="22"/>
          <w:szCs w:val="22"/>
        </w:rPr>
        <w:t>Issue</w:t>
      </w:r>
      <w:r w:rsidRPr="5C899071">
        <w:rPr>
          <w:rFonts w:asciiTheme="minorHAnsi" w:hAnsiTheme="minorHAnsi" w:cstheme="minorBidi"/>
          <w:sz w:val="22"/>
          <w:szCs w:val="22"/>
        </w:rPr>
        <w:t xml:space="preserve"> rating </w:t>
      </w:r>
    </w:p>
    <w:p w14:paraId="7AAE13EB" w14:textId="3DE1008C" w:rsidR="009E4B3D" w:rsidRDefault="009E4B3D" w:rsidP="00472B58">
      <w:pPr>
        <w:pStyle w:val="ListParagraph"/>
        <w:numPr>
          <w:ilvl w:val="2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This is different from our stress tests</w:t>
      </w:r>
    </w:p>
    <w:p w14:paraId="2ADFE871" w14:textId="2A018ECC" w:rsidR="00AA233A" w:rsidRPr="00507A1D" w:rsidRDefault="00AA233A" w:rsidP="00843803">
      <w:pPr>
        <w:pStyle w:val="ListParagraph"/>
        <w:numPr>
          <w:ilvl w:val="1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I</w:t>
      </w:r>
      <w:r w:rsidRPr="00AA233A">
        <w:rPr>
          <w:rFonts w:asciiTheme="minorHAnsi" w:hAnsiTheme="minorHAnsi" w:cstheme="minorBidi"/>
          <w:sz w:val="22"/>
          <w:szCs w:val="22"/>
        </w:rPr>
        <w:t>f the Securities Valuation Office has assigned an NAIC Designation Category</w:t>
      </w:r>
      <w:r w:rsidR="002B0596">
        <w:rPr>
          <w:rFonts w:asciiTheme="minorHAnsi" w:hAnsiTheme="minorHAnsi" w:cstheme="minorBidi"/>
          <w:sz w:val="22"/>
          <w:szCs w:val="22"/>
        </w:rPr>
        <w:t xml:space="preserve"> to the Issue, that </w:t>
      </w:r>
      <w:r w:rsidR="002B0596" w:rsidRPr="00AA233A">
        <w:rPr>
          <w:rFonts w:asciiTheme="minorHAnsi" w:hAnsiTheme="minorHAnsi" w:cstheme="minorBidi"/>
          <w:sz w:val="22"/>
          <w:szCs w:val="22"/>
        </w:rPr>
        <w:t>NAIC Designation Category</w:t>
      </w:r>
      <w:r w:rsidR="002B0596">
        <w:rPr>
          <w:rFonts w:asciiTheme="minorHAnsi" w:hAnsiTheme="minorHAnsi" w:cstheme="minorBidi"/>
          <w:sz w:val="22"/>
          <w:szCs w:val="22"/>
        </w:rPr>
        <w:t xml:space="preserve"> will </w:t>
      </w:r>
      <w:r w:rsidR="00CC1987">
        <w:rPr>
          <w:rFonts w:asciiTheme="minorHAnsi" w:hAnsiTheme="minorHAnsi" w:cstheme="minorBidi"/>
          <w:sz w:val="22"/>
          <w:szCs w:val="22"/>
        </w:rPr>
        <w:t>be used, unadjusted.</w:t>
      </w:r>
    </w:p>
    <w:p w14:paraId="71C915F8" w14:textId="21F31DAC" w:rsidR="00472B58" w:rsidRPr="00507A1D" w:rsidRDefault="00472B58" w:rsidP="00472B5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lastRenderedPageBreak/>
        <w:t xml:space="preserve">Once a default rating has been established, the loan </w:t>
      </w:r>
      <w:r w:rsidR="00062290">
        <w:rPr>
          <w:rFonts w:asciiTheme="minorHAnsi" w:hAnsiTheme="minorHAnsi" w:cstheme="minorBidi"/>
          <w:sz w:val="22"/>
          <w:szCs w:val="22"/>
        </w:rPr>
        <w:t>will be</w:t>
      </w:r>
      <w:r w:rsidR="00062290" w:rsidRPr="6BF621A5">
        <w:rPr>
          <w:rFonts w:asciiTheme="minorHAnsi" w:hAnsiTheme="minorHAnsi" w:cstheme="minorBidi"/>
          <w:sz w:val="22"/>
          <w:szCs w:val="22"/>
        </w:rPr>
        <w:t xml:space="preserve"> </w:t>
      </w:r>
      <w:r w:rsidRPr="6BF621A5">
        <w:rPr>
          <w:rFonts w:asciiTheme="minorHAnsi" w:hAnsiTheme="minorHAnsi" w:cstheme="minorBidi"/>
          <w:sz w:val="22"/>
          <w:szCs w:val="22"/>
        </w:rPr>
        <w:t>assumed to “partially default” until its maturity.</w:t>
      </w:r>
    </w:p>
    <w:p w14:paraId="350F60F1" w14:textId="77777777" w:rsidR="00BC4605" w:rsidRDefault="00BC4605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</w:p>
    <w:p w14:paraId="64579B49" w14:textId="40707398" w:rsidR="00472B58" w:rsidRPr="00507A1D" w:rsidRDefault="00472B58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  <w:r w:rsidRPr="00507A1D">
        <w:rPr>
          <w:b/>
          <w:bCs/>
          <w:i/>
          <w:iCs/>
          <w:color w:val="365F91" w:themeColor="accent1" w:themeShade="BF"/>
        </w:rPr>
        <w:t>Recovery Rate</w:t>
      </w:r>
    </w:p>
    <w:p w14:paraId="299F14B2" w14:textId="674F608C" w:rsidR="00472B58" w:rsidRDefault="001341BF" w:rsidP="00321E0E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Principal is recovered </w:t>
      </w:r>
      <w:r w:rsidR="00C64AA0">
        <w:rPr>
          <w:rFonts w:asciiTheme="minorHAnsi" w:hAnsiTheme="minorHAnsi" w:cstheme="minorBidi"/>
          <w:sz w:val="22"/>
          <w:szCs w:val="22"/>
        </w:rPr>
        <w:t xml:space="preserve">6 months </w:t>
      </w:r>
      <w:r w:rsidR="000147BD">
        <w:rPr>
          <w:rFonts w:asciiTheme="minorHAnsi" w:hAnsiTheme="minorHAnsi" w:cstheme="minorBidi"/>
          <w:sz w:val="22"/>
          <w:szCs w:val="22"/>
        </w:rPr>
        <w:t>(</w:t>
      </w:r>
      <w:r w:rsidR="00C64AA0">
        <w:rPr>
          <w:rFonts w:asciiTheme="minorHAnsi" w:hAnsiTheme="minorHAnsi" w:cstheme="minorBidi"/>
          <w:sz w:val="22"/>
          <w:szCs w:val="22"/>
        </w:rPr>
        <w:t>2 periods</w:t>
      </w:r>
      <w:r w:rsidR="000147BD">
        <w:rPr>
          <w:rFonts w:asciiTheme="minorHAnsi" w:hAnsiTheme="minorHAnsi" w:cstheme="minorBidi"/>
          <w:sz w:val="22"/>
          <w:szCs w:val="22"/>
        </w:rPr>
        <w:t>)</w:t>
      </w:r>
      <w:r w:rsidR="00C64AA0">
        <w:rPr>
          <w:rFonts w:asciiTheme="minorHAnsi" w:hAnsiTheme="minorHAnsi" w:cstheme="minorBidi"/>
          <w:sz w:val="22"/>
          <w:szCs w:val="22"/>
        </w:rPr>
        <w:t xml:space="preserve"> after default</w:t>
      </w:r>
    </w:p>
    <w:p w14:paraId="4C9844F8" w14:textId="77777777" w:rsidR="00321E0E" w:rsidRPr="00321E0E" w:rsidRDefault="00321E0E" w:rsidP="00321E0E">
      <w:pPr>
        <w:pStyle w:val="ListParagraph"/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</w:p>
    <w:p w14:paraId="7B6114C4" w14:textId="4DF33A72" w:rsidR="00472B58" w:rsidRPr="00507A1D" w:rsidRDefault="007649DD" w:rsidP="00472B58">
      <w:pPr>
        <w:keepNext/>
        <w:spacing w:before="120" w:after="0"/>
        <w:rPr>
          <w:b/>
          <w:bCs/>
          <w:i/>
          <w:iCs/>
          <w:color w:val="365F91" w:themeColor="accent1" w:themeShade="BF"/>
        </w:rPr>
      </w:pPr>
      <w:r>
        <w:rPr>
          <w:b/>
          <w:bCs/>
          <w:i/>
          <w:iCs/>
          <w:color w:val="365F91" w:themeColor="accent1" w:themeShade="BF"/>
        </w:rPr>
        <w:t>Cash Flow</w:t>
      </w:r>
      <w:r w:rsidR="00472B58" w:rsidRPr="00507A1D">
        <w:rPr>
          <w:b/>
          <w:bCs/>
          <w:i/>
          <w:iCs/>
          <w:color w:val="365F91" w:themeColor="accent1" w:themeShade="BF"/>
        </w:rPr>
        <w:t xml:space="preserve"> Assumptions</w:t>
      </w:r>
    </w:p>
    <w:p w14:paraId="5666AFD8" w14:textId="02E0C8CF" w:rsidR="00472B58" w:rsidRPr="00507A1D" w:rsidRDefault="00472B58" w:rsidP="00472B58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6BF621A5">
        <w:rPr>
          <w:rFonts w:asciiTheme="minorHAnsi" w:hAnsiTheme="minorHAnsi" w:cstheme="minorBidi"/>
          <w:b/>
          <w:bCs/>
          <w:sz w:val="22"/>
          <w:szCs w:val="22"/>
        </w:rPr>
        <w:t>Interest Rates</w:t>
      </w:r>
      <w:r w:rsidR="0001024B">
        <w:rPr>
          <w:rFonts w:asciiTheme="minorHAnsi" w:hAnsiTheme="minorHAnsi" w:cstheme="minorBidi"/>
          <w:b/>
          <w:bCs/>
          <w:sz w:val="22"/>
          <w:szCs w:val="22"/>
        </w:rPr>
        <w:t xml:space="preserve"> / Proceeds</w:t>
      </w:r>
    </w:p>
    <w:p w14:paraId="3C74C90F" w14:textId="0B5CFC2C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Forward </w:t>
      </w:r>
      <w:r w:rsidR="00A65ADB" w:rsidRPr="00A65ADB">
        <w:rPr>
          <w:rFonts w:asciiTheme="minorHAnsi" w:hAnsiTheme="minorHAnsi" w:cstheme="minorBidi"/>
          <w:sz w:val="22"/>
          <w:szCs w:val="22"/>
        </w:rPr>
        <w:t>S</w:t>
      </w:r>
      <w:r w:rsidR="00A65ADB">
        <w:rPr>
          <w:rFonts w:asciiTheme="minorHAnsi" w:hAnsiTheme="minorHAnsi" w:cstheme="minorBidi"/>
          <w:sz w:val="22"/>
          <w:szCs w:val="22"/>
        </w:rPr>
        <w:t xml:space="preserve">ecured Overnight Financing Rate </w:t>
      </w:r>
      <w:r w:rsidRPr="6BF621A5">
        <w:rPr>
          <w:rFonts w:asciiTheme="minorHAnsi" w:hAnsiTheme="minorHAnsi" w:cstheme="minorBidi"/>
          <w:sz w:val="22"/>
          <w:szCs w:val="22"/>
        </w:rPr>
        <w:t>(</w:t>
      </w:r>
      <w:r w:rsidR="00B50FE1">
        <w:rPr>
          <w:rFonts w:asciiTheme="minorHAnsi" w:hAnsiTheme="minorHAnsi" w:cstheme="minorBidi"/>
          <w:sz w:val="22"/>
          <w:szCs w:val="22"/>
        </w:rPr>
        <w:t>SOFR</w:t>
      </w:r>
      <w:r w:rsidRPr="6BF621A5">
        <w:rPr>
          <w:rFonts w:asciiTheme="minorHAnsi" w:hAnsiTheme="minorHAnsi" w:cstheme="minorBidi"/>
          <w:sz w:val="22"/>
          <w:szCs w:val="22"/>
        </w:rPr>
        <w:t>) curve as of evaluation date</w:t>
      </w:r>
    </w:p>
    <w:p w14:paraId="2F44A95B" w14:textId="7F78B3C4" w:rsidR="0001024B" w:rsidRDefault="0001024B" w:rsidP="00C30F2D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Interest Proceeds for each period are based on the weighted average current portfolio spread </w:t>
      </w:r>
      <w:r w:rsidR="00277AAE">
        <w:rPr>
          <w:rFonts w:asciiTheme="minorHAnsi" w:hAnsiTheme="minorHAnsi" w:cstheme="minorBidi"/>
          <w:sz w:val="22"/>
          <w:szCs w:val="22"/>
        </w:rPr>
        <w:t>plus the applicable base rate times the non-defaulting principal.</w:t>
      </w:r>
    </w:p>
    <w:p w14:paraId="5F5A2E09" w14:textId="77777777" w:rsidR="00C30F2D" w:rsidRPr="00C30F2D" w:rsidRDefault="00C30F2D" w:rsidP="00C30F2D">
      <w:pPr>
        <w:pStyle w:val="ListParagraph"/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</w:p>
    <w:p w14:paraId="2C01D620" w14:textId="77777777" w:rsidR="00472B58" w:rsidRPr="00507A1D" w:rsidRDefault="00472B58" w:rsidP="00472B58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6BF621A5">
        <w:rPr>
          <w:rFonts w:asciiTheme="minorHAnsi" w:hAnsiTheme="minorHAnsi" w:cstheme="minorBidi"/>
          <w:b/>
          <w:bCs/>
          <w:sz w:val="22"/>
          <w:szCs w:val="22"/>
        </w:rPr>
        <w:t>Maturities and prepayments</w:t>
      </w:r>
    </w:p>
    <w:p w14:paraId="5D8059F2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Non-defaulting portions of each loan mature based on the legal maturity</w:t>
      </w:r>
    </w:p>
    <w:p w14:paraId="20078E54" w14:textId="06C61758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No prepayments assumed</w:t>
      </w:r>
    </w:p>
    <w:p w14:paraId="5CEBF831" w14:textId="77777777" w:rsidR="00472B58" w:rsidRPr="00507A1D" w:rsidRDefault="00472B58" w:rsidP="00472B5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39D5B2C" w14:textId="77777777" w:rsidR="00472B58" w:rsidRPr="00507A1D" w:rsidRDefault="00472B58" w:rsidP="00472B58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6BF621A5">
        <w:rPr>
          <w:rFonts w:asciiTheme="minorHAnsi" w:hAnsiTheme="minorHAnsi" w:cstheme="minorBidi"/>
          <w:b/>
          <w:bCs/>
          <w:sz w:val="22"/>
          <w:szCs w:val="22"/>
        </w:rPr>
        <w:t xml:space="preserve">Reinvestment </w:t>
      </w:r>
    </w:p>
    <w:p w14:paraId="26BF8BFD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No post-reinvestment period reinvestment</w:t>
      </w:r>
    </w:p>
    <w:p w14:paraId="1D6A3D0F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 xml:space="preserve">Reinvestment collateral is purchased at par </w:t>
      </w:r>
    </w:p>
    <w:p w14:paraId="0FB51B41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Reinvestment occurs before payment date – i.e., there are no principal proceeds in the waterfall that can be used to pay interest or satisfy overcollateralization (O/C) tests</w:t>
      </w:r>
    </w:p>
    <w:p w14:paraId="31E345EF" w14:textId="106DCB85" w:rsidR="00472B58" w:rsidRPr="00507A1D" w:rsidRDefault="006D5025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Reinvestment </w:t>
      </w:r>
      <w:r w:rsidR="00472B58" w:rsidRPr="6BF621A5">
        <w:rPr>
          <w:rFonts w:asciiTheme="minorHAnsi" w:hAnsiTheme="minorHAnsi" w:cstheme="minorBidi"/>
          <w:sz w:val="22"/>
          <w:szCs w:val="22"/>
        </w:rPr>
        <w:t>is assumed to have a rating equal to the transaction’s weighted average rating factor (WARF). If the WARF is not reported, then it is assumed to be</w:t>
      </w:r>
      <w:r w:rsidR="00843803">
        <w:rPr>
          <w:rFonts w:asciiTheme="minorHAnsi" w:hAnsiTheme="minorHAnsi" w:cstheme="minorBidi"/>
          <w:sz w:val="22"/>
          <w:szCs w:val="22"/>
        </w:rPr>
        <w:t xml:space="preserve"> 4.C (</w:t>
      </w:r>
      <w:r w:rsidR="00472B58" w:rsidRPr="6BF621A5">
        <w:rPr>
          <w:rFonts w:asciiTheme="minorHAnsi" w:hAnsiTheme="minorHAnsi" w:cstheme="minorBidi"/>
          <w:sz w:val="22"/>
          <w:szCs w:val="22"/>
        </w:rPr>
        <w:t>B3</w:t>
      </w:r>
      <w:r w:rsidR="00843803">
        <w:rPr>
          <w:rFonts w:asciiTheme="minorHAnsi" w:hAnsiTheme="minorHAnsi" w:cstheme="minorBidi"/>
          <w:sz w:val="22"/>
          <w:szCs w:val="22"/>
        </w:rPr>
        <w:t>)</w:t>
      </w:r>
      <w:r w:rsidR="00105319">
        <w:rPr>
          <w:rFonts w:asciiTheme="minorHAnsi" w:hAnsiTheme="minorHAnsi" w:cstheme="minorBidi"/>
          <w:sz w:val="22"/>
          <w:szCs w:val="22"/>
        </w:rPr>
        <w:t xml:space="preserve"> </w:t>
      </w:r>
      <w:r w:rsidR="00472B58" w:rsidRPr="6BF621A5">
        <w:rPr>
          <w:rFonts w:asciiTheme="minorHAnsi" w:hAnsiTheme="minorHAnsi" w:cstheme="minorBidi"/>
          <w:sz w:val="22"/>
          <w:szCs w:val="22"/>
        </w:rPr>
        <w:t>and is defaulted as stated above.</w:t>
      </w:r>
    </w:p>
    <w:p w14:paraId="76FEB9F0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5C899071">
        <w:rPr>
          <w:rFonts w:asciiTheme="minorHAnsi" w:hAnsiTheme="minorHAnsi" w:cstheme="minorBidi"/>
          <w:sz w:val="22"/>
          <w:szCs w:val="22"/>
        </w:rPr>
        <w:t xml:space="preserve">Reinvested collateral is tracked per reinvestment bucket (e.g., all reinvested collateral in one </w:t>
      </w:r>
      <w:proofErr w:type="gramStart"/>
      <w:r w:rsidRPr="5C899071">
        <w:rPr>
          <w:rFonts w:asciiTheme="minorHAnsi" w:hAnsiTheme="minorHAnsi" w:cstheme="minorBidi"/>
          <w:sz w:val="22"/>
          <w:szCs w:val="22"/>
        </w:rPr>
        <w:t>time period</w:t>
      </w:r>
      <w:proofErr w:type="gramEnd"/>
      <w:r w:rsidRPr="5C899071">
        <w:rPr>
          <w:rFonts w:asciiTheme="minorHAnsi" w:hAnsiTheme="minorHAnsi" w:cstheme="minorBidi"/>
          <w:sz w:val="22"/>
          <w:szCs w:val="22"/>
        </w:rPr>
        <w:t xml:space="preserve"> is tracked separately from collateral reinvested in another time period).</w:t>
      </w:r>
    </w:p>
    <w:p w14:paraId="25301D68" w14:textId="77777777" w:rsidR="00472B58" w:rsidRPr="00507A1D" w:rsidRDefault="00472B58" w:rsidP="00472B5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1E4E3F1" w14:textId="77777777" w:rsidR="00472B58" w:rsidRPr="00507A1D" w:rsidRDefault="00472B58" w:rsidP="00472B58">
      <w:pPr>
        <w:pStyle w:val="ListParagraph"/>
        <w:numPr>
          <w:ilvl w:val="0"/>
          <w:numId w:val="11"/>
        </w:numPr>
        <w:spacing w:after="160" w:line="259" w:lineRule="auto"/>
        <w:rPr>
          <w:rFonts w:asciiTheme="minorHAnsi" w:hAnsiTheme="minorHAnsi" w:cstheme="minorBidi"/>
          <w:b/>
          <w:bCs/>
          <w:sz w:val="22"/>
          <w:szCs w:val="22"/>
        </w:rPr>
      </w:pPr>
      <w:r w:rsidRPr="6BF621A5">
        <w:rPr>
          <w:rFonts w:asciiTheme="minorHAnsi" w:hAnsiTheme="minorHAnsi" w:cstheme="minorBidi"/>
          <w:b/>
          <w:bCs/>
          <w:sz w:val="22"/>
          <w:szCs w:val="22"/>
        </w:rPr>
        <w:t>Event timing</w:t>
      </w:r>
    </w:p>
    <w:p w14:paraId="05096122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Periodic payment on identified collateral – as per loan terms</w:t>
      </w:r>
    </w:p>
    <w:p w14:paraId="53DFFAE4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Periodic payment on reinvested collateral – quarterly</w:t>
      </w:r>
    </w:p>
    <w:p w14:paraId="52A8D6BE" w14:textId="77777777" w:rsidR="00472B58" w:rsidRPr="00507A1D" w:rsidRDefault="00472B58" w:rsidP="00472B58">
      <w:pPr>
        <w:pStyle w:val="ListParagraph"/>
        <w:numPr>
          <w:ilvl w:val="1"/>
          <w:numId w:val="10"/>
        </w:numPr>
        <w:spacing w:after="160" w:line="259" w:lineRule="auto"/>
        <w:ind w:left="1080"/>
        <w:rPr>
          <w:rFonts w:asciiTheme="minorHAnsi" w:hAnsiTheme="minorHAnsi" w:cstheme="minorBidi"/>
          <w:sz w:val="22"/>
          <w:szCs w:val="22"/>
        </w:rPr>
      </w:pPr>
      <w:r w:rsidRPr="6BF621A5">
        <w:rPr>
          <w:rFonts w:asciiTheme="minorHAnsi" w:hAnsiTheme="minorHAnsi" w:cstheme="minorBidi"/>
          <w:sz w:val="22"/>
          <w:szCs w:val="22"/>
        </w:rPr>
        <w:t>Collateral defaults on its interest payment date (prior to paying interest or principal)</w:t>
      </w:r>
    </w:p>
    <w:p w14:paraId="32430FAA" w14:textId="6A8DF55D" w:rsidR="00472B58" w:rsidRDefault="00472B58" w:rsidP="00472B58"/>
    <w:sectPr w:rsidR="00472B58" w:rsidSect="005F0E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800" w:right="1440" w:bottom="1440" w:left="1440" w:header="0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4318" w14:textId="77777777" w:rsidR="00BF12BF" w:rsidRDefault="00BF12BF" w:rsidP="007B033C">
      <w:pPr>
        <w:spacing w:after="0" w:line="240" w:lineRule="auto"/>
      </w:pPr>
      <w:r>
        <w:separator/>
      </w:r>
    </w:p>
  </w:endnote>
  <w:endnote w:type="continuationSeparator" w:id="0">
    <w:p w14:paraId="5A46B7E0" w14:textId="77777777" w:rsidR="00BF12BF" w:rsidRDefault="00BF12BF" w:rsidP="007B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charset w:val="00"/>
    <w:family w:val="roman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Next LT Pro Regular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7BD8" w14:textId="77777777" w:rsidR="00671B45" w:rsidRDefault="0067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A8B8C"/>
        <w:sz w:val="20"/>
        <w:szCs w:val="20"/>
      </w:rPr>
      <w:id w:val="1932851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3101B27" w14:textId="77777777" w:rsidR="00393E4E" w:rsidRPr="00070005" w:rsidRDefault="00C13164" w:rsidP="0058796E">
        <w:pPr>
          <w:pStyle w:val="Footer"/>
          <w:jc w:val="right"/>
          <w:rPr>
            <w:rFonts w:ascii="Times New Roman" w:hAnsi="Times New Roman" w:cs="Times New Roman"/>
            <w:color w:val="8A8B8C"/>
            <w:sz w:val="20"/>
            <w:szCs w:val="20"/>
          </w:rPr>
        </w:pPr>
        <w:r>
          <w:rPr>
            <w:noProof/>
            <w:color w:val="8A8B8C"/>
            <w:sz w:val="20"/>
            <w:szCs w:val="20"/>
          </w:rPr>
          <w:drawing>
            <wp:anchor distT="0" distB="0" distL="114300" distR="114300" simplePos="0" relativeHeight="251666432" behindDoc="1" locked="0" layoutInCell="1" allowOverlap="1" wp14:anchorId="79D8CAC8" wp14:editId="0CE84A9A">
              <wp:simplePos x="0" y="0"/>
              <wp:positionH relativeFrom="page">
                <wp:posOffset>0</wp:posOffset>
              </wp:positionH>
              <wp:positionV relativeFrom="page">
                <wp:posOffset>9370711</wp:posOffset>
              </wp:positionV>
              <wp:extent cx="7772400" cy="685800"/>
              <wp:effectExtent l="0" t="0" r="0" b="0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8A8B8C"/>
            <w:sz w:val="20"/>
            <w:szCs w:val="20"/>
          </w:rPr>
          <w:tab/>
        </w:r>
        <w:r>
          <w:rPr>
            <w:color w:val="8A8B8C"/>
            <w:sz w:val="20"/>
            <w:szCs w:val="20"/>
          </w:rPr>
          <w:tab/>
        </w:r>
        <w:r w:rsidR="00070005">
          <w:rPr>
            <w:color w:val="8A8B8C"/>
            <w:sz w:val="20"/>
            <w:szCs w:val="20"/>
          </w:rPr>
          <w:tab/>
        </w:r>
        <w:r w:rsidR="00393E4E" w:rsidRPr="00070005">
          <w:rPr>
            <w:rFonts w:ascii="Calibri" w:hAnsi="Calibri" w:cs="Calibri"/>
            <w:color w:val="8A8B8C"/>
            <w:sz w:val="20"/>
            <w:szCs w:val="20"/>
          </w:rPr>
          <w:fldChar w:fldCharType="begin"/>
        </w:r>
        <w:r w:rsidR="00393E4E" w:rsidRPr="00070005">
          <w:rPr>
            <w:rFonts w:ascii="Calibri" w:hAnsi="Calibri" w:cs="Calibri"/>
            <w:color w:val="8A8B8C"/>
            <w:sz w:val="20"/>
            <w:szCs w:val="20"/>
          </w:rPr>
          <w:instrText xml:space="preserve"> PAGE   \* MERGEFORMAT </w:instrText>
        </w:r>
        <w:r w:rsidR="00393E4E" w:rsidRPr="00070005">
          <w:rPr>
            <w:rFonts w:ascii="Calibri" w:hAnsi="Calibri" w:cs="Calibri"/>
            <w:color w:val="8A8B8C"/>
            <w:sz w:val="20"/>
            <w:szCs w:val="20"/>
          </w:rPr>
          <w:fldChar w:fldCharType="separate"/>
        </w:r>
        <w:r w:rsidR="00393E4E" w:rsidRPr="00070005">
          <w:rPr>
            <w:rFonts w:ascii="Calibri" w:hAnsi="Calibri" w:cs="Calibri"/>
            <w:noProof/>
            <w:color w:val="8A8B8C"/>
            <w:sz w:val="20"/>
            <w:szCs w:val="20"/>
          </w:rPr>
          <w:t>2</w:t>
        </w:r>
        <w:r w:rsidR="00393E4E" w:rsidRPr="00070005">
          <w:rPr>
            <w:rFonts w:ascii="Calibri" w:hAnsi="Calibri" w:cs="Calibri"/>
            <w:noProof/>
            <w:color w:val="8A8B8C"/>
            <w:sz w:val="20"/>
            <w:szCs w:val="20"/>
          </w:rPr>
          <w:fldChar w:fldCharType="end"/>
        </w:r>
      </w:p>
    </w:sdtContent>
  </w:sdt>
  <w:p w14:paraId="1BEE5EC4" w14:textId="77777777" w:rsidR="00393E4E" w:rsidRPr="00070005" w:rsidRDefault="00393E4E">
    <w:pPr>
      <w:pStyle w:val="Footer"/>
      <w:rPr>
        <w:color w:val="8A8B8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2734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A8B8C"/>
        <w:sz w:val="20"/>
        <w:szCs w:val="20"/>
      </w:rPr>
    </w:sdtEndPr>
    <w:sdtContent>
      <w:p w14:paraId="1E83F423" w14:textId="77777777" w:rsidR="00393E4E" w:rsidRPr="00CB7C45" w:rsidRDefault="00162AD2" w:rsidP="0058796E">
        <w:pPr>
          <w:pStyle w:val="Footer"/>
          <w:jc w:val="right"/>
          <w:rPr>
            <w:rFonts w:ascii="Times New Roman" w:hAnsi="Times New Roman" w:cs="Times New Roman"/>
            <w:color w:val="8A8B8C"/>
            <w:sz w:val="20"/>
            <w:szCs w:val="20"/>
          </w:rPr>
        </w:pPr>
        <w:r>
          <w:rPr>
            <w:noProof/>
            <w:color w:val="8A8B8C"/>
            <w:sz w:val="20"/>
            <w:szCs w:val="20"/>
          </w:rPr>
          <w:drawing>
            <wp:anchor distT="0" distB="0" distL="114300" distR="114300" simplePos="0" relativeHeight="251671552" behindDoc="1" locked="0" layoutInCell="1" allowOverlap="1" wp14:anchorId="61E3B9AD" wp14:editId="785711A3">
              <wp:simplePos x="0" y="0"/>
              <wp:positionH relativeFrom="page">
                <wp:posOffset>0</wp:posOffset>
              </wp:positionH>
              <wp:positionV relativeFrom="page">
                <wp:posOffset>9372600</wp:posOffset>
              </wp:positionV>
              <wp:extent cx="7772400" cy="68580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473999DD" w14:textId="77777777" w:rsidR="00393E4E" w:rsidRDefault="00393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485C" w14:textId="77777777" w:rsidR="00BF12BF" w:rsidRDefault="00BF12BF" w:rsidP="007B033C">
      <w:pPr>
        <w:spacing w:after="0" w:line="240" w:lineRule="auto"/>
      </w:pPr>
      <w:r>
        <w:separator/>
      </w:r>
    </w:p>
  </w:footnote>
  <w:footnote w:type="continuationSeparator" w:id="0">
    <w:p w14:paraId="0701A368" w14:textId="77777777" w:rsidR="00BF12BF" w:rsidRDefault="00BF12BF" w:rsidP="007B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A827" w14:textId="77777777" w:rsidR="00671B45" w:rsidRDefault="0067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214" w14:textId="77777777" w:rsidR="005F0E7E" w:rsidRDefault="005F0E7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FA1CC7D" wp14:editId="2D2EDCC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758952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58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606A" w14:textId="77777777" w:rsidR="00393E4E" w:rsidRDefault="0058796E">
    <w:pPr>
      <w:pStyle w:val="Header"/>
    </w:pPr>
    <w:r>
      <w:rPr>
        <w:noProof/>
      </w:rPr>
      <w:drawing>
        <wp:anchor distT="0" distB="45720" distL="0" distR="0" simplePos="0" relativeHeight="251658240" behindDoc="1" locked="1" layoutInCell="1" allowOverlap="0" wp14:anchorId="4682B7CF" wp14:editId="2F824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422400"/>
          <wp:effectExtent l="0" t="0" r="0" b="6350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B3C"/>
    <w:multiLevelType w:val="hybridMultilevel"/>
    <w:tmpl w:val="01FCA0D2"/>
    <w:lvl w:ilvl="0" w:tplc="21D08F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255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0E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46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DA2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C93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49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CD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E4C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A3567"/>
    <w:multiLevelType w:val="multilevel"/>
    <w:tmpl w:val="F02A1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3E77"/>
    <w:multiLevelType w:val="hybridMultilevel"/>
    <w:tmpl w:val="2EF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3A97"/>
    <w:multiLevelType w:val="hybridMultilevel"/>
    <w:tmpl w:val="F02A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5461"/>
    <w:multiLevelType w:val="hybridMultilevel"/>
    <w:tmpl w:val="97C6ECCE"/>
    <w:lvl w:ilvl="0" w:tplc="20F0F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48D212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0F5A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EB641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FCE6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6EBCA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1B948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25D6E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0DA2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5" w15:restartNumberingAfterBreak="0">
    <w:nsid w:val="1C632B0A"/>
    <w:multiLevelType w:val="hybridMultilevel"/>
    <w:tmpl w:val="B9F23194"/>
    <w:lvl w:ilvl="0" w:tplc="636EC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venir Next LT Pro" w:hAnsi="Avenir Next LT Pro" w:hint="default"/>
      </w:rPr>
    </w:lvl>
    <w:lvl w:ilvl="1" w:tplc="E6AE5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venir Next LT Pro" w:hAnsi="Avenir Next LT Pro" w:hint="default"/>
      </w:rPr>
    </w:lvl>
    <w:lvl w:ilvl="2" w:tplc="61A8D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venir Next LT Pro" w:hAnsi="Avenir Next LT Pro" w:hint="default"/>
      </w:rPr>
    </w:lvl>
    <w:lvl w:ilvl="3" w:tplc="97F86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venir Next LT Pro" w:hAnsi="Avenir Next LT Pro" w:hint="default"/>
      </w:rPr>
    </w:lvl>
    <w:lvl w:ilvl="4" w:tplc="DBC0D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venir Next LT Pro" w:hAnsi="Avenir Next LT Pro" w:hint="default"/>
      </w:rPr>
    </w:lvl>
    <w:lvl w:ilvl="5" w:tplc="75FE2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venir Next LT Pro" w:hAnsi="Avenir Next LT Pro" w:hint="default"/>
      </w:rPr>
    </w:lvl>
    <w:lvl w:ilvl="6" w:tplc="CB28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venir Next LT Pro" w:hAnsi="Avenir Next LT Pro" w:hint="default"/>
      </w:rPr>
    </w:lvl>
    <w:lvl w:ilvl="7" w:tplc="BCFCB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venir Next LT Pro" w:hAnsi="Avenir Next LT Pro" w:hint="default"/>
      </w:rPr>
    </w:lvl>
    <w:lvl w:ilvl="8" w:tplc="746A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venir Next LT Pro" w:hAnsi="Avenir Next LT Pro" w:hint="default"/>
      </w:rPr>
    </w:lvl>
  </w:abstractNum>
  <w:abstractNum w:abstractNumId="6" w15:restartNumberingAfterBreak="0">
    <w:nsid w:val="1F1C1D23"/>
    <w:multiLevelType w:val="hybridMultilevel"/>
    <w:tmpl w:val="197296F4"/>
    <w:lvl w:ilvl="0" w:tplc="7C2C00D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A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C459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A0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E7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41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94A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CD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6D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9E66F"/>
    <w:multiLevelType w:val="hybridMultilevel"/>
    <w:tmpl w:val="F3BC106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C782B2D"/>
    <w:multiLevelType w:val="hybridMultilevel"/>
    <w:tmpl w:val="29423FAE"/>
    <w:lvl w:ilvl="0" w:tplc="671CFC4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283D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CC30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26B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2F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AF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E0A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AEF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CA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24373"/>
    <w:multiLevelType w:val="hybridMultilevel"/>
    <w:tmpl w:val="BE6496D8"/>
    <w:lvl w:ilvl="0" w:tplc="4AF650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BA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0A4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CC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EF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7A8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A83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47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103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C6681F"/>
    <w:multiLevelType w:val="hybridMultilevel"/>
    <w:tmpl w:val="6A6C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342C2"/>
    <w:multiLevelType w:val="hybridMultilevel"/>
    <w:tmpl w:val="1A322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334D9"/>
    <w:multiLevelType w:val="hybridMultilevel"/>
    <w:tmpl w:val="9CCA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00F97"/>
    <w:multiLevelType w:val="hybridMultilevel"/>
    <w:tmpl w:val="AEDCADD2"/>
    <w:lvl w:ilvl="0" w:tplc="AD0A0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E2636"/>
    <w:multiLevelType w:val="hybridMultilevel"/>
    <w:tmpl w:val="5DA88932"/>
    <w:lvl w:ilvl="0" w:tplc="C0D073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C44C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4DAB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6B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38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44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E05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009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03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178916">
    <w:abstractNumId w:val="7"/>
  </w:num>
  <w:num w:numId="2" w16cid:durableId="1664895330">
    <w:abstractNumId w:val="0"/>
  </w:num>
  <w:num w:numId="3" w16cid:durableId="93985675">
    <w:abstractNumId w:val="9"/>
  </w:num>
  <w:num w:numId="4" w16cid:durableId="447555490">
    <w:abstractNumId w:val="6"/>
  </w:num>
  <w:num w:numId="5" w16cid:durableId="494686514">
    <w:abstractNumId w:val="8"/>
  </w:num>
  <w:num w:numId="6" w16cid:durableId="679703664">
    <w:abstractNumId w:val="14"/>
  </w:num>
  <w:num w:numId="7" w16cid:durableId="2001687242">
    <w:abstractNumId w:val="3"/>
  </w:num>
  <w:num w:numId="8" w16cid:durableId="682784574">
    <w:abstractNumId w:val="1"/>
  </w:num>
  <w:num w:numId="9" w16cid:durableId="315650704">
    <w:abstractNumId w:val="13"/>
  </w:num>
  <w:num w:numId="10" w16cid:durableId="943148423">
    <w:abstractNumId w:val="10"/>
  </w:num>
  <w:num w:numId="11" w16cid:durableId="2071993883">
    <w:abstractNumId w:val="2"/>
  </w:num>
  <w:num w:numId="12" w16cid:durableId="629824876">
    <w:abstractNumId w:val="5"/>
  </w:num>
  <w:num w:numId="13" w16cid:durableId="1401947896">
    <w:abstractNumId w:val="4"/>
  </w:num>
  <w:num w:numId="14" w16cid:durableId="185753264">
    <w:abstractNumId w:val="12"/>
  </w:num>
  <w:num w:numId="15" w16cid:durableId="1444419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97"/>
    <w:rsid w:val="0001024B"/>
    <w:rsid w:val="000147BD"/>
    <w:rsid w:val="00027727"/>
    <w:rsid w:val="00053A56"/>
    <w:rsid w:val="0006224C"/>
    <w:rsid w:val="00062290"/>
    <w:rsid w:val="00063AA1"/>
    <w:rsid w:val="00070005"/>
    <w:rsid w:val="0009558E"/>
    <w:rsid w:val="000A1E3C"/>
    <w:rsid w:val="000A266C"/>
    <w:rsid w:val="000D76E2"/>
    <w:rsid w:val="00105319"/>
    <w:rsid w:val="00117349"/>
    <w:rsid w:val="0012302F"/>
    <w:rsid w:val="00125273"/>
    <w:rsid w:val="0012752F"/>
    <w:rsid w:val="001341BF"/>
    <w:rsid w:val="001510BA"/>
    <w:rsid w:val="00162AD2"/>
    <w:rsid w:val="001A6B7E"/>
    <w:rsid w:val="001B2AD4"/>
    <w:rsid w:val="001B440F"/>
    <w:rsid w:val="001B5933"/>
    <w:rsid w:val="001F10B1"/>
    <w:rsid w:val="001F7821"/>
    <w:rsid w:val="002110CD"/>
    <w:rsid w:val="00221A31"/>
    <w:rsid w:val="00222E5F"/>
    <w:rsid w:val="0022465A"/>
    <w:rsid w:val="002264C5"/>
    <w:rsid w:val="00244259"/>
    <w:rsid w:val="002515C7"/>
    <w:rsid w:val="00277AAE"/>
    <w:rsid w:val="002822E6"/>
    <w:rsid w:val="00284088"/>
    <w:rsid w:val="002915ED"/>
    <w:rsid w:val="0029503E"/>
    <w:rsid w:val="00296D57"/>
    <w:rsid w:val="002B0596"/>
    <w:rsid w:val="002B06C5"/>
    <w:rsid w:val="002B2F6F"/>
    <w:rsid w:val="002C1E86"/>
    <w:rsid w:val="002C29E0"/>
    <w:rsid w:val="002D6F38"/>
    <w:rsid w:val="002F1062"/>
    <w:rsid w:val="002F3AF5"/>
    <w:rsid w:val="00315D32"/>
    <w:rsid w:val="00321E0E"/>
    <w:rsid w:val="00322FB9"/>
    <w:rsid w:val="003264C1"/>
    <w:rsid w:val="00345CAE"/>
    <w:rsid w:val="0036056A"/>
    <w:rsid w:val="00361280"/>
    <w:rsid w:val="00382256"/>
    <w:rsid w:val="00393E4E"/>
    <w:rsid w:val="003955B0"/>
    <w:rsid w:val="003970D0"/>
    <w:rsid w:val="00397453"/>
    <w:rsid w:val="003A7218"/>
    <w:rsid w:val="003B0DAB"/>
    <w:rsid w:val="003B3E07"/>
    <w:rsid w:val="003B4222"/>
    <w:rsid w:val="003B78CD"/>
    <w:rsid w:val="003C16A4"/>
    <w:rsid w:val="003D27A6"/>
    <w:rsid w:val="003E0F8F"/>
    <w:rsid w:val="003E26D4"/>
    <w:rsid w:val="003F03A5"/>
    <w:rsid w:val="004009A2"/>
    <w:rsid w:val="00403838"/>
    <w:rsid w:val="00406699"/>
    <w:rsid w:val="00421683"/>
    <w:rsid w:val="00426E6B"/>
    <w:rsid w:val="00443807"/>
    <w:rsid w:val="00471EA6"/>
    <w:rsid w:val="00472A46"/>
    <w:rsid w:val="00472B58"/>
    <w:rsid w:val="00477C1E"/>
    <w:rsid w:val="00496E4E"/>
    <w:rsid w:val="004A25A2"/>
    <w:rsid w:val="004A6214"/>
    <w:rsid w:val="004C720C"/>
    <w:rsid w:val="004D27A9"/>
    <w:rsid w:val="005129F3"/>
    <w:rsid w:val="00520450"/>
    <w:rsid w:val="00524548"/>
    <w:rsid w:val="00526DD6"/>
    <w:rsid w:val="005357B1"/>
    <w:rsid w:val="0055552B"/>
    <w:rsid w:val="0055649C"/>
    <w:rsid w:val="00564EE5"/>
    <w:rsid w:val="005703E4"/>
    <w:rsid w:val="0057575E"/>
    <w:rsid w:val="00576B43"/>
    <w:rsid w:val="0058796E"/>
    <w:rsid w:val="005A7A3C"/>
    <w:rsid w:val="005B0BDF"/>
    <w:rsid w:val="005B2524"/>
    <w:rsid w:val="005D579F"/>
    <w:rsid w:val="005E3355"/>
    <w:rsid w:val="005F0E7E"/>
    <w:rsid w:val="005F10E5"/>
    <w:rsid w:val="006076D6"/>
    <w:rsid w:val="00615430"/>
    <w:rsid w:val="00617A35"/>
    <w:rsid w:val="00621822"/>
    <w:rsid w:val="006565E9"/>
    <w:rsid w:val="0066245B"/>
    <w:rsid w:val="00670E30"/>
    <w:rsid w:val="00671B45"/>
    <w:rsid w:val="006851C2"/>
    <w:rsid w:val="00686005"/>
    <w:rsid w:val="006B35F9"/>
    <w:rsid w:val="006B7CBA"/>
    <w:rsid w:val="006C04A1"/>
    <w:rsid w:val="006C1F92"/>
    <w:rsid w:val="006D1C63"/>
    <w:rsid w:val="006D5025"/>
    <w:rsid w:val="006D780F"/>
    <w:rsid w:val="00714638"/>
    <w:rsid w:val="00717CA4"/>
    <w:rsid w:val="007203B8"/>
    <w:rsid w:val="007317F5"/>
    <w:rsid w:val="007322A9"/>
    <w:rsid w:val="007335E2"/>
    <w:rsid w:val="00744E52"/>
    <w:rsid w:val="00751F4A"/>
    <w:rsid w:val="007649DD"/>
    <w:rsid w:val="00780837"/>
    <w:rsid w:val="00792E2F"/>
    <w:rsid w:val="007937AB"/>
    <w:rsid w:val="007A491C"/>
    <w:rsid w:val="007A49EB"/>
    <w:rsid w:val="007A5591"/>
    <w:rsid w:val="007A7F2F"/>
    <w:rsid w:val="007B033C"/>
    <w:rsid w:val="007B07CF"/>
    <w:rsid w:val="007C18F6"/>
    <w:rsid w:val="007D1174"/>
    <w:rsid w:val="007D2DEB"/>
    <w:rsid w:val="007E2A2C"/>
    <w:rsid w:val="007E2F04"/>
    <w:rsid w:val="00800C8D"/>
    <w:rsid w:val="0080204B"/>
    <w:rsid w:val="00834A5B"/>
    <w:rsid w:val="00835539"/>
    <w:rsid w:val="0084212A"/>
    <w:rsid w:val="00843803"/>
    <w:rsid w:val="00851B2E"/>
    <w:rsid w:val="008648FF"/>
    <w:rsid w:val="00874BEC"/>
    <w:rsid w:val="0087642E"/>
    <w:rsid w:val="008769DC"/>
    <w:rsid w:val="008C1506"/>
    <w:rsid w:val="008C5AAB"/>
    <w:rsid w:val="008F3144"/>
    <w:rsid w:val="00906698"/>
    <w:rsid w:val="00911E0A"/>
    <w:rsid w:val="00923224"/>
    <w:rsid w:val="00923D29"/>
    <w:rsid w:val="009273EC"/>
    <w:rsid w:val="0093723D"/>
    <w:rsid w:val="0093733D"/>
    <w:rsid w:val="00957BBB"/>
    <w:rsid w:val="009622AA"/>
    <w:rsid w:val="00963BDB"/>
    <w:rsid w:val="009727F8"/>
    <w:rsid w:val="009778D6"/>
    <w:rsid w:val="00981006"/>
    <w:rsid w:val="009935E8"/>
    <w:rsid w:val="009A3412"/>
    <w:rsid w:val="009A7148"/>
    <w:rsid w:val="009A7D4A"/>
    <w:rsid w:val="009A7FF4"/>
    <w:rsid w:val="009B201F"/>
    <w:rsid w:val="009E4B3D"/>
    <w:rsid w:val="009F6B4D"/>
    <w:rsid w:val="009F7C1D"/>
    <w:rsid w:val="00A12AA5"/>
    <w:rsid w:val="00A15FA3"/>
    <w:rsid w:val="00A16699"/>
    <w:rsid w:val="00A1676D"/>
    <w:rsid w:val="00A27CFE"/>
    <w:rsid w:val="00A46C3D"/>
    <w:rsid w:val="00A560B3"/>
    <w:rsid w:val="00A63097"/>
    <w:rsid w:val="00A65ADB"/>
    <w:rsid w:val="00A72083"/>
    <w:rsid w:val="00A7578B"/>
    <w:rsid w:val="00A779B0"/>
    <w:rsid w:val="00A801A3"/>
    <w:rsid w:val="00A83CCF"/>
    <w:rsid w:val="00A939C8"/>
    <w:rsid w:val="00AA233A"/>
    <w:rsid w:val="00AC0FC3"/>
    <w:rsid w:val="00AD517C"/>
    <w:rsid w:val="00AF0D4E"/>
    <w:rsid w:val="00B023DC"/>
    <w:rsid w:val="00B3316A"/>
    <w:rsid w:val="00B50934"/>
    <w:rsid w:val="00B50FE1"/>
    <w:rsid w:val="00B51503"/>
    <w:rsid w:val="00B54DC9"/>
    <w:rsid w:val="00B63DAC"/>
    <w:rsid w:val="00B64CB5"/>
    <w:rsid w:val="00B72D72"/>
    <w:rsid w:val="00B76AB7"/>
    <w:rsid w:val="00B81C3E"/>
    <w:rsid w:val="00B8472C"/>
    <w:rsid w:val="00B855A5"/>
    <w:rsid w:val="00BA23CF"/>
    <w:rsid w:val="00BA3ACA"/>
    <w:rsid w:val="00BC4605"/>
    <w:rsid w:val="00BE08CA"/>
    <w:rsid w:val="00BE6DF5"/>
    <w:rsid w:val="00BF12BF"/>
    <w:rsid w:val="00BF48A8"/>
    <w:rsid w:val="00C0036A"/>
    <w:rsid w:val="00C13164"/>
    <w:rsid w:val="00C30F2D"/>
    <w:rsid w:val="00C5246A"/>
    <w:rsid w:val="00C64AA0"/>
    <w:rsid w:val="00C71AF2"/>
    <w:rsid w:val="00C7326D"/>
    <w:rsid w:val="00C735BA"/>
    <w:rsid w:val="00C766AC"/>
    <w:rsid w:val="00CA12B1"/>
    <w:rsid w:val="00CB6AD2"/>
    <w:rsid w:val="00CB7C45"/>
    <w:rsid w:val="00CC0CA1"/>
    <w:rsid w:val="00CC1987"/>
    <w:rsid w:val="00CC46EA"/>
    <w:rsid w:val="00CD1847"/>
    <w:rsid w:val="00CE07A2"/>
    <w:rsid w:val="00D0369C"/>
    <w:rsid w:val="00D10F19"/>
    <w:rsid w:val="00D12BE9"/>
    <w:rsid w:val="00D16B73"/>
    <w:rsid w:val="00D25315"/>
    <w:rsid w:val="00D32EA2"/>
    <w:rsid w:val="00D73EE9"/>
    <w:rsid w:val="00D74802"/>
    <w:rsid w:val="00D86079"/>
    <w:rsid w:val="00D86C1C"/>
    <w:rsid w:val="00DA7B85"/>
    <w:rsid w:val="00DB0A98"/>
    <w:rsid w:val="00DB328F"/>
    <w:rsid w:val="00DD1999"/>
    <w:rsid w:val="00DE7D8A"/>
    <w:rsid w:val="00DF5F21"/>
    <w:rsid w:val="00E00C6E"/>
    <w:rsid w:val="00E10A7B"/>
    <w:rsid w:val="00E26D76"/>
    <w:rsid w:val="00E465AD"/>
    <w:rsid w:val="00E60427"/>
    <w:rsid w:val="00E649F9"/>
    <w:rsid w:val="00E81FF7"/>
    <w:rsid w:val="00E87BDA"/>
    <w:rsid w:val="00E945DD"/>
    <w:rsid w:val="00E97234"/>
    <w:rsid w:val="00EA2EBD"/>
    <w:rsid w:val="00EB2DC8"/>
    <w:rsid w:val="00EB615C"/>
    <w:rsid w:val="00EE05A5"/>
    <w:rsid w:val="00EE3CAB"/>
    <w:rsid w:val="00EE5F3A"/>
    <w:rsid w:val="00EE6100"/>
    <w:rsid w:val="00EF422E"/>
    <w:rsid w:val="00F03CC8"/>
    <w:rsid w:val="00F16909"/>
    <w:rsid w:val="00F23F69"/>
    <w:rsid w:val="00F526A0"/>
    <w:rsid w:val="00F7641F"/>
    <w:rsid w:val="00FA48BC"/>
    <w:rsid w:val="00FB1321"/>
    <w:rsid w:val="00FB75BC"/>
    <w:rsid w:val="00FE6A20"/>
    <w:rsid w:val="00FF0E59"/>
    <w:rsid w:val="00FF3554"/>
    <w:rsid w:val="00FF40E7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84C19"/>
  <w15:chartTrackingRefBased/>
  <w15:docId w15:val="{01529E0B-005D-4B61-AA98-2F502BAD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3C"/>
  </w:style>
  <w:style w:type="paragraph" w:styleId="Footer">
    <w:name w:val="footer"/>
    <w:basedOn w:val="Normal"/>
    <w:link w:val="FooterChar"/>
    <w:uiPriority w:val="99"/>
    <w:unhideWhenUsed/>
    <w:rsid w:val="007B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3C"/>
  </w:style>
  <w:style w:type="paragraph" w:customStyle="1" w:styleId="Default">
    <w:name w:val="Default"/>
    <w:rsid w:val="00C735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B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1B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C16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16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16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6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6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51F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D860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B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B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B58"/>
    <w:rPr>
      <w:vertAlign w:val="superscript"/>
    </w:rPr>
  </w:style>
  <w:style w:type="character" w:customStyle="1" w:styleId="normaltextrun">
    <w:name w:val="normaltextrun"/>
    <w:basedOn w:val="DefaultParagraphFont"/>
    <w:rsid w:val="00472B58"/>
  </w:style>
  <w:style w:type="paragraph" w:styleId="Revision">
    <w:name w:val="Revision"/>
    <w:hidden/>
    <w:uiPriority w:val="99"/>
    <w:semiHidden/>
    <w:rsid w:val="00062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7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237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885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456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01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358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706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416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029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039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967">
          <w:marLeft w:val="79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044">
          <w:marLeft w:val="40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2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08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818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24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0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2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4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4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olchinsky\AppData\Local\Temp\1\Templafy\WordVsto\MANTAINING%20SOLVENT%20MARKETS%20THROUGH%20COV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emplafyTemplateConfiguration><![CDATA[{"elementsMetadata":[],"transformationConfigurations":[],"templateName":"SSG Letterhead","templateDescription":"","enableDocumentContentUpdater":false,"version":"2.0"}]]></TemplafyTemplateConfiguratio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258B85D741946BC0EBD289EA07974" ma:contentTypeVersion="10" ma:contentTypeDescription="Create a new document." ma:contentTypeScope="" ma:versionID="033d1808178fa39f7c9231b61215d78c">
  <xsd:schema xmlns:xsd="http://www.w3.org/2001/XMLSchema" xmlns:xs="http://www.w3.org/2001/XMLSchema" xmlns:p="http://schemas.microsoft.com/office/2006/metadata/properties" xmlns:ns2="ecb55538-6dac-43ba-9ba8-f511d066a6d8" xmlns:ns3="ae0627e0-74cc-48e6-bab4-2960ffa22704" targetNamespace="http://schemas.microsoft.com/office/2006/metadata/properties" ma:root="true" ma:fieldsID="f918b7739dce904435527306bb9b64f3" ns2:_="" ns3:_="">
    <xsd:import namespace="ecb55538-6dac-43ba-9ba8-f511d066a6d8"/>
    <xsd:import namespace="ae0627e0-74cc-48e6-bab4-2960ffa22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55538-6dac-43ba-9ba8-f511d066a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27e0-74cc-48e6-bab4-2960ffa2270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FormConfiguration><![CDATA[{"formFields":[],"formDataEntries":[]}]]></TemplafyFormConfiguratio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cb55538-6dac-43ba-9ba8-f511d066a6d8" xsi:nil="true"/>
  </documentManagement>
</p:properties>
</file>

<file path=customXml/itemProps1.xml><?xml version="1.0" encoding="utf-8"?>
<ds:datastoreItem xmlns:ds="http://schemas.openxmlformats.org/officeDocument/2006/customXml" ds:itemID="{CF0227ED-4AC0-46CF-AAED-D1865F03E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1F05F7-A2D3-48F9-9F5C-A8E89B6C5D4E}">
  <ds:schemaRefs/>
</ds:datastoreItem>
</file>

<file path=customXml/itemProps3.xml><?xml version="1.0" encoding="utf-8"?>
<ds:datastoreItem xmlns:ds="http://schemas.openxmlformats.org/officeDocument/2006/customXml" ds:itemID="{C99E3B3D-6B59-45A1-A99A-960D8C007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55538-6dac-43ba-9ba8-f511d066a6d8"/>
    <ds:schemaRef ds:uri="ae0627e0-74cc-48e6-bab4-2960ffa22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5F0F43-ECB4-4D52-BD7B-CEC11272C886}">
  <ds:schemaRefs/>
</ds:datastoreItem>
</file>

<file path=customXml/itemProps5.xml><?xml version="1.0" encoding="utf-8"?>
<ds:datastoreItem xmlns:ds="http://schemas.openxmlformats.org/officeDocument/2006/customXml" ds:itemID="{9A58754C-AD52-418F-90DE-38579C815A7F}">
  <ds:schemaRefs>
    <ds:schemaRef ds:uri="http://schemas.microsoft.com/office/2006/metadata/properties"/>
    <ds:schemaRef ds:uri="http://schemas.microsoft.com/office/infopath/2007/PartnerControls"/>
    <ds:schemaRef ds:uri="ecb55538-6dac-43ba-9ba8-f511d066a6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MANTAINING SOLVENT MARKETS THROUGH COVID.dotx</Template>
  <TotalTime>1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MANTAINING SOLVENT MARKETS THROUGH COVID</vt:lpstr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MANTAINING SOLVENT MARKETS THROUGH COVID</dc:title>
  <dc:subject/>
  <dc:creator>Kolchinsky, Eric</dc:creator>
  <cp:keywords/>
  <dc:description/>
  <cp:lastModifiedBy>Genao-Rosado, Denise</cp:lastModifiedBy>
  <cp:revision>3</cp:revision>
  <dcterms:created xsi:type="dcterms:W3CDTF">2022-11-29T16:57:00Z</dcterms:created>
  <dcterms:modified xsi:type="dcterms:W3CDTF">2022-11-29T17:35:00Z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naic</vt:lpwstr>
  </property>
  <property fmtid="{D5CDD505-2E9C-101B-9397-08002B2CF9AE}" pid="3" name="TemplafyTemplateId">
    <vt:lpwstr>637691431134953566</vt:lpwstr>
  </property>
  <property fmtid="{D5CDD505-2E9C-101B-9397-08002B2CF9AE}" pid="4" name="TemplafyUserProfileId">
    <vt:lpwstr>637714858566567269</vt:lpwstr>
  </property>
  <property fmtid="{D5CDD505-2E9C-101B-9397-08002B2CF9AE}" pid="5" name="TemplafyFromBlank">
    <vt:bool>false</vt:bool>
  </property>
  <property fmtid="{D5CDD505-2E9C-101B-9397-08002B2CF9AE}" pid="6" name="ContentTypeId">
    <vt:lpwstr>0x01010075D258B85D741946BC0EBD289EA07974</vt:lpwstr>
  </property>
</Properties>
</file>