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F51" w:rsidRDefault="005A60C9" w:rsidP="00B37ECC">
      <w:pPr>
        <w:pStyle w:val="Header"/>
        <w:tabs>
          <w:tab w:val="clear" w:pos="4320"/>
          <w:tab w:val="clear" w:pos="8640"/>
          <w:tab w:val="center" w:pos="5220"/>
          <w:tab w:val="right" w:pos="9360"/>
        </w:tabs>
        <w:rPr>
          <w:rFonts w:ascii="Helvetica" w:hAnsi="Helvetica"/>
          <w:b/>
          <w:sz w:val="32"/>
          <w:szCs w:val="32"/>
        </w:rPr>
      </w:pPr>
      <w:bookmarkStart w:id="0" w:name="_GoBack"/>
      <w:bookmarkEnd w:id="0"/>
      <w:r>
        <w:t>ALJ/</w:t>
      </w:r>
      <w:r w:rsidR="009D27CC">
        <w:t>ZK1/ek4</w:t>
      </w:r>
      <w:r w:rsidR="00AD6BE7">
        <w:t>/lil</w:t>
      </w:r>
      <w:r w:rsidR="009F003D">
        <w:t>/mph</w:t>
      </w:r>
      <w:r>
        <w:tab/>
      </w:r>
      <w:r w:rsidR="00731B58">
        <w:rPr>
          <w:rFonts w:ascii="Helvetica" w:hAnsi="Helvetica"/>
          <w:b/>
          <w:sz w:val="32"/>
          <w:szCs w:val="32"/>
        </w:rPr>
        <w:t>PROPOSED DECISION</w:t>
      </w:r>
    </w:p>
    <w:p w:rsidR="00731B58" w:rsidRDefault="00A44F51" w:rsidP="00731B58">
      <w:pPr>
        <w:pStyle w:val="Header"/>
        <w:tabs>
          <w:tab w:val="clear" w:pos="4320"/>
          <w:tab w:val="clear" w:pos="8640"/>
          <w:tab w:val="center" w:pos="4680"/>
          <w:tab w:val="right" w:pos="9360"/>
        </w:tabs>
      </w:pPr>
      <w:r>
        <w:rPr>
          <w:rFonts w:ascii="Helvetica" w:hAnsi="Helvetica"/>
          <w:b/>
          <w:sz w:val="32"/>
          <w:szCs w:val="32"/>
        </w:rPr>
        <w:tab/>
      </w:r>
      <w:r w:rsidR="005A60C9">
        <w:tab/>
      </w:r>
      <w:r w:rsidR="00731B58">
        <w:t>Agenda ID#</w:t>
      </w:r>
      <w:r w:rsidR="009D27CC">
        <w:t xml:space="preserve"> </w:t>
      </w:r>
      <w:r w:rsidR="00B80673">
        <w:t>16614</w:t>
      </w:r>
      <w:r>
        <w:t xml:space="preserve">  (Rev. </w:t>
      </w:r>
      <w:r w:rsidR="00851991">
        <w:t>1</w:t>
      </w:r>
      <w:r>
        <w:t>)</w:t>
      </w:r>
    </w:p>
    <w:p w:rsidR="005A60C9" w:rsidRDefault="009D27CC" w:rsidP="00A44F51">
      <w:pPr>
        <w:pStyle w:val="Header"/>
        <w:tabs>
          <w:tab w:val="clear" w:pos="4320"/>
          <w:tab w:val="clear" w:pos="8640"/>
          <w:tab w:val="center" w:pos="4680"/>
          <w:tab w:val="right" w:pos="9270"/>
        </w:tabs>
        <w:jc w:val="right"/>
      </w:pPr>
      <w:r>
        <w:t>Ratesetting</w:t>
      </w:r>
    </w:p>
    <w:p w:rsidR="00AD6BE7" w:rsidRDefault="00A44F51" w:rsidP="00AA3613">
      <w:pPr>
        <w:suppressAutoHyphens/>
        <w:ind w:right="-90"/>
      </w:pPr>
      <w:r>
        <w:tab/>
      </w:r>
      <w:r>
        <w:tab/>
      </w:r>
      <w:r>
        <w:tab/>
      </w:r>
      <w:r>
        <w:tab/>
      </w:r>
      <w:r>
        <w:tab/>
      </w:r>
      <w:r>
        <w:tab/>
      </w:r>
      <w:r>
        <w:tab/>
      </w:r>
      <w:r>
        <w:tab/>
      </w:r>
      <w:r>
        <w:tab/>
      </w:r>
      <w:r w:rsidR="00921D93">
        <w:tab/>
        <w:t xml:space="preserve"> </w:t>
      </w:r>
      <w:r w:rsidR="00921D93">
        <w:tab/>
        <w:t xml:space="preserve"> </w:t>
      </w:r>
    </w:p>
    <w:p w:rsidR="00062304" w:rsidRDefault="00062304" w:rsidP="00AA3613">
      <w:pPr>
        <w:suppressAutoHyphens/>
        <w:ind w:right="-90"/>
      </w:pPr>
    </w:p>
    <w:p w:rsidR="005A60C9" w:rsidRPr="00AD6BE7" w:rsidRDefault="005A60C9">
      <w:pPr>
        <w:suppressAutoHyphens/>
      </w:pPr>
      <w:r>
        <w:t xml:space="preserve">Decision </w:t>
      </w:r>
      <w:r w:rsidR="00AD6BE7">
        <w:rPr>
          <w:b/>
          <w:u w:val="single"/>
        </w:rPr>
        <w:t>PROPOSED DECISION OF ALJ KLINE</w:t>
      </w:r>
      <w:r w:rsidR="00AD6BE7">
        <w:t xml:space="preserve">  (Mailed 6/</w:t>
      </w:r>
      <w:r w:rsidR="00A22564">
        <w:t>2</w:t>
      </w:r>
      <w:r w:rsidR="005A4BEA">
        <w:t>0</w:t>
      </w:r>
      <w:r w:rsidR="00AD6BE7">
        <w:t>/2018)</w:t>
      </w:r>
    </w:p>
    <w:p w:rsidR="005A60C9" w:rsidRDefault="005A60C9">
      <w:pPr>
        <w:suppressAutoHyphens/>
      </w:pPr>
    </w:p>
    <w:p w:rsidR="005A60C9" w:rsidRDefault="005A60C9">
      <w:pPr>
        <w:pStyle w:val="titlebar"/>
        <w:rPr>
          <w:sz w:val="24"/>
        </w:rPr>
      </w:pPr>
      <w:r>
        <w:rPr>
          <w:sz w:val="24"/>
        </w:rPr>
        <w:t>BEFORE THE PUBLIC UTILITIES COMMISSION OF THE STATE OF CALIFORNIA</w:t>
      </w:r>
    </w:p>
    <w:p w:rsidR="005A60C9" w:rsidRDefault="005A60C9">
      <w:pPr>
        <w:suppressAutoHyphens/>
      </w:pPr>
    </w:p>
    <w:tbl>
      <w:tblPr>
        <w:tblW w:w="0" w:type="auto"/>
        <w:tblLayout w:type="fixed"/>
        <w:tblLook w:val="0000" w:firstRow="0" w:lastRow="0" w:firstColumn="0" w:lastColumn="0" w:noHBand="0" w:noVBand="0"/>
      </w:tblPr>
      <w:tblGrid>
        <w:gridCol w:w="5328"/>
        <w:gridCol w:w="3917"/>
      </w:tblGrid>
      <w:tr w:rsidR="005A60C9">
        <w:tc>
          <w:tcPr>
            <w:tcW w:w="5328" w:type="dxa"/>
            <w:tcBorders>
              <w:bottom w:val="single" w:sz="6" w:space="0" w:color="auto"/>
              <w:right w:val="single" w:sz="6" w:space="0" w:color="auto"/>
            </w:tcBorders>
          </w:tcPr>
          <w:p w:rsidR="005A60C9" w:rsidRDefault="00EF7874" w:rsidP="00EF7874">
            <w:r w:rsidRPr="00EF7874">
              <w:t>In the Matter of the Application of Bandwidth.com CLEC, LLC (U7038C) for Approval to Transfer Control of Bandwidth.com CLEC, LLC to David A. Morken Pursuant to California Public Utilities Code Section 854(a).</w:t>
            </w:r>
          </w:p>
          <w:p w:rsidR="00EF7874" w:rsidRDefault="00EF7874" w:rsidP="00EF7874"/>
        </w:tc>
        <w:tc>
          <w:tcPr>
            <w:tcW w:w="3917" w:type="dxa"/>
            <w:tcBorders>
              <w:left w:val="nil"/>
            </w:tcBorders>
          </w:tcPr>
          <w:p w:rsidR="007F2452" w:rsidRDefault="007F2452" w:rsidP="00477518">
            <w:pPr>
              <w:jc w:val="center"/>
              <w:rPr>
                <w:color w:val="000000"/>
              </w:rPr>
            </w:pPr>
          </w:p>
          <w:p w:rsidR="004F2ED7" w:rsidRDefault="004F2ED7" w:rsidP="00477518">
            <w:pPr>
              <w:jc w:val="center"/>
              <w:rPr>
                <w:color w:val="000000"/>
              </w:rPr>
            </w:pPr>
          </w:p>
          <w:p w:rsidR="00256907" w:rsidRDefault="00256907" w:rsidP="00477518">
            <w:pPr>
              <w:jc w:val="center"/>
              <w:rPr>
                <w:color w:val="000000"/>
              </w:rPr>
            </w:pPr>
          </w:p>
          <w:p w:rsidR="00477518" w:rsidRPr="00C92070" w:rsidRDefault="00477518" w:rsidP="00477518">
            <w:pPr>
              <w:jc w:val="center"/>
              <w:rPr>
                <w:color w:val="000000"/>
              </w:rPr>
            </w:pPr>
            <w:r w:rsidRPr="00C92070">
              <w:rPr>
                <w:color w:val="000000"/>
              </w:rPr>
              <w:t xml:space="preserve">Application 17-09-007  </w:t>
            </w:r>
          </w:p>
          <w:p w:rsidR="005A60C9" w:rsidRDefault="005A60C9">
            <w:pPr>
              <w:jc w:val="center"/>
            </w:pPr>
          </w:p>
        </w:tc>
      </w:tr>
    </w:tbl>
    <w:p w:rsidR="005A60C9" w:rsidRDefault="005A60C9">
      <w:pPr>
        <w:suppressAutoHyphens/>
      </w:pPr>
    </w:p>
    <w:p w:rsidR="00ED45AC" w:rsidRPr="006E1170" w:rsidRDefault="00025620" w:rsidP="00DC33A9">
      <w:pPr>
        <w:pStyle w:val="main"/>
        <w:sectPr w:rsidR="00ED45AC" w:rsidRPr="006E1170" w:rsidSect="00A02896">
          <w:headerReference w:type="even" r:id="rId9"/>
          <w:headerReference w:type="default" r:id="rId10"/>
          <w:footerReference w:type="even" r:id="rId11"/>
          <w:footerReference w:type="default" r:id="rId12"/>
          <w:headerReference w:type="first" r:id="rId13"/>
          <w:footerReference w:type="first" r:id="rId14"/>
          <w:pgSz w:w="12240" w:h="15840" w:code="1"/>
          <w:pgMar w:top="1728" w:right="1440" w:bottom="1440" w:left="1440" w:header="720" w:footer="720" w:gutter="0"/>
          <w:pgNumType w:start="1"/>
          <w:cols w:space="720"/>
          <w:titlePg/>
          <w:docGrid w:linePitch="354"/>
        </w:sectPr>
      </w:pPr>
      <w:bookmarkStart w:id="1" w:name="_Toc520204950"/>
      <w:r>
        <w:t>D</w:t>
      </w:r>
      <w:r w:rsidR="009D27CC">
        <w:t xml:space="preserve">ECISION DENYING TRANSFER OF CONTROL </w:t>
      </w:r>
      <w:r w:rsidR="00DC33A9">
        <w:br/>
      </w:r>
      <w:r w:rsidR="009D27CC" w:rsidRPr="004E3370">
        <w:t>OF BANDWIDTH.COM CLEC, LLC TO DAVID A. MORKEN</w:t>
      </w:r>
      <w:bookmarkEnd w:id="1"/>
    </w:p>
    <w:p w:rsidR="002A377F" w:rsidRDefault="00ED45AC">
      <w:pPr>
        <w:pStyle w:val="TOC1"/>
        <w:tabs>
          <w:tab w:val="right" w:leader="dot" w:pos="9350"/>
        </w:tabs>
        <w:rPr>
          <w:rFonts w:asciiTheme="minorHAnsi" w:eastAsiaTheme="minorEastAsia" w:hAnsiTheme="minorHAnsi" w:cstheme="minorBidi"/>
          <w:noProof/>
          <w:sz w:val="22"/>
          <w:szCs w:val="22"/>
        </w:rPr>
      </w:pPr>
      <w:r w:rsidRPr="006E1170">
        <w:rPr>
          <w:noProof/>
          <w:szCs w:val="26"/>
        </w:rPr>
        <w:lastRenderedPageBreak/>
        <w:fldChar w:fldCharType="begin"/>
      </w:r>
      <w:r w:rsidRPr="006E1170">
        <w:instrText xml:space="preserve"> TOC \h \z \t "Heading 1,2,Heading 2,3,Heading 3,4,Heading 4,5,main,1,mainex,1,dummy,1" </w:instrText>
      </w:r>
      <w:r w:rsidRPr="006E1170">
        <w:rPr>
          <w:noProof/>
          <w:szCs w:val="26"/>
        </w:rPr>
        <w:fldChar w:fldCharType="separate"/>
      </w:r>
      <w:hyperlink w:anchor="_Toc520204950" w:history="1">
        <w:r w:rsidR="002A377F" w:rsidRPr="00FE76A4">
          <w:rPr>
            <w:rStyle w:val="Hyperlink"/>
            <w:noProof/>
          </w:rPr>
          <w:t xml:space="preserve">DECISION DENYING TRANSFER OF CONTROL OF </w:t>
        </w:r>
        <w:r w:rsidR="00797E9D">
          <w:rPr>
            <w:rStyle w:val="Hyperlink"/>
            <w:noProof/>
          </w:rPr>
          <w:br/>
        </w:r>
        <w:r w:rsidR="002A377F" w:rsidRPr="00FE76A4">
          <w:rPr>
            <w:rStyle w:val="Hyperlink"/>
            <w:noProof/>
          </w:rPr>
          <w:t>BANDWIDTH.COM CLEC, LLC TO DAVID A. MORKEN</w:t>
        </w:r>
        <w:r w:rsidR="002A377F">
          <w:rPr>
            <w:noProof/>
            <w:webHidden/>
          </w:rPr>
          <w:tab/>
        </w:r>
        <w:r w:rsidR="002A377F">
          <w:rPr>
            <w:noProof/>
            <w:webHidden/>
          </w:rPr>
          <w:fldChar w:fldCharType="begin"/>
        </w:r>
        <w:r w:rsidR="002A377F">
          <w:rPr>
            <w:noProof/>
            <w:webHidden/>
          </w:rPr>
          <w:instrText xml:space="preserve"> PAGEREF _Toc520204950 \h </w:instrText>
        </w:r>
        <w:r w:rsidR="002A377F">
          <w:rPr>
            <w:noProof/>
            <w:webHidden/>
          </w:rPr>
        </w:r>
        <w:r w:rsidR="002A377F">
          <w:rPr>
            <w:noProof/>
            <w:webHidden/>
          </w:rPr>
          <w:fldChar w:fldCharType="separate"/>
        </w:r>
        <w:r w:rsidR="00005BDE">
          <w:rPr>
            <w:noProof/>
            <w:webHidden/>
          </w:rPr>
          <w:t>1</w:t>
        </w:r>
        <w:r w:rsidR="002A377F">
          <w:rPr>
            <w:noProof/>
            <w:webHidden/>
          </w:rPr>
          <w:fldChar w:fldCharType="end"/>
        </w:r>
      </w:hyperlink>
    </w:p>
    <w:p w:rsidR="002A377F" w:rsidRDefault="00005BDE" w:rsidP="00B03C9E">
      <w:pPr>
        <w:pStyle w:val="TOC2"/>
        <w:rPr>
          <w:rFonts w:asciiTheme="minorHAnsi" w:eastAsiaTheme="minorEastAsia" w:hAnsiTheme="minorHAnsi" w:cstheme="minorBidi"/>
          <w:noProof/>
          <w:sz w:val="22"/>
          <w:szCs w:val="22"/>
        </w:rPr>
      </w:pPr>
      <w:hyperlink w:anchor="_Toc520204953" w:history="1">
        <w:r w:rsidR="002A377F" w:rsidRPr="00FE76A4">
          <w:rPr>
            <w:rStyle w:val="Hyperlink"/>
            <w:noProof/>
          </w:rPr>
          <w:t>Summary</w:t>
        </w:r>
        <w:r w:rsidR="002A377F">
          <w:rPr>
            <w:noProof/>
            <w:webHidden/>
          </w:rPr>
          <w:tab/>
        </w:r>
        <w:r w:rsidR="00B03C9E">
          <w:rPr>
            <w:noProof/>
            <w:webHidden/>
          </w:rPr>
          <w:tab/>
        </w:r>
        <w:r w:rsidR="002A377F">
          <w:rPr>
            <w:noProof/>
            <w:webHidden/>
          </w:rPr>
          <w:fldChar w:fldCharType="begin"/>
        </w:r>
        <w:r w:rsidR="002A377F">
          <w:rPr>
            <w:noProof/>
            <w:webHidden/>
          </w:rPr>
          <w:instrText xml:space="preserve"> PAGEREF _Toc520204953 \h </w:instrText>
        </w:r>
        <w:r w:rsidR="002A377F">
          <w:rPr>
            <w:noProof/>
            <w:webHidden/>
          </w:rPr>
        </w:r>
        <w:r w:rsidR="002A377F">
          <w:rPr>
            <w:noProof/>
            <w:webHidden/>
          </w:rPr>
          <w:fldChar w:fldCharType="separate"/>
        </w:r>
        <w:r>
          <w:rPr>
            <w:noProof/>
            <w:webHidden/>
          </w:rPr>
          <w:t>2</w:t>
        </w:r>
        <w:r w:rsidR="002A377F">
          <w:rPr>
            <w:noProof/>
            <w:webHidden/>
          </w:rPr>
          <w:fldChar w:fldCharType="end"/>
        </w:r>
      </w:hyperlink>
    </w:p>
    <w:p w:rsidR="002A377F" w:rsidRDefault="00005BDE" w:rsidP="00B03C9E">
      <w:pPr>
        <w:pStyle w:val="TOC2"/>
        <w:rPr>
          <w:rFonts w:asciiTheme="minorHAnsi" w:eastAsiaTheme="minorEastAsia" w:hAnsiTheme="minorHAnsi" w:cstheme="minorBidi"/>
          <w:noProof/>
          <w:sz w:val="22"/>
          <w:szCs w:val="22"/>
        </w:rPr>
      </w:pPr>
      <w:hyperlink w:anchor="_Toc520204954" w:history="1">
        <w:r w:rsidR="002A377F" w:rsidRPr="00FE76A4">
          <w:rPr>
            <w:rStyle w:val="Hyperlink"/>
            <w:rFonts w:eastAsia="Book Antiqua"/>
            <w:noProof/>
          </w:rPr>
          <w:t>1.</w:t>
        </w:r>
        <w:r w:rsidR="002A377F">
          <w:rPr>
            <w:rFonts w:asciiTheme="minorHAnsi" w:eastAsiaTheme="minorEastAsia" w:hAnsiTheme="minorHAnsi" w:cstheme="minorBidi"/>
            <w:noProof/>
            <w:sz w:val="22"/>
            <w:szCs w:val="22"/>
          </w:rPr>
          <w:tab/>
        </w:r>
        <w:r w:rsidR="002A377F" w:rsidRPr="00FE76A4">
          <w:rPr>
            <w:rStyle w:val="Hyperlink"/>
            <w:rFonts w:eastAsia="Book Antiqua"/>
            <w:noProof/>
          </w:rPr>
          <w:t>Factual Background</w:t>
        </w:r>
        <w:r w:rsidR="002A377F">
          <w:rPr>
            <w:noProof/>
            <w:webHidden/>
          </w:rPr>
          <w:tab/>
        </w:r>
        <w:r w:rsidR="002A377F">
          <w:rPr>
            <w:noProof/>
            <w:webHidden/>
          </w:rPr>
          <w:fldChar w:fldCharType="begin"/>
        </w:r>
        <w:r w:rsidR="002A377F">
          <w:rPr>
            <w:noProof/>
            <w:webHidden/>
          </w:rPr>
          <w:instrText xml:space="preserve"> PAGEREF _Toc520204954 \h </w:instrText>
        </w:r>
        <w:r w:rsidR="002A377F">
          <w:rPr>
            <w:noProof/>
            <w:webHidden/>
          </w:rPr>
        </w:r>
        <w:r w:rsidR="002A377F">
          <w:rPr>
            <w:noProof/>
            <w:webHidden/>
          </w:rPr>
          <w:fldChar w:fldCharType="separate"/>
        </w:r>
        <w:r>
          <w:rPr>
            <w:noProof/>
            <w:webHidden/>
          </w:rPr>
          <w:t>2</w:t>
        </w:r>
        <w:r w:rsidR="002A377F">
          <w:rPr>
            <w:noProof/>
            <w:webHidden/>
          </w:rPr>
          <w:fldChar w:fldCharType="end"/>
        </w:r>
      </w:hyperlink>
    </w:p>
    <w:p w:rsidR="002A377F" w:rsidRDefault="00005BDE" w:rsidP="00B03C9E">
      <w:pPr>
        <w:pStyle w:val="TOC2"/>
        <w:rPr>
          <w:rFonts w:asciiTheme="minorHAnsi" w:eastAsiaTheme="minorEastAsia" w:hAnsiTheme="minorHAnsi" w:cstheme="minorBidi"/>
          <w:noProof/>
          <w:sz w:val="22"/>
          <w:szCs w:val="22"/>
        </w:rPr>
      </w:pPr>
      <w:hyperlink w:anchor="_Toc520204955" w:history="1">
        <w:r w:rsidR="002A377F" w:rsidRPr="00FE76A4">
          <w:rPr>
            <w:rStyle w:val="Hyperlink"/>
            <w:rFonts w:eastAsia="Book Antiqua"/>
            <w:noProof/>
          </w:rPr>
          <w:t>2.</w:t>
        </w:r>
        <w:r w:rsidR="002A377F">
          <w:rPr>
            <w:rFonts w:asciiTheme="minorHAnsi" w:eastAsiaTheme="minorEastAsia" w:hAnsiTheme="minorHAnsi" w:cstheme="minorBidi"/>
            <w:noProof/>
            <w:sz w:val="22"/>
            <w:szCs w:val="22"/>
          </w:rPr>
          <w:tab/>
        </w:r>
        <w:r w:rsidR="002A377F" w:rsidRPr="00FE76A4">
          <w:rPr>
            <w:rStyle w:val="Hyperlink"/>
            <w:rFonts w:eastAsia="Book Antiqua"/>
            <w:noProof/>
          </w:rPr>
          <w:t>Procedural Background</w:t>
        </w:r>
        <w:r w:rsidR="002A377F">
          <w:rPr>
            <w:noProof/>
            <w:webHidden/>
          </w:rPr>
          <w:tab/>
        </w:r>
        <w:r w:rsidR="002A377F">
          <w:rPr>
            <w:noProof/>
            <w:webHidden/>
          </w:rPr>
          <w:fldChar w:fldCharType="begin"/>
        </w:r>
        <w:r w:rsidR="002A377F">
          <w:rPr>
            <w:noProof/>
            <w:webHidden/>
          </w:rPr>
          <w:instrText xml:space="preserve"> PAGEREF _Toc520204955 \h </w:instrText>
        </w:r>
        <w:r w:rsidR="002A377F">
          <w:rPr>
            <w:noProof/>
            <w:webHidden/>
          </w:rPr>
        </w:r>
        <w:r w:rsidR="002A377F">
          <w:rPr>
            <w:noProof/>
            <w:webHidden/>
          </w:rPr>
          <w:fldChar w:fldCharType="separate"/>
        </w:r>
        <w:r>
          <w:rPr>
            <w:noProof/>
            <w:webHidden/>
          </w:rPr>
          <w:t>4</w:t>
        </w:r>
        <w:r w:rsidR="002A377F">
          <w:rPr>
            <w:noProof/>
            <w:webHidden/>
          </w:rPr>
          <w:fldChar w:fldCharType="end"/>
        </w:r>
      </w:hyperlink>
    </w:p>
    <w:p w:rsidR="002A377F" w:rsidRDefault="00005BDE" w:rsidP="00B03C9E">
      <w:pPr>
        <w:pStyle w:val="TOC2"/>
        <w:rPr>
          <w:rFonts w:asciiTheme="minorHAnsi" w:eastAsiaTheme="minorEastAsia" w:hAnsiTheme="minorHAnsi" w:cstheme="minorBidi"/>
          <w:noProof/>
          <w:sz w:val="22"/>
          <w:szCs w:val="22"/>
        </w:rPr>
      </w:pPr>
      <w:hyperlink w:anchor="_Toc520204956" w:history="1">
        <w:r w:rsidR="002A377F" w:rsidRPr="00FE76A4">
          <w:rPr>
            <w:rStyle w:val="Hyperlink"/>
            <w:noProof/>
          </w:rPr>
          <w:t>3.</w:t>
        </w:r>
        <w:r w:rsidR="002A377F">
          <w:rPr>
            <w:rFonts w:asciiTheme="minorHAnsi" w:eastAsiaTheme="minorEastAsia" w:hAnsiTheme="minorHAnsi" w:cstheme="minorBidi"/>
            <w:noProof/>
            <w:sz w:val="22"/>
            <w:szCs w:val="22"/>
          </w:rPr>
          <w:tab/>
        </w:r>
        <w:r w:rsidR="002A377F" w:rsidRPr="00FE76A4">
          <w:rPr>
            <w:rStyle w:val="Hyperlink"/>
            <w:noProof/>
          </w:rPr>
          <w:t>Jurisdiction</w:t>
        </w:r>
        <w:r w:rsidR="002A377F">
          <w:rPr>
            <w:noProof/>
            <w:webHidden/>
          </w:rPr>
          <w:tab/>
        </w:r>
        <w:r w:rsidR="002A377F">
          <w:rPr>
            <w:noProof/>
            <w:webHidden/>
          </w:rPr>
          <w:fldChar w:fldCharType="begin"/>
        </w:r>
        <w:r w:rsidR="002A377F">
          <w:rPr>
            <w:noProof/>
            <w:webHidden/>
          </w:rPr>
          <w:instrText xml:space="preserve"> PAGEREF _Toc520204956 \h </w:instrText>
        </w:r>
        <w:r w:rsidR="002A377F">
          <w:rPr>
            <w:noProof/>
            <w:webHidden/>
          </w:rPr>
        </w:r>
        <w:r w:rsidR="002A377F">
          <w:rPr>
            <w:noProof/>
            <w:webHidden/>
          </w:rPr>
          <w:fldChar w:fldCharType="separate"/>
        </w:r>
        <w:r>
          <w:rPr>
            <w:noProof/>
            <w:webHidden/>
          </w:rPr>
          <w:t>8</w:t>
        </w:r>
        <w:r w:rsidR="002A377F">
          <w:rPr>
            <w:noProof/>
            <w:webHidden/>
          </w:rPr>
          <w:fldChar w:fldCharType="end"/>
        </w:r>
      </w:hyperlink>
    </w:p>
    <w:p w:rsidR="002A377F" w:rsidRDefault="00005BDE" w:rsidP="00B03C9E">
      <w:pPr>
        <w:pStyle w:val="TOC2"/>
        <w:rPr>
          <w:rFonts w:asciiTheme="minorHAnsi" w:eastAsiaTheme="minorEastAsia" w:hAnsiTheme="minorHAnsi" w:cstheme="minorBidi"/>
          <w:noProof/>
          <w:sz w:val="22"/>
          <w:szCs w:val="22"/>
        </w:rPr>
      </w:pPr>
      <w:hyperlink w:anchor="_Toc520204957" w:history="1">
        <w:r w:rsidR="002A377F" w:rsidRPr="00FE76A4">
          <w:rPr>
            <w:rStyle w:val="Hyperlink"/>
            <w:noProof/>
          </w:rPr>
          <w:t>4.</w:t>
        </w:r>
        <w:r w:rsidR="002A377F">
          <w:rPr>
            <w:rFonts w:asciiTheme="minorHAnsi" w:eastAsiaTheme="minorEastAsia" w:hAnsiTheme="minorHAnsi" w:cstheme="minorBidi"/>
            <w:noProof/>
            <w:sz w:val="22"/>
            <w:szCs w:val="22"/>
          </w:rPr>
          <w:tab/>
        </w:r>
        <w:r w:rsidR="002A377F" w:rsidRPr="00FE76A4">
          <w:rPr>
            <w:rStyle w:val="Hyperlink"/>
            <w:noProof/>
          </w:rPr>
          <w:t>Discussion</w:t>
        </w:r>
        <w:r w:rsidR="002A377F">
          <w:rPr>
            <w:noProof/>
            <w:webHidden/>
          </w:rPr>
          <w:tab/>
        </w:r>
        <w:r w:rsidR="002A377F">
          <w:rPr>
            <w:noProof/>
            <w:webHidden/>
          </w:rPr>
          <w:fldChar w:fldCharType="begin"/>
        </w:r>
        <w:r w:rsidR="002A377F">
          <w:rPr>
            <w:noProof/>
            <w:webHidden/>
          </w:rPr>
          <w:instrText xml:space="preserve"> PAGEREF _Toc520204957 \h </w:instrText>
        </w:r>
        <w:r w:rsidR="002A377F">
          <w:rPr>
            <w:noProof/>
            <w:webHidden/>
          </w:rPr>
        </w:r>
        <w:r w:rsidR="002A377F">
          <w:rPr>
            <w:noProof/>
            <w:webHidden/>
          </w:rPr>
          <w:fldChar w:fldCharType="separate"/>
        </w:r>
        <w:r>
          <w:rPr>
            <w:noProof/>
            <w:webHidden/>
          </w:rPr>
          <w:t>8</w:t>
        </w:r>
        <w:r w:rsidR="002A377F">
          <w:rPr>
            <w:noProof/>
            <w:webHidden/>
          </w:rPr>
          <w:fldChar w:fldCharType="end"/>
        </w:r>
      </w:hyperlink>
    </w:p>
    <w:p w:rsidR="002A377F" w:rsidRDefault="00005BDE" w:rsidP="00B03C9E">
      <w:pPr>
        <w:pStyle w:val="TOC3"/>
        <w:rPr>
          <w:rFonts w:asciiTheme="minorHAnsi" w:eastAsiaTheme="minorEastAsia" w:hAnsiTheme="minorHAnsi" w:cstheme="minorBidi"/>
          <w:noProof/>
          <w:sz w:val="22"/>
          <w:szCs w:val="22"/>
        </w:rPr>
      </w:pPr>
      <w:hyperlink w:anchor="_Toc520204958" w:history="1">
        <w:r w:rsidR="002A377F" w:rsidRPr="00FE76A4">
          <w:rPr>
            <w:rStyle w:val="Hyperlink"/>
            <w:noProof/>
          </w:rPr>
          <w:t>4.1.</w:t>
        </w:r>
        <w:r w:rsidR="002A377F">
          <w:rPr>
            <w:rFonts w:asciiTheme="minorHAnsi" w:eastAsiaTheme="minorEastAsia" w:hAnsiTheme="minorHAnsi" w:cstheme="minorBidi"/>
            <w:noProof/>
            <w:sz w:val="22"/>
            <w:szCs w:val="22"/>
          </w:rPr>
          <w:tab/>
        </w:r>
        <w:r w:rsidR="002A377F" w:rsidRPr="00FE76A4">
          <w:rPr>
            <w:rStyle w:val="Hyperlink"/>
            <w:noProof/>
          </w:rPr>
          <w:t xml:space="preserve">Options for the Transfer of Control from Bandwidth CLEC </w:t>
        </w:r>
        <w:r w:rsidR="00B03C9E">
          <w:rPr>
            <w:rStyle w:val="Hyperlink"/>
            <w:noProof/>
          </w:rPr>
          <w:br/>
        </w:r>
        <w:r w:rsidR="002A377F" w:rsidRPr="00FE76A4">
          <w:rPr>
            <w:rStyle w:val="Hyperlink"/>
            <w:noProof/>
          </w:rPr>
          <w:t>to David A. Morken</w:t>
        </w:r>
        <w:r w:rsidR="002A377F">
          <w:rPr>
            <w:noProof/>
            <w:webHidden/>
          </w:rPr>
          <w:tab/>
        </w:r>
        <w:r w:rsidR="002A377F">
          <w:rPr>
            <w:noProof/>
            <w:webHidden/>
          </w:rPr>
          <w:fldChar w:fldCharType="begin"/>
        </w:r>
        <w:r w:rsidR="002A377F">
          <w:rPr>
            <w:noProof/>
            <w:webHidden/>
          </w:rPr>
          <w:instrText xml:space="preserve"> PAGEREF _Toc520204958 \h </w:instrText>
        </w:r>
        <w:r w:rsidR="002A377F">
          <w:rPr>
            <w:noProof/>
            <w:webHidden/>
          </w:rPr>
        </w:r>
        <w:r w:rsidR="002A377F">
          <w:rPr>
            <w:noProof/>
            <w:webHidden/>
          </w:rPr>
          <w:fldChar w:fldCharType="separate"/>
        </w:r>
        <w:r>
          <w:rPr>
            <w:noProof/>
            <w:webHidden/>
          </w:rPr>
          <w:t>11</w:t>
        </w:r>
        <w:r w:rsidR="002A377F">
          <w:rPr>
            <w:noProof/>
            <w:webHidden/>
          </w:rPr>
          <w:fldChar w:fldCharType="end"/>
        </w:r>
      </w:hyperlink>
    </w:p>
    <w:p w:rsidR="002A377F" w:rsidRDefault="00005BDE" w:rsidP="00B03C9E">
      <w:pPr>
        <w:pStyle w:val="TOC3"/>
        <w:rPr>
          <w:rFonts w:asciiTheme="minorHAnsi" w:eastAsiaTheme="minorEastAsia" w:hAnsiTheme="minorHAnsi" w:cstheme="minorBidi"/>
          <w:noProof/>
          <w:sz w:val="22"/>
          <w:szCs w:val="22"/>
        </w:rPr>
      </w:pPr>
      <w:hyperlink w:anchor="_Toc520204959" w:history="1">
        <w:r w:rsidR="002A377F" w:rsidRPr="00FE76A4">
          <w:rPr>
            <w:rStyle w:val="Hyperlink"/>
            <w:noProof/>
          </w:rPr>
          <w:t>4.2.</w:t>
        </w:r>
        <w:r w:rsidR="002A377F">
          <w:rPr>
            <w:rFonts w:asciiTheme="minorHAnsi" w:eastAsiaTheme="minorEastAsia" w:hAnsiTheme="minorHAnsi" w:cstheme="minorBidi"/>
            <w:noProof/>
            <w:sz w:val="22"/>
            <w:szCs w:val="22"/>
          </w:rPr>
          <w:tab/>
        </w:r>
        <w:r w:rsidR="002A377F" w:rsidRPr="00FE76A4">
          <w:rPr>
            <w:rStyle w:val="Hyperlink"/>
            <w:noProof/>
          </w:rPr>
          <w:t>Lack of Candor in Application 07-03-020</w:t>
        </w:r>
        <w:r w:rsidR="002A377F">
          <w:rPr>
            <w:noProof/>
            <w:webHidden/>
          </w:rPr>
          <w:tab/>
        </w:r>
        <w:r w:rsidR="002A377F">
          <w:rPr>
            <w:noProof/>
            <w:webHidden/>
          </w:rPr>
          <w:fldChar w:fldCharType="begin"/>
        </w:r>
        <w:r w:rsidR="002A377F">
          <w:rPr>
            <w:noProof/>
            <w:webHidden/>
          </w:rPr>
          <w:instrText xml:space="preserve"> PAGEREF _Toc520204959 \h </w:instrText>
        </w:r>
        <w:r w:rsidR="002A377F">
          <w:rPr>
            <w:noProof/>
            <w:webHidden/>
          </w:rPr>
        </w:r>
        <w:r w:rsidR="002A377F">
          <w:rPr>
            <w:noProof/>
            <w:webHidden/>
          </w:rPr>
          <w:fldChar w:fldCharType="separate"/>
        </w:r>
        <w:r>
          <w:rPr>
            <w:noProof/>
            <w:webHidden/>
          </w:rPr>
          <w:t>16</w:t>
        </w:r>
        <w:r w:rsidR="002A377F">
          <w:rPr>
            <w:noProof/>
            <w:webHidden/>
          </w:rPr>
          <w:fldChar w:fldCharType="end"/>
        </w:r>
      </w:hyperlink>
    </w:p>
    <w:p w:rsidR="002A377F" w:rsidRDefault="00005BDE" w:rsidP="00B03C9E">
      <w:pPr>
        <w:pStyle w:val="TOC2"/>
        <w:rPr>
          <w:rFonts w:asciiTheme="minorHAnsi" w:eastAsiaTheme="minorEastAsia" w:hAnsiTheme="minorHAnsi" w:cstheme="minorBidi"/>
          <w:noProof/>
          <w:sz w:val="22"/>
          <w:szCs w:val="22"/>
        </w:rPr>
      </w:pPr>
      <w:hyperlink w:anchor="_Toc520204960" w:history="1">
        <w:r w:rsidR="002A377F" w:rsidRPr="00FE76A4">
          <w:rPr>
            <w:rStyle w:val="Hyperlink"/>
            <w:noProof/>
          </w:rPr>
          <w:t>5.</w:t>
        </w:r>
        <w:r w:rsidR="002A377F">
          <w:rPr>
            <w:rFonts w:asciiTheme="minorHAnsi" w:eastAsiaTheme="minorEastAsia" w:hAnsiTheme="minorHAnsi" w:cstheme="minorBidi"/>
            <w:noProof/>
            <w:sz w:val="22"/>
            <w:szCs w:val="22"/>
          </w:rPr>
          <w:tab/>
        </w:r>
        <w:r w:rsidR="002A377F" w:rsidRPr="00FE76A4">
          <w:rPr>
            <w:rStyle w:val="Hyperlink"/>
            <w:noProof/>
          </w:rPr>
          <w:t>Imposition of Fine Pursuant to Section 2107</w:t>
        </w:r>
        <w:r w:rsidR="002A377F">
          <w:rPr>
            <w:noProof/>
            <w:webHidden/>
          </w:rPr>
          <w:tab/>
        </w:r>
        <w:r w:rsidR="002A377F">
          <w:rPr>
            <w:noProof/>
            <w:webHidden/>
          </w:rPr>
          <w:fldChar w:fldCharType="begin"/>
        </w:r>
        <w:r w:rsidR="002A377F">
          <w:rPr>
            <w:noProof/>
            <w:webHidden/>
          </w:rPr>
          <w:instrText xml:space="preserve"> PAGEREF _Toc520204960 \h </w:instrText>
        </w:r>
        <w:r w:rsidR="002A377F">
          <w:rPr>
            <w:noProof/>
            <w:webHidden/>
          </w:rPr>
        </w:r>
        <w:r w:rsidR="002A377F">
          <w:rPr>
            <w:noProof/>
            <w:webHidden/>
          </w:rPr>
          <w:fldChar w:fldCharType="separate"/>
        </w:r>
        <w:r>
          <w:rPr>
            <w:noProof/>
            <w:webHidden/>
          </w:rPr>
          <w:t>18</w:t>
        </w:r>
        <w:r w:rsidR="002A377F">
          <w:rPr>
            <w:noProof/>
            <w:webHidden/>
          </w:rPr>
          <w:fldChar w:fldCharType="end"/>
        </w:r>
      </w:hyperlink>
    </w:p>
    <w:p w:rsidR="002A377F" w:rsidRDefault="00005BDE" w:rsidP="00B03C9E">
      <w:pPr>
        <w:pStyle w:val="TOC3"/>
        <w:rPr>
          <w:rFonts w:asciiTheme="minorHAnsi" w:eastAsiaTheme="minorEastAsia" w:hAnsiTheme="minorHAnsi" w:cstheme="minorBidi"/>
          <w:noProof/>
          <w:sz w:val="22"/>
          <w:szCs w:val="22"/>
        </w:rPr>
      </w:pPr>
      <w:hyperlink w:anchor="_Toc520204961" w:history="1">
        <w:r w:rsidR="002A377F" w:rsidRPr="00FE76A4">
          <w:rPr>
            <w:rStyle w:val="Hyperlink"/>
            <w:noProof/>
          </w:rPr>
          <w:t>5.1.</w:t>
        </w:r>
        <w:r w:rsidR="002A377F">
          <w:rPr>
            <w:rFonts w:asciiTheme="minorHAnsi" w:eastAsiaTheme="minorEastAsia" w:hAnsiTheme="minorHAnsi" w:cstheme="minorBidi"/>
            <w:noProof/>
            <w:sz w:val="22"/>
            <w:szCs w:val="22"/>
          </w:rPr>
          <w:tab/>
        </w:r>
        <w:r w:rsidR="002A377F" w:rsidRPr="00FE76A4">
          <w:rPr>
            <w:rStyle w:val="Hyperlink"/>
            <w:noProof/>
          </w:rPr>
          <w:t>Severity of the Offense</w:t>
        </w:r>
        <w:r w:rsidR="002A377F">
          <w:rPr>
            <w:noProof/>
            <w:webHidden/>
          </w:rPr>
          <w:tab/>
        </w:r>
        <w:r w:rsidR="002A377F">
          <w:rPr>
            <w:noProof/>
            <w:webHidden/>
          </w:rPr>
          <w:fldChar w:fldCharType="begin"/>
        </w:r>
        <w:r w:rsidR="002A377F">
          <w:rPr>
            <w:noProof/>
            <w:webHidden/>
          </w:rPr>
          <w:instrText xml:space="preserve"> PAGEREF _Toc520204961 \h </w:instrText>
        </w:r>
        <w:r w:rsidR="002A377F">
          <w:rPr>
            <w:noProof/>
            <w:webHidden/>
          </w:rPr>
        </w:r>
        <w:r w:rsidR="002A377F">
          <w:rPr>
            <w:noProof/>
            <w:webHidden/>
          </w:rPr>
          <w:fldChar w:fldCharType="separate"/>
        </w:r>
        <w:r>
          <w:rPr>
            <w:noProof/>
            <w:webHidden/>
          </w:rPr>
          <w:t>19</w:t>
        </w:r>
        <w:r w:rsidR="002A377F">
          <w:rPr>
            <w:noProof/>
            <w:webHidden/>
          </w:rPr>
          <w:fldChar w:fldCharType="end"/>
        </w:r>
      </w:hyperlink>
    </w:p>
    <w:p w:rsidR="002A377F" w:rsidRDefault="00005BDE" w:rsidP="00B03C9E">
      <w:pPr>
        <w:pStyle w:val="TOC3"/>
        <w:rPr>
          <w:rFonts w:asciiTheme="minorHAnsi" w:eastAsiaTheme="minorEastAsia" w:hAnsiTheme="minorHAnsi" w:cstheme="minorBidi"/>
          <w:noProof/>
          <w:sz w:val="22"/>
          <w:szCs w:val="22"/>
        </w:rPr>
      </w:pPr>
      <w:hyperlink w:anchor="_Toc520204962" w:history="1">
        <w:r w:rsidR="002A377F" w:rsidRPr="00FE76A4">
          <w:rPr>
            <w:rStyle w:val="Hyperlink"/>
            <w:noProof/>
          </w:rPr>
          <w:t>5.2.</w:t>
        </w:r>
        <w:r w:rsidR="002A377F">
          <w:rPr>
            <w:rFonts w:asciiTheme="minorHAnsi" w:eastAsiaTheme="minorEastAsia" w:hAnsiTheme="minorHAnsi" w:cstheme="minorBidi"/>
            <w:noProof/>
            <w:sz w:val="22"/>
            <w:szCs w:val="22"/>
          </w:rPr>
          <w:tab/>
        </w:r>
        <w:r w:rsidR="002A377F" w:rsidRPr="00FE76A4">
          <w:rPr>
            <w:rStyle w:val="Hyperlink"/>
            <w:noProof/>
          </w:rPr>
          <w:t>Conduct of the Utility</w:t>
        </w:r>
        <w:r w:rsidR="002A377F">
          <w:rPr>
            <w:noProof/>
            <w:webHidden/>
          </w:rPr>
          <w:tab/>
        </w:r>
        <w:r w:rsidR="002A377F">
          <w:rPr>
            <w:noProof/>
            <w:webHidden/>
          </w:rPr>
          <w:fldChar w:fldCharType="begin"/>
        </w:r>
        <w:r w:rsidR="002A377F">
          <w:rPr>
            <w:noProof/>
            <w:webHidden/>
          </w:rPr>
          <w:instrText xml:space="preserve"> PAGEREF _Toc520204962 \h </w:instrText>
        </w:r>
        <w:r w:rsidR="002A377F">
          <w:rPr>
            <w:noProof/>
            <w:webHidden/>
          </w:rPr>
        </w:r>
        <w:r w:rsidR="002A377F">
          <w:rPr>
            <w:noProof/>
            <w:webHidden/>
          </w:rPr>
          <w:fldChar w:fldCharType="separate"/>
        </w:r>
        <w:r>
          <w:rPr>
            <w:noProof/>
            <w:webHidden/>
          </w:rPr>
          <w:t>19</w:t>
        </w:r>
        <w:r w:rsidR="002A377F">
          <w:rPr>
            <w:noProof/>
            <w:webHidden/>
          </w:rPr>
          <w:fldChar w:fldCharType="end"/>
        </w:r>
      </w:hyperlink>
    </w:p>
    <w:p w:rsidR="002A377F" w:rsidRDefault="00005BDE" w:rsidP="00B03C9E">
      <w:pPr>
        <w:pStyle w:val="TOC3"/>
        <w:rPr>
          <w:rFonts w:asciiTheme="minorHAnsi" w:eastAsiaTheme="minorEastAsia" w:hAnsiTheme="minorHAnsi" w:cstheme="minorBidi"/>
          <w:noProof/>
          <w:sz w:val="22"/>
          <w:szCs w:val="22"/>
        </w:rPr>
      </w:pPr>
      <w:hyperlink w:anchor="_Toc520204963" w:history="1">
        <w:r w:rsidR="002A377F" w:rsidRPr="00FE76A4">
          <w:rPr>
            <w:rStyle w:val="Hyperlink"/>
            <w:noProof/>
          </w:rPr>
          <w:t>5.3.</w:t>
        </w:r>
        <w:r w:rsidR="002A377F">
          <w:rPr>
            <w:rFonts w:asciiTheme="minorHAnsi" w:eastAsiaTheme="minorEastAsia" w:hAnsiTheme="minorHAnsi" w:cstheme="minorBidi"/>
            <w:noProof/>
            <w:sz w:val="22"/>
            <w:szCs w:val="22"/>
          </w:rPr>
          <w:tab/>
        </w:r>
        <w:r w:rsidR="002A377F" w:rsidRPr="00FE76A4">
          <w:rPr>
            <w:rStyle w:val="Hyperlink"/>
            <w:noProof/>
          </w:rPr>
          <w:t>Totality of the Circumstances</w:t>
        </w:r>
        <w:r w:rsidR="002A377F">
          <w:rPr>
            <w:noProof/>
            <w:webHidden/>
          </w:rPr>
          <w:tab/>
        </w:r>
        <w:r w:rsidR="002A377F">
          <w:rPr>
            <w:noProof/>
            <w:webHidden/>
          </w:rPr>
          <w:fldChar w:fldCharType="begin"/>
        </w:r>
        <w:r w:rsidR="002A377F">
          <w:rPr>
            <w:noProof/>
            <w:webHidden/>
          </w:rPr>
          <w:instrText xml:space="preserve"> PAGEREF _Toc520204963 \h </w:instrText>
        </w:r>
        <w:r w:rsidR="002A377F">
          <w:rPr>
            <w:noProof/>
            <w:webHidden/>
          </w:rPr>
        </w:r>
        <w:r w:rsidR="002A377F">
          <w:rPr>
            <w:noProof/>
            <w:webHidden/>
          </w:rPr>
          <w:fldChar w:fldCharType="separate"/>
        </w:r>
        <w:r>
          <w:rPr>
            <w:noProof/>
            <w:webHidden/>
          </w:rPr>
          <w:t>21</w:t>
        </w:r>
        <w:r w:rsidR="002A377F">
          <w:rPr>
            <w:noProof/>
            <w:webHidden/>
          </w:rPr>
          <w:fldChar w:fldCharType="end"/>
        </w:r>
      </w:hyperlink>
    </w:p>
    <w:p w:rsidR="002A377F" w:rsidRDefault="00005BDE" w:rsidP="00B03C9E">
      <w:pPr>
        <w:pStyle w:val="TOC3"/>
        <w:rPr>
          <w:rFonts w:asciiTheme="minorHAnsi" w:eastAsiaTheme="minorEastAsia" w:hAnsiTheme="minorHAnsi" w:cstheme="minorBidi"/>
          <w:noProof/>
          <w:sz w:val="22"/>
          <w:szCs w:val="22"/>
        </w:rPr>
      </w:pPr>
      <w:hyperlink w:anchor="_Toc520204964" w:history="1">
        <w:r w:rsidR="002A377F" w:rsidRPr="00FE76A4">
          <w:rPr>
            <w:rStyle w:val="Hyperlink"/>
            <w:noProof/>
          </w:rPr>
          <w:t>5.4.</w:t>
        </w:r>
        <w:r w:rsidR="002A377F">
          <w:rPr>
            <w:rFonts w:asciiTheme="minorHAnsi" w:eastAsiaTheme="minorEastAsia" w:hAnsiTheme="minorHAnsi" w:cstheme="minorBidi"/>
            <w:noProof/>
            <w:sz w:val="22"/>
            <w:szCs w:val="22"/>
          </w:rPr>
          <w:tab/>
        </w:r>
        <w:r w:rsidR="002A377F" w:rsidRPr="00FE76A4">
          <w:rPr>
            <w:rStyle w:val="Hyperlink"/>
            <w:noProof/>
          </w:rPr>
          <w:t>Financial Resources of the Utility</w:t>
        </w:r>
        <w:r w:rsidR="002A377F">
          <w:rPr>
            <w:noProof/>
            <w:webHidden/>
          </w:rPr>
          <w:tab/>
        </w:r>
        <w:r w:rsidR="002A377F">
          <w:rPr>
            <w:noProof/>
            <w:webHidden/>
          </w:rPr>
          <w:fldChar w:fldCharType="begin"/>
        </w:r>
        <w:r w:rsidR="002A377F">
          <w:rPr>
            <w:noProof/>
            <w:webHidden/>
          </w:rPr>
          <w:instrText xml:space="preserve"> PAGEREF _Toc520204964 \h </w:instrText>
        </w:r>
        <w:r w:rsidR="002A377F">
          <w:rPr>
            <w:noProof/>
            <w:webHidden/>
          </w:rPr>
        </w:r>
        <w:r w:rsidR="002A377F">
          <w:rPr>
            <w:noProof/>
            <w:webHidden/>
          </w:rPr>
          <w:fldChar w:fldCharType="separate"/>
        </w:r>
        <w:r>
          <w:rPr>
            <w:noProof/>
            <w:webHidden/>
          </w:rPr>
          <w:t>22</w:t>
        </w:r>
        <w:r w:rsidR="002A377F">
          <w:rPr>
            <w:noProof/>
            <w:webHidden/>
          </w:rPr>
          <w:fldChar w:fldCharType="end"/>
        </w:r>
      </w:hyperlink>
    </w:p>
    <w:p w:rsidR="002A377F" w:rsidRDefault="00005BDE" w:rsidP="00B03C9E">
      <w:pPr>
        <w:pStyle w:val="TOC3"/>
        <w:rPr>
          <w:rFonts w:asciiTheme="minorHAnsi" w:eastAsiaTheme="minorEastAsia" w:hAnsiTheme="minorHAnsi" w:cstheme="minorBidi"/>
          <w:noProof/>
          <w:sz w:val="22"/>
          <w:szCs w:val="22"/>
        </w:rPr>
      </w:pPr>
      <w:hyperlink w:anchor="_Toc520204965" w:history="1">
        <w:r w:rsidR="002A377F" w:rsidRPr="00FE76A4">
          <w:rPr>
            <w:rStyle w:val="Hyperlink"/>
            <w:noProof/>
          </w:rPr>
          <w:t>5.5.</w:t>
        </w:r>
        <w:r w:rsidR="002A377F">
          <w:rPr>
            <w:rFonts w:asciiTheme="minorHAnsi" w:eastAsiaTheme="minorEastAsia" w:hAnsiTheme="minorHAnsi" w:cstheme="minorBidi"/>
            <w:noProof/>
            <w:sz w:val="22"/>
            <w:szCs w:val="22"/>
          </w:rPr>
          <w:tab/>
        </w:r>
        <w:r w:rsidR="002A377F" w:rsidRPr="00FE76A4">
          <w:rPr>
            <w:rStyle w:val="Hyperlink"/>
            <w:noProof/>
          </w:rPr>
          <w:t>The Role of Precedent</w:t>
        </w:r>
        <w:r w:rsidR="002A377F">
          <w:rPr>
            <w:noProof/>
            <w:webHidden/>
          </w:rPr>
          <w:tab/>
        </w:r>
        <w:r w:rsidR="002A377F">
          <w:rPr>
            <w:noProof/>
            <w:webHidden/>
          </w:rPr>
          <w:fldChar w:fldCharType="begin"/>
        </w:r>
        <w:r w:rsidR="002A377F">
          <w:rPr>
            <w:noProof/>
            <w:webHidden/>
          </w:rPr>
          <w:instrText xml:space="preserve"> PAGEREF _Toc520204965 \h </w:instrText>
        </w:r>
        <w:r w:rsidR="002A377F">
          <w:rPr>
            <w:noProof/>
            <w:webHidden/>
          </w:rPr>
        </w:r>
        <w:r w:rsidR="002A377F">
          <w:rPr>
            <w:noProof/>
            <w:webHidden/>
          </w:rPr>
          <w:fldChar w:fldCharType="separate"/>
        </w:r>
        <w:r>
          <w:rPr>
            <w:noProof/>
            <w:webHidden/>
          </w:rPr>
          <w:t>22</w:t>
        </w:r>
        <w:r w:rsidR="002A377F">
          <w:rPr>
            <w:noProof/>
            <w:webHidden/>
          </w:rPr>
          <w:fldChar w:fldCharType="end"/>
        </w:r>
      </w:hyperlink>
    </w:p>
    <w:p w:rsidR="002A377F" w:rsidRDefault="00005BDE" w:rsidP="00B03C9E">
      <w:pPr>
        <w:pStyle w:val="TOC3"/>
        <w:rPr>
          <w:rFonts w:asciiTheme="minorHAnsi" w:eastAsiaTheme="minorEastAsia" w:hAnsiTheme="minorHAnsi" w:cstheme="minorBidi"/>
          <w:noProof/>
          <w:sz w:val="22"/>
          <w:szCs w:val="22"/>
        </w:rPr>
      </w:pPr>
      <w:hyperlink w:anchor="_Toc520204966" w:history="1">
        <w:r w:rsidR="002A377F" w:rsidRPr="00FE76A4">
          <w:rPr>
            <w:rStyle w:val="Hyperlink"/>
            <w:noProof/>
          </w:rPr>
          <w:t>5.6.</w:t>
        </w:r>
        <w:r w:rsidR="002A377F">
          <w:rPr>
            <w:rFonts w:asciiTheme="minorHAnsi" w:eastAsiaTheme="minorEastAsia" w:hAnsiTheme="minorHAnsi" w:cstheme="minorBidi"/>
            <w:noProof/>
            <w:sz w:val="22"/>
            <w:szCs w:val="22"/>
          </w:rPr>
          <w:tab/>
        </w:r>
        <w:r w:rsidR="002A377F" w:rsidRPr="00FE76A4">
          <w:rPr>
            <w:rStyle w:val="Hyperlink"/>
            <w:noProof/>
          </w:rPr>
          <w:t>Amount of Fine under Section 2107</w:t>
        </w:r>
        <w:r w:rsidR="002A377F">
          <w:rPr>
            <w:noProof/>
            <w:webHidden/>
          </w:rPr>
          <w:tab/>
        </w:r>
        <w:r w:rsidR="002A377F">
          <w:rPr>
            <w:noProof/>
            <w:webHidden/>
          </w:rPr>
          <w:fldChar w:fldCharType="begin"/>
        </w:r>
        <w:r w:rsidR="002A377F">
          <w:rPr>
            <w:noProof/>
            <w:webHidden/>
          </w:rPr>
          <w:instrText xml:space="preserve"> PAGEREF _Toc520204966 \h </w:instrText>
        </w:r>
        <w:r w:rsidR="002A377F">
          <w:rPr>
            <w:noProof/>
            <w:webHidden/>
          </w:rPr>
        </w:r>
        <w:r w:rsidR="002A377F">
          <w:rPr>
            <w:noProof/>
            <w:webHidden/>
          </w:rPr>
          <w:fldChar w:fldCharType="separate"/>
        </w:r>
        <w:r>
          <w:rPr>
            <w:noProof/>
            <w:webHidden/>
          </w:rPr>
          <w:t>23</w:t>
        </w:r>
        <w:r w:rsidR="002A377F">
          <w:rPr>
            <w:noProof/>
            <w:webHidden/>
          </w:rPr>
          <w:fldChar w:fldCharType="end"/>
        </w:r>
      </w:hyperlink>
    </w:p>
    <w:p w:rsidR="002A377F" w:rsidRDefault="00005BDE" w:rsidP="00B03C9E">
      <w:pPr>
        <w:pStyle w:val="TOC2"/>
        <w:rPr>
          <w:rFonts w:asciiTheme="minorHAnsi" w:eastAsiaTheme="minorEastAsia" w:hAnsiTheme="minorHAnsi" w:cstheme="minorBidi"/>
          <w:noProof/>
          <w:sz w:val="22"/>
          <w:szCs w:val="22"/>
        </w:rPr>
      </w:pPr>
      <w:hyperlink w:anchor="_Toc520204967" w:history="1">
        <w:r w:rsidR="002A377F" w:rsidRPr="00FE76A4">
          <w:rPr>
            <w:rStyle w:val="Hyperlink"/>
            <w:noProof/>
          </w:rPr>
          <w:t>6.</w:t>
        </w:r>
        <w:r w:rsidR="002A377F">
          <w:rPr>
            <w:rFonts w:asciiTheme="minorHAnsi" w:eastAsiaTheme="minorEastAsia" w:hAnsiTheme="minorHAnsi" w:cstheme="minorBidi"/>
            <w:noProof/>
            <w:sz w:val="22"/>
            <w:szCs w:val="22"/>
          </w:rPr>
          <w:tab/>
        </w:r>
        <w:r w:rsidR="002A377F" w:rsidRPr="00FE76A4">
          <w:rPr>
            <w:rStyle w:val="Hyperlink"/>
            <w:noProof/>
          </w:rPr>
          <w:t>Comments on Proposed Decision</w:t>
        </w:r>
        <w:r w:rsidR="002A377F">
          <w:rPr>
            <w:noProof/>
            <w:webHidden/>
          </w:rPr>
          <w:tab/>
        </w:r>
        <w:r w:rsidR="002A377F">
          <w:rPr>
            <w:noProof/>
            <w:webHidden/>
          </w:rPr>
          <w:fldChar w:fldCharType="begin"/>
        </w:r>
        <w:r w:rsidR="002A377F">
          <w:rPr>
            <w:noProof/>
            <w:webHidden/>
          </w:rPr>
          <w:instrText xml:space="preserve"> PAGEREF _Toc520204967 \h </w:instrText>
        </w:r>
        <w:r w:rsidR="002A377F">
          <w:rPr>
            <w:noProof/>
            <w:webHidden/>
          </w:rPr>
        </w:r>
        <w:r w:rsidR="002A377F">
          <w:rPr>
            <w:noProof/>
            <w:webHidden/>
          </w:rPr>
          <w:fldChar w:fldCharType="separate"/>
        </w:r>
        <w:r>
          <w:rPr>
            <w:noProof/>
            <w:webHidden/>
          </w:rPr>
          <w:t>24</w:t>
        </w:r>
        <w:r w:rsidR="002A377F">
          <w:rPr>
            <w:noProof/>
            <w:webHidden/>
          </w:rPr>
          <w:fldChar w:fldCharType="end"/>
        </w:r>
      </w:hyperlink>
    </w:p>
    <w:p w:rsidR="002A377F" w:rsidRDefault="00005BDE" w:rsidP="00B03C9E">
      <w:pPr>
        <w:pStyle w:val="TOC2"/>
        <w:rPr>
          <w:rFonts w:asciiTheme="minorHAnsi" w:eastAsiaTheme="minorEastAsia" w:hAnsiTheme="minorHAnsi" w:cstheme="minorBidi"/>
          <w:noProof/>
          <w:sz w:val="22"/>
          <w:szCs w:val="22"/>
        </w:rPr>
      </w:pPr>
      <w:hyperlink w:anchor="_Toc520204968" w:history="1">
        <w:r w:rsidR="002A377F" w:rsidRPr="00FE76A4">
          <w:rPr>
            <w:rStyle w:val="Hyperlink"/>
            <w:noProof/>
          </w:rPr>
          <w:t>7. Request to File Under Seal</w:t>
        </w:r>
        <w:r w:rsidR="002A377F">
          <w:rPr>
            <w:noProof/>
            <w:webHidden/>
          </w:rPr>
          <w:tab/>
        </w:r>
        <w:r w:rsidR="002A377F">
          <w:rPr>
            <w:noProof/>
            <w:webHidden/>
          </w:rPr>
          <w:fldChar w:fldCharType="begin"/>
        </w:r>
        <w:r w:rsidR="002A377F">
          <w:rPr>
            <w:noProof/>
            <w:webHidden/>
          </w:rPr>
          <w:instrText xml:space="preserve"> PAGEREF _Toc520204968 \h </w:instrText>
        </w:r>
        <w:r w:rsidR="002A377F">
          <w:rPr>
            <w:noProof/>
            <w:webHidden/>
          </w:rPr>
        </w:r>
        <w:r w:rsidR="002A377F">
          <w:rPr>
            <w:noProof/>
            <w:webHidden/>
          </w:rPr>
          <w:fldChar w:fldCharType="separate"/>
        </w:r>
        <w:r>
          <w:rPr>
            <w:noProof/>
            <w:webHidden/>
          </w:rPr>
          <w:t>25</w:t>
        </w:r>
        <w:r w:rsidR="002A377F">
          <w:rPr>
            <w:noProof/>
            <w:webHidden/>
          </w:rPr>
          <w:fldChar w:fldCharType="end"/>
        </w:r>
      </w:hyperlink>
    </w:p>
    <w:p w:rsidR="002A377F" w:rsidRDefault="00005BDE" w:rsidP="00B03C9E">
      <w:pPr>
        <w:pStyle w:val="TOC2"/>
        <w:rPr>
          <w:rFonts w:asciiTheme="minorHAnsi" w:eastAsiaTheme="minorEastAsia" w:hAnsiTheme="minorHAnsi" w:cstheme="minorBidi"/>
          <w:noProof/>
          <w:sz w:val="22"/>
          <w:szCs w:val="22"/>
        </w:rPr>
      </w:pPr>
      <w:hyperlink w:anchor="_Toc520204969" w:history="1">
        <w:r w:rsidR="002A377F" w:rsidRPr="00FE76A4">
          <w:rPr>
            <w:rStyle w:val="Hyperlink"/>
            <w:noProof/>
          </w:rPr>
          <w:t>8. Assignment of Proceeding</w:t>
        </w:r>
        <w:r w:rsidR="002A377F">
          <w:rPr>
            <w:noProof/>
            <w:webHidden/>
          </w:rPr>
          <w:tab/>
        </w:r>
        <w:r w:rsidR="002A377F">
          <w:rPr>
            <w:noProof/>
            <w:webHidden/>
          </w:rPr>
          <w:fldChar w:fldCharType="begin"/>
        </w:r>
        <w:r w:rsidR="002A377F">
          <w:rPr>
            <w:noProof/>
            <w:webHidden/>
          </w:rPr>
          <w:instrText xml:space="preserve"> PAGEREF _Toc520204969 \h </w:instrText>
        </w:r>
        <w:r w:rsidR="002A377F">
          <w:rPr>
            <w:noProof/>
            <w:webHidden/>
          </w:rPr>
        </w:r>
        <w:r w:rsidR="002A377F">
          <w:rPr>
            <w:noProof/>
            <w:webHidden/>
          </w:rPr>
          <w:fldChar w:fldCharType="separate"/>
        </w:r>
        <w:r>
          <w:rPr>
            <w:noProof/>
            <w:webHidden/>
          </w:rPr>
          <w:t>25</w:t>
        </w:r>
        <w:r w:rsidR="002A377F">
          <w:rPr>
            <w:noProof/>
            <w:webHidden/>
          </w:rPr>
          <w:fldChar w:fldCharType="end"/>
        </w:r>
      </w:hyperlink>
    </w:p>
    <w:p w:rsidR="002A377F" w:rsidRDefault="00005BDE">
      <w:pPr>
        <w:pStyle w:val="TOC1"/>
        <w:tabs>
          <w:tab w:val="right" w:leader="dot" w:pos="9350"/>
        </w:tabs>
        <w:rPr>
          <w:rFonts w:asciiTheme="minorHAnsi" w:eastAsiaTheme="minorEastAsia" w:hAnsiTheme="minorHAnsi" w:cstheme="minorBidi"/>
          <w:noProof/>
          <w:sz w:val="22"/>
          <w:szCs w:val="22"/>
        </w:rPr>
      </w:pPr>
      <w:hyperlink w:anchor="_Toc520204970" w:history="1">
        <w:r w:rsidR="002A377F" w:rsidRPr="00FE76A4">
          <w:rPr>
            <w:rStyle w:val="Hyperlink"/>
            <w:noProof/>
          </w:rPr>
          <w:t>Findings of Fact</w:t>
        </w:r>
        <w:r w:rsidR="002A377F">
          <w:rPr>
            <w:noProof/>
            <w:webHidden/>
          </w:rPr>
          <w:tab/>
        </w:r>
        <w:r w:rsidR="002A377F">
          <w:rPr>
            <w:noProof/>
            <w:webHidden/>
          </w:rPr>
          <w:fldChar w:fldCharType="begin"/>
        </w:r>
        <w:r w:rsidR="002A377F">
          <w:rPr>
            <w:noProof/>
            <w:webHidden/>
          </w:rPr>
          <w:instrText xml:space="preserve"> PAGEREF _Toc520204970 \h </w:instrText>
        </w:r>
        <w:r w:rsidR="002A377F">
          <w:rPr>
            <w:noProof/>
            <w:webHidden/>
          </w:rPr>
        </w:r>
        <w:r w:rsidR="002A377F">
          <w:rPr>
            <w:noProof/>
            <w:webHidden/>
          </w:rPr>
          <w:fldChar w:fldCharType="separate"/>
        </w:r>
        <w:r>
          <w:rPr>
            <w:noProof/>
            <w:webHidden/>
          </w:rPr>
          <w:t>25</w:t>
        </w:r>
        <w:r w:rsidR="002A377F">
          <w:rPr>
            <w:noProof/>
            <w:webHidden/>
          </w:rPr>
          <w:fldChar w:fldCharType="end"/>
        </w:r>
      </w:hyperlink>
    </w:p>
    <w:p w:rsidR="002A377F" w:rsidRDefault="00005BDE">
      <w:pPr>
        <w:pStyle w:val="TOC1"/>
        <w:tabs>
          <w:tab w:val="right" w:leader="dot" w:pos="9350"/>
        </w:tabs>
        <w:rPr>
          <w:rFonts w:asciiTheme="minorHAnsi" w:eastAsiaTheme="minorEastAsia" w:hAnsiTheme="minorHAnsi" w:cstheme="minorBidi"/>
          <w:noProof/>
          <w:sz w:val="22"/>
          <w:szCs w:val="22"/>
        </w:rPr>
      </w:pPr>
      <w:hyperlink w:anchor="_Toc520204971" w:history="1">
        <w:r w:rsidR="002A377F" w:rsidRPr="00FE76A4">
          <w:rPr>
            <w:rStyle w:val="Hyperlink"/>
            <w:noProof/>
          </w:rPr>
          <w:t>Conclusions of Law</w:t>
        </w:r>
        <w:r w:rsidR="002A377F">
          <w:rPr>
            <w:noProof/>
            <w:webHidden/>
          </w:rPr>
          <w:tab/>
        </w:r>
        <w:r w:rsidR="002A377F">
          <w:rPr>
            <w:noProof/>
            <w:webHidden/>
          </w:rPr>
          <w:fldChar w:fldCharType="begin"/>
        </w:r>
        <w:r w:rsidR="002A377F">
          <w:rPr>
            <w:noProof/>
            <w:webHidden/>
          </w:rPr>
          <w:instrText xml:space="preserve"> PAGEREF _Toc520204971 \h </w:instrText>
        </w:r>
        <w:r w:rsidR="002A377F">
          <w:rPr>
            <w:noProof/>
            <w:webHidden/>
          </w:rPr>
        </w:r>
        <w:r w:rsidR="002A377F">
          <w:rPr>
            <w:noProof/>
            <w:webHidden/>
          </w:rPr>
          <w:fldChar w:fldCharType="separate"/>
        </w:r>
        <w:r>
          <w:rPr>
            <w:noProof/>
            <w:webHidden/>
          </w:rPr>
          <w:t>26</w:t>
        </w:r>
        <w:r w:rsidR="002A377F">
          <w:rPr>
            <w:noProof/>
            <w:webHidden/>
          </w:rPr>
          <w:fldChar w:fldCharType="end"/>
        </w:r>
      </w:hyperlink>
    </w:p>
    <w:p w:rsidR="002A377F" w:rsidRDefault="00005BDE">
      <w:pPr>
        <w:pStyle w:val="TOC1"/>
        <w:tabs>
          <w:tab w:val="right" w:leader="dot" w:pos="9350"/>
        </w:tabs>
        <w:rPr>
          <w:rFonts w:asciiTheme="minorHAnsi" w:eastAsiaTheme="minorEastAsia" w:hAnsiTheme="minorHAnsi" w:cstheme="minorBidi"/>
          <w:noProof/>
          <w:sz w:val="22"/>
          <w:szCs w:val="22"/>
        </w:rPr>
      </w:pPr>
      <w:hyperlink w:anchor="_Toc520204972" w:history="1">
        <w:r w:rsidR="002A377F" w:rsidRPr="00FE76A4">
          <w:rPr>
            <w:rStyle w:val="Hyperlink"/>
            <w:noProof/>
          </w:rPr>
          <w:t>ORDER</w:t>
        </w:r>
        <w:r w:rsidR="002A377F">
          <w:rPr>
            <w:noProof/>
            <w:webHidden/>
          </w:rPr>
          <w:tab/>
        </w:r>
        <w:r w:rsidR="002A377F">
          <w:rPr>
            <w:noProof/>
            <w:webHidden/>
          </w:rPr>
          <w:fldChar w:fldCharType="begin"/>
        </w:r>
        <w:r w:rsidR="002A377F">
          <w:rPr>
            <w:noProof/>
            <w:webHidden/>
          </w:rPr>
          <w:instrText xml:space="preserve"> PAGEREF _Toc520204972 \h </w:instrText>
        </w:r>
        <w:r w:rsidR="002A377F">
          <w:rPr>
            <w:noProof/>
            <w:webHidden/>
          </w:rPr>
        </w:r>
        <w:r w:rsidR="002A377F">
          <w:rPr>
            <w:noProof/>
            <w:webHidden/>
          </w:rPr>
          <w:fldChar w:fldCharType="separate"/>
        </w:r>
        <w:r>
          <w:rPr>
            <w:noProof/>
            <w:webHidden/>
          </w:rPr>
          <w:t>28</w:t>
        </w:r>
        <w:r w:rsidR="002A377F">
          <w:rPr>
            <w:noProof/>
            <w:webHidden/>
          </w:rPr>
          <w:fldChar w:fldCharType="end"/>
        </w:r>
      </w:hyperlink>
    </w:p>
    <w:p w:rsidR="00ED45AC" w:rsidRDefault="00ED45AC" w:rsidP="004E3370">
      <w:pPr>
        <w:suppressAutoHyphens/>
      </w:pPr>
      <w:r w:rsidRPr="006E1170">
        <w:fldChar w:fldCharType="end"/>
      </w:r>
      <w:r>
        <w:t xml:space="preserve">Appendix </w:t>
      </w:r>
      <w:r w:rsidR="004E3370">
        <w:t xml:space="preserve">A </w:t>
      </w:r>
      <w:r w:rsidR="009A4B6A">
        <w:t>–</w:t>
      </w:r>
      <w:r w:rsidR="004E3370">
        <w:t xml:space="preserve"> </w:t>
      </w:r>
      <w:r w:rsidR="009A4B6A">
        <w:t>Pre-</w:t>
      </w:r>
      <w:r w:rsidR="002A377F">
        <w:t xml:space="preserve"> and Post-</w:t>
      </w:r>
      <w:r w:rsidR="009A4B6A">
        <w:t>Transaction Structure</w:t>
      </w:r>
    </w:p>
    <w:p w:rsidR="00ED45AC" w:rsidRDefault="00ED45AC" w:rsidP="00ED45AC"/>
    <w:p w:rsidR="00ED45AC" w:rsidRDefault="00ED45AC" w:rsidP="00ED45AC"/>
    <w:p w:rsidR="00ED45AC" w:rsidRPr="006E1170" w:rsidRDefault="00ED45AC" w:rsidP="00ED45AC">
      <w:pPr>
        <w:jc w:val="center"/>
        <w:rPr>
          <w:rFonts w:ascii="Helvetica" w:hAnsi="Helvetica"/>
          <w:b/>
          <w:szCs w:val="26"/>
        </w:rPr>
        <w:sectPr w:rsidR="00ED45AC" w:rsidRPr="006E1170" w:rsidSect="00ED45AC">
          <w:headerReference w:type="default" r:id="rId15"/>
          <w:headerReference w:type="first" r:id="rId16"/>
          <w:footerReference w:type="first" r:id="rId17"/>
          <w:pgSz w:w="12240" w:h="15840" w:code="1"/>
          <w:pgMar w:top="1152" w:right="1440" w:bottom="1440" w:left="1440" w:header="720" w:footer="720" w:gutter="0"/>
          <w:pgNumType w:fmt="lowerRoman" w:start="1"/>
          <w:cols w:space="720"/>
          <w:titlePg/>
          <w:docGrid w:linePitch="354"/>
        </w:sectPr>
      </w:pPr>
    </w:p>
    <w:p w:rsidR="004E3370" w:rsidRDefault="004E3370" w:rsidP="004E3370">
      <w:pPr>
        <w:pStyle w:val="main"/>
      </w:pPr>
      <w:bookmarkStart w:id="2" w:name="_Toc517256265"/>
      <w:bookmarkStart w:id="3" w:name="_Toc517256301"/>
      <w:bookmarkStart w:id="4" w:name="_Toc520204951"/>
      <w:r>
        <w:lastRenderedPageBreak/>
        <w:t>DECISION DENYING TRANSFER OF CONTROL</w:t>
      </w:r>
      <w:bookmarkEnd w:id="2"/>
      <w:bookmarkEnd w:id="3"/>
      <w:bookmarkEnd w:id="4"/>
      <w:r>
        <w:t xml:space="preserve"> </w:t>
      </w:r>
    </w:p>
    <w:p w:rsidR="005A60C9" w:rsidRDefault="004E3370" w:rsidP="004E3370">
      <w:pPr>
        <w:pStyle w:val="main"/>
      </w:pPr>
      <w:bookmarkStart w:id="5" w:name="_Toc517256302"/>
      <w:bookmarkStart w:id="6" w:name="_Toc520204952"/>
      <w:r w:rsidRPr="004E3370">
        <w:t>OF BANDWIDTH.COM CLEC, LLC TO DAVID A. MORKEN</w:t>
      </w:r>
      <w:bookmarkEnd w:id="5"/>
      <w:bookmarkEnd w:id="6"/>
    </w:p>
    <w:p w:rsidR="004E3370" w:rsidRPr="004E3370" w:rsidRDefault="004E3370" w:rsidP="004E3370">
      <w:pPr>
        <w:pStyle w:val="main"/>
      </w:pPr>
    </w:p>
    <w:p w:rsidR="005A60C9" w:rsidRDefault="005A60C9">
      <w:pPr>
        <w:pStyle w:val="Heading1"/>
      </w:pPr>
      <w:bookmarkStart w:id="7" w:name="_Toc520204953"/>
      <w:r>
        <w:t>Summary</w:t>
      </w:r>
      <w:bookmarkEnd w:id="7"/>
    </w:p>
    <w:p w:rsidR="005A60C9" w:rsidRDefault="00B72A04" w:rsidP="00B80247">
      <w:pPr>
        <w:pStyle w:val="standard"/>
      </w:pPr>
      <w:r>
        <w:t>This decision denies</w:t>
      </w:r>
      <w:r w:rsidR="008D0E7B">
        <w:t xml:space="preserve"> Bandwidth.com CLEC</w:t>
      </w:r>
      <w:r w:rsidR="00A11706">
        <w:t>,</w:t>
      </w:r>
      <w:r w:rsidR="008D0E7B">
        <w:t xml:space="preserve"> LLC’s</w:t>
      </w:r>
      <w:r w:rsidR="004B188B">
        <w:t xml:space="preserve"> (B</w:t>
      </w:r>
      <w:r w:rsidR="008D0E7B">
        <w:t>andwidth</w:t>
      </w:r>
      <w:r w:rsidR="00587C1B">
        <w:t xml:space="preserve"> CLEC</w:t>
      </w:r>
      <w:r w:rsidR="008D0E7B">
        <w:t xml:space="preserve">) request for transfer of </w:t>
      </w:r>
      <w:r w:rsidR="00A7732F">
        <w:t>control of Bandwi</w:t>
      </w:r>
      <w:r w:rsidR="00587C1B">
        <w:t>dth CLEC</w:t>
      </w:r>
      <w:r w:rsidR="00D40D70">
        <w:t xml:space="preserve"> </w:t>
      </w:r>
      <w:r w:rsidR="001B7226">
        <w:t>to David A. Morken</w:t>
      </w:r>
      <w:r w:rsidR="006575C5">
        <w:t xml:space="preserve">.  The Commission revokes </w:t>
      </w:r>
      <w:r>
        <w:t xml:space="preserve">Bandwidth CLEC’s </w:t>
      </w:r>
      <w:r w:rsidR="005531E6">
        <w:t xml:space="preserve">Certificate </w:t>
      </w:r>
      <w:r w:rsidR="005822C5">
        <w:t>o</w:t>
      </w:r>
      <w:r w:rsidR="005531E6">
        <w:t>f Public Convenience and Necessity</w:t>
      </w:r>
      <w:r w:rsidR="00A60758">
        <w:t xml:space="preserve"> (CPCN)</w:t>
      </w:r>
      <w:r w:rsidR="00C310F4">
        <w:t xml:space="preserve"> (U7038C)</w:t>
      </w:r>
      <w:r w:rsidR="00210B76">
        <w:t xml:space="preserve"> for failure to operate within one year of </w:t>
      </w:r>
      <w:r w:rsidR="00AB7299">
        <w:t xml:space="preserve">the issuance of its </w:t>
      </w:r>
      <w:r w:rsidR="00706DF3">
        <w:t xml:space="preserve">CPCN </w:t>
      </w:r>
      <w:r w:rsidR="00AB7299">
        <w:t>pursuant to Decision 07-09-035</w:t>
      </w:r>
      <w:r w:rsidR="008C3C9B">
        <w:t>.</w:t>
      </w:r>
      <w:r w:rsidR="00FC5574">
        <w:t xml:space="preserve"> </w:t>
      </w:r>
      <w:r w:rsidR="008C3C9B">
        <w:t xml:space="preserve"> </w:t>
      </w:r>
      <w:r w:rsidR="00CA27F7">
        <w:t xml:space="preserve">Bandwidth </w:t>
      </w:r>
      <w:r w:rsidR="006C5B6D">
        <w:t>CLEC</w:t>
      </w:r>
      <w:r w:rsidR="00CA27F7">
        <w:t xml:space="preserve"> </w:t>
      </w:r>
      <w:r w:rsidR="00F9455D">
        <w:t>and Bandwidth Incorporated (formerly known as Bandwidth.com Incorporated) (Bandwidth) are jointly</w:t>
      </w:r>
      <w:r w:rsidR="00D903A7">
        <w:t xml:space="preserve"> fined </w:t>
      </w:r>
      <w:r w:rsidR="00422FAF">
        <w:t xml:space="preserve">$5,000 </w:t>
      </w:r>
      <w:r w:rsidR="00D903A7">
        <w:t xml:space="preserve">for </w:t>
      </w:r>
      <w:r w:rsidR="00B0374E">
        <w:t xml:space="preserve">failure to transfer control </w:t>
      </w:r>
      <w:r w:rsidR="00BE314B">
        <w:t>of Band</w:t>
      </w:r>
      <w:r w:rsidR="0034023D">
        <w:t xml:space="preserve">width CLEC to </w:t>
      </w:r>
      <w:r w:rsidR="00365162">
        <w:t>Bandwidth</w:t>
      </w:r>
      <w:r w:rsidR="00BE314B">
        <w:t xml:space="preserve"> </w:t>
      </w:r>
      <w:r w:rsidR="00B0374E">
        <w:t xml:space="preserve">pursuant to Public Utilities Code </w:t>
      </w:r>
      <w:r w:rsidR="005822C5">
        <w:t>Section</w:t>
      </w:r>
      <w:r w:rsidR="00914E81">
        <w:t> </w:t>
      </w:r>
      <w:r w:rsidR="00B0374E">
        <w:t>854(a).</w:t>
      </w:r>
      <w:r>
        <w:t xml:space="preserve">  </w:t>
      </w:r>
      <w:r w:rsidR="00271BE3">
        <w:t xml:space="preserve">If </w:t>
      </w:r>
      <w:r w:rsidR="003B11B5">
        <w:t>Bandwidth</w:t>
      </w:r>
      <w:r w:rsidR="00D903A7">
        <w:t xml:space="preserve"> appl</w:t>
      </w:r>
      <w:r w:rsidR="00271BE3">
        <w:t>ies</w:t>
      </w:r>
      <w:r w:rsidR="00D903A7">
        <w:t xml:space="preserve"> for a </w:t>
      </w:r>
      <w:r w:rsidR="009144A8">
        <w:t>C</w:t>
      </w:r>
      <w:r w:rsidR="00EA2AF1">
        <w:t>PCN</w:t>
      </w:r>
      <w:r w:rsidR="009144A8">
        <w:t xml:space="preserve"> </w:t>
      </w:r>
      <w:r w:rsidR="00D903A7">
        <w:t xml:space="preserve">to operate as a public utility providing telecommunications services in the </w:t>
      </w:r>
      <w:r w:rsidR="00E25AAD">
        <w:t>State of California with</w:t>
      </w:r>
      <w:r w:rsidR="00D01A87">
        <w:t xml:space="preserve">in ninety days of the date of this Decision, Bandwidth CLEC’s CPCN (U-7038-C) will remain </w:t>
      </w:r>
      <w:r w:rsidR="00CE3630">
        <w:t>effective through the duration</w:t>
      </w:r>
      <w:r w:rsidR="00D01A87">
        <w:t xml:space="preserve"> of Bandwidth’s application</w:t>
      </w:r>
      <w:r w:rsidR="00D903A7">
        <w:t xml:space="preserve">. </w:t>
      </w:r>
      <w:r w:rsidR="00203899">
        <w:t xml:space="preserve"> </w:t>
      </w:r>
      <w:r w:rsidR="008D0E7B">
        <w:t>This proceeding is closed.</w:t>
      </w:r>
    </w:p>
    <w:p w:rsidR="00F64D25" w:rsidRDefault="00F64D25" w:rsidP="009D27CC">
      <w:pPr>
        <w:pStyle w:val="Heading1"/>
        <w:numPr>
          <w:ilvl w:val="0"/>
          <w:numId w:val="12"/>
        </w:numPr>
        <w:ind w:hanging="720"/>
        <w:rPr>
          <w:rFonts w:eastAsia="Book Antiqua"/>
        </w:rPr>
      </w:pPr>
      <w:bookmarkStart w:id="8" w:name="_Toc520204954"/>
      <w:r>
        <w:rPr>
          <w:rFonts w:eastAsia="Book Antiqua"/>
        </w:rPr>
        <w:t>Factual Background</w:t>
      </w:r>
      <w:bookmarkEnd w:id="8"/>
    </w:p>
    <w:p w:rsidR="00585D5D" w:rsidRPr="00585D5D" w:rsidRDefault="00585D5D" w:rsidP="00D251F4">
      <w:pPr>
        <w:spacing w:line="359" w:lineRule="auto"/>
        <w:ind w:firstLine="720"/>
        <w:rPr>
          <w:rFonts w:eastAsia="Book Antiqua" w:cs="Book Antiqua"/>
          <w:szCs w:val="26"/>
        </w:rPr>
      </w:pPr>
      <w:r w:rsidRPr="00585D5D">
        <w:rPr>
          <w:rFonts w:eastAsia="Book Antiqua" w:cs="Book Antiqua"/>
          <w:szCs w:val="26"/>
        </w:rPr>
        <w:t>Bandwidth.com CLEC</w:t>
      </w:r>
      <w:r w:rsidR="002E3A90">
        <w:rPr>
          <w:rFonts w:eastAsia="Book Antiqua" w:cs="Book Antiqua"/>
          <w:szCs w:val="26"/>
        </w:rPr>
        <w:t>,</w:t>
      </w:r>
      <w:r w:rsidRPr="00585D5D">
        <w:rPr>
          <w:rFonts w:eastAsia="Book Antiqua" w:cs="Book Antiqua"/>
          <w:szCs w:val="26"/>
        </w:rPr>
        <w:t xml:space="preserve"> LLC (Bandwidth CLEC) (U7038C) is a Delaware Limited Liability Company authorized to do business in California</w:t>
      </w:r>
      <w:r w:rsidR="00C01F92">
        <w:rPr>
          <w:rFonts w:eastAsia="Book Antiqua" w:cs="Book Antiqua"/>
          <w:szCs w:val="26"/>
        </w:rPr>
        <w:t xml:space="preserve">, </w:t>
      </w:r>
      <w:r w:rsidR="008A7429">
        <w:t>and headquartered at 900 </w:t>
      </w:r>
      <w:r w:rsidR="00C01F92">
        <w:t>Main Campus Drive, Sui</w:t>
      </w:r>
      <w:r w:rsidR="00F67F4E">
        <w:t>te 500, Raleigh, North Carolina </w:t>
      </w:r>
      <w:r w:rsidR="00C01F92">
        <w:t>27606</w:t>
      </w:r>
      <w:r w:rsidRPr="00585D5D">
        <w:rPr>
          <w:rFonts w:eastAsia="Book Antiqua" w:cs="Book Antiqua"/>
          <w:szCs w:val="26"/>
        </w:rPr>
        <w:t>.</w:t>
      </w:r>
      <w:r w:rsidR="005531E6">
        <w:rPr>
          <w:rFonts w:eastAsia="Book Antiqua" w:cs="Book Antiqua"/>
          <w:szCs w:val="26"/>
        </w:rPr>
        <w:t xml:space="preserve">  </w:t>
      </w:r>
      <w:r w:rsidRPr="00585D5D">
        <w:rPr>
          <w:rFonts w:eastAsia="Book Antiqua" w:cs="Book Antiqua"/>
          <w:szCs w:val="26"/>
        </w:rPr>
        <w:t>On September 20, 2007, the Com</w:t>
      </w:r>
      <w:r w:rsidR="00F67F4E">
        <w:rPr>
          <w:rFonts w:eastAsia="Book Antiqua" w:cs="Book Antiqua"/>
          <w:szCs w:val="26"/>
        </w:rPr>
        <w:t>mission issued Decision (D.) 07</w:t>
      </w:r>
      <w:r w:rsidR="00F67F4E">
        <w:rPr>
          <w:rFonts w:eastAsia="Book Antiqua" w:cs="Book Antiqua"/>
          <w:szCs w:val="26"/>
        </w:rPr>
        <w:noBreakHyphen/>
      </w:r>
      <w:r w:rsidRPr="00585D5D">
        <w:rPr>
          <w:rFonts w:eastAsia="Book Antiqua" w:cs="Book Antiqua"/>
          <w:szCs w:val="26"/>
        </w:rPr>
        <w:t xml:space="preserve">09-035, granting approval for Bandwidth CLEC to provide limited facilities-based </w:t>
      </w:r>
      <w:r w:rsidR="00B420D3">
        <w:rPr>
          <w:rFonts w:eastAsia="Book Antiqua" w:cs="Book Antiqua"/>
          <w:szCs w:val="26"/>
        </w:rPr>
        <w:t>and resold competitive</w:t>
      </w:r>
      <w:r w:rsidR="00B420D3" w:rsidRPr="00585D5D">
        <w:rPr>
          <w:rFonts w:eastAsia="Book Antiqua" w:cs="Book Antiqua"/>
          <w:szCs w:val="26"/>
        </w:rPr>
        <w:t xml:space="preserve"> </w:t>
      </w:r>
      <w:r w:rsidR="00996044">
        <w:rPr>
          <w:rFonts w:eastAsia="Book Antiqua" w:cs="Book Antiqua"/>
          <w:szCs w:val="26"/>
        </w:rPr>
        <w:t>local exchange and interexchange services</w:t>
      </w:r>
      <w:r w:rsidRPr="00585D5D">
        <w:rPr>
          <w:rFonts w:eastAsia="Book Antiqua" w:cs="Book Antiqua"/>
          <w:szCs w:val="26"/>
        </w:rPr>
        <w:t>.</w:t>
      </w:r>
      <w:r w:rsidR="00703540">
        <w:rPr>
          <w:rFonts w:eastAsia="Book Antiqua" w:cs="Book Antiqua"/>
          <w:szCs w:val="26"/>
        </w:rPr>
        <w:t xml:space="preserve"> </w:t>
      </w:r>
    </w:p>
    <w:p w:rsidR="002F3BC0" w:rsidRDefault="00585D5D" w:rsidP="002F3BC0">
      <w:pPr>
        <w:spacing w:line="359" w:lineRule="auto"/>
        <w:ind w:firstLine="720"/>
        <w:rPr>
          <w:rFonts w:eastAsia="Book Antiqua" w:cs="Book Antiqua"/>
          <w:szCs w:val="26"/>
        </w:rPr>
      </w:pPr>
      <w:r>
        <w:lastRenderedPageBreak/>
        <w:t>Bandwidth Incorporated</w:t>
      </w:r>
      <w:r w:rsidR="00D47966">
        <w:t xml:space="preserve"> </w:t>
      </w:r>
      <w:r w:rsidR="00996C84">
        <w:t>(Inc.)</w:t>
      </w:r>
      <w:r w:rsidR="006F32E4">
        <w:t xml:space="preserve"> formerly known as (</w:t>
      </w:r>
      <w:r>
        <w:t>f/k/a</w:t>
      </w:r>
      <w:r w:rsidR="006F32E4">
        <w:t>)</w:t>
      </w:r>
      <w:r>
        <w:t xml:space="preserve"> Bandwidth.com Inc</w:t>
      </w:r>
      <w:r w:rsidR="00D47966">
        <w:t>.</w:t>
      </w:r>
      <w:r w:rsidR="00A27096">
        <w:rPr>
          <w:rStyle w:val="FootnoteReference"/>
        </w:rPr>
        <w:footnoteReference w:id="2"/>
      </w:r>
      <w:r w:rsidR="006F32E4">
        <w:t xml:space="preserve"> (Bandwidth</w:t>
      </w:r>
      <w:r>
        <w:t>) is a corporation organize</w:t>
      </w:r>
      <w:r w:rsidR="0094716A">
        <w:t>d under the laws of Delaware, and</w:t>
      </w:r>
      <w:r>
        <w:t xml:space="preserve"> headquartered at 900 Main Campus Drive, Sui</w:t>
      </w:r>
      <w:r w:rsidR="00F67F4E">
        <w:t>te 500, Raleigh, North Carolina </w:t>
      </w:r>
      <w:r>
        <w:t>27606.</w:t>
      </w:r>
      <w:r w:rsidRPr="00585D5D">
        <w:rPr>
          <w:rFonts w:eastAsia="Book Antiqua" w:cs="Book Antiqua"/>
          <w:szCs w:val="26"/>
        </w:rPr>
        <w:t xml:space="preserve">  On May 20, 2015, the Commission’s Communication Division granted Bandwidth a registration to provide Digital Voice Service (otherwise known as Voice over Internet Protocol (VoIP)) in California (U-1362</w:t>
      </w:r>
      <w:r w:rsidR="005822C5">
        <w:rPr>
          <w:rFonts w:eastAsia="Book Antiqua" w:cs="Book Antiqua"/>
          <w:szCs w:val="26"/>
        </w:rPr>
        <w:t>-C</w:t>
      </w:r>
      <w:r w:rsidRPr="00585D5D">
        <w:rPr>
          <w:rFonts w:eastAsia="Book Antiqua" w:cs="Book Antiqua"/>
          <w:szCs w:val="26"/>
        </w:rPr>
        <w:t xml:space="preserve">). </w:t>
      </w:r>
      <w:r w:rsidR="009E33D9">
        <w:rPr>
          <w:rFonts w:eastAsia="Book Antiqua" w:cs="Book Antiqua"/>
          <w:szCs w:val="26"/>
        </w:rPr>
        <w:t xml:space="preserve"> </w:t>
      </w:r>
      <w:r w:rsidR="00110C4D">
        <w:rPr>
          <w:rFonts w:eastAsia="Book Antiqua" w:cs="Book Antiqua"/>
          <w:szCs w:val="26"/>
        </w:rPr>
        <w:t>Bandwidth withdrew its registration</w:t>
      </w:r>
      <w:r w:rsidR="00D36408">
        <w:rPr>
          <w:rFonts w:eastAsia="Book Antiqua" w:cs="Book Antiqua"/>
          <w:szCs w:val="26"/>
        </w:rPr>
        <w:t xml:space="preserve"> </w:t>
      </w:r>
      <w:r w:rsidR="00110C4D">
        <w:rPr>
          <w:rFonts w:eastAsia="Book Antiqua" w:cs="Book Antiqua"/>
          <w:szCs w:val="26"/>
        </w:rPr>
        <w:t>as reseller of wireless services by advice letter, effective October 16, 2017.</w:t>
      </w:r>
      <w:r w:rsidR="00110C4D">
        <w:rPr>
          <w:rStyle w:val="FootnoteReference"/>
          <w:rFonts w:eastAsia="Book Antiqua" w:cs="Book Antiqua"/>
          <w:szCs w:val="26"/>
        </w:rPr>
        <w:footnoteReference w:id="3"/>
      </w:r>
      <w:r w:rsidR="003C1FB6">
        <w:rPr>
          <w:rFonts w:eastAsia="Book Antiqua" w:cs="Book Antiqua"/>
          <w:szCs w:val="26"/>
        </w:rPr>
        <w:t xml:space="preserve">  Bandwidth CLEC is solely owned and managed by Bandwidth.</w:t>
      </w:r>
    </w:p>
    <w:p w:rsidR="00585D5D" w:rsidRDefault="00585D5D" w:rsidP="002F3BC0">
      <w:pPr>
        <w:spacing w:line="359" w:lineRule="auto"/>
        <w:ind w:firstLine="720"/>
        <w:rPr>
          <w:rFonts w:eastAsia="Book Antiqua" w:cs="Book Antiqua"/>
          <w:szCs w:val="26"/>
        </w:rPr>
      </w:pPr>
      <w:r w:rsidRPr="00585D5D">
        <w:rPr>
          <w:rFonts w:eastAsia="Book Antiqua" w:cs="Book Antiqua"/>
          <w:szCs w:val="26"/>
        </w:rPr>
        <w:t>Da</w:t>
      </w:r>
      <w:r w:rsidR="00EA6884">
        <w:rPr>
          <w:rFonts w:eastAsia="Book Antiqua" w:cs="Book Antiqua"/>
          <w:szCs w:val="26"/>
        </w:rPr>
        <w:t>vid A. Morken</w:t>
      </w:r>
      <w:r w:rsidRPr="00585D5D">
        <w:rPr>
          <w:rFonts w:eastAsia="Book Antiqua" w:cs="Book Antiqua"/>
          <w:szCs w:val="26"/>
        </w:rPr>
        <w:t xml:space="preserve">, </w:t>
      </w:r>
      <w:r w:rsidR="00EA6884">
        <w:rPr>
          <w:rFonts w:eastAsia="Book Antiqua" w:cs="Book Antiqua"/>
          <w:szCs w:val="26"/>
        </w:rPr>
        <w:t>an individual,</w:t>
      </w:r>
      <w:r w:rsidRPr="00585D5D">
        <w:rPr>
          <w:rFonts w:eastAsia="Book Antiqua" w:cs="Book Antiqua"/>
          <w:szCs w:val="26"/>
        </w:rPr>
        <w:t xml:space="preserve"> is the co-founder, chief executive off</w:t>
      </w:r>
      <w:r w:rsidR="00D1761E">
        <w:rPr>
          <w:rFonts w:eastAsia="Book Antiqua" w:cs="Book Antiqua"/>
          <w:szCs w:val="26"/>
        </w:rPr>
        <w:t>icer and chairman of Bandwidth.</w:t>
      </w:r>
      <w:r w:rsidR="003F656D">
        <w:rPr>
          <w:rFonts w:eastAsia="Book Antiqua" w:cs="Book Antiqua"/>
          <w:szCs w:val="26"/>
        </w:rPr>
        <w:t xml:space="preserve">  His busines</w:t>
      </w:r>
      <w:r w:rsidR="003F656D">
        <w:t>s address is 900 Main Campus Drive, Suite 500, Raleigh, North Carolina 27606.</w:t>
      </w:r>
    </w:p>
    <w:p w:rsidR="00585D5D" w:rsidRPr="00585D5D" w:rsidRDefault="00FF6399" w:rsidP="00EF46FE">
      <w:pPr>
        <w:spacing w:line="359" w:lineRule="auto"/>
        <w:ind w:firstLine="720"/>
        <w:rPr>
          <w:rFonts w:eastAsia="Book Antiqua"/>
        </w:rPr>
      </w:pPr>
      <w:r>
        <w:rPr>
          <w:rFonts w:eastAsia="Book Antiqua" w:cs="Book Antiqua"/>
          <w:szCs w:val="26"/>
        </w:rPr>
        <w:t xml:space="preserve">On August 16, 2017, Bandwidth filed a registration statement on Form S-1 with the Securities and Exchange Commission for the </w:t>
      </w:r>
      <w:r w:rsidR="004E2F26">
        <w:rPr>
          <w:rFonts w:eastAsia="Book Antiqua" w:cs="Book Antiqua"/>
          <w:szCs w:val="26"/>
        </w:rPr>
        <w:t>initial public offering</w:t>
      </w:r>
      <w:r w:rsidR="00544EF2">
        <w:rPr>
          <w:rFonts w:eastAsia="Book Antiqua" w:cs="Book Antiqua"/>
          <w:szCs w:val="26"/>
        </w:rPr>
        <w:t xml:space="preserve"> (IPO)</w:t>
      </w:r>
      <w:r w:rsidR="00DB0F36">
        <w:rPr>
          <w:rFonts w:eastAsia="Book Antiqua" w:cs="Book Antiqua"/>
          <w:szCs w:val="26"/>
        </w:rPr>
        <w:t xml:space="preserve"> of Ba</w:t>
      </w:r>
      <w:r w:rsidR="004E2F26">
        <w:rPr>
          <w:rFonts w:eastAsia="Book Antiqua" w:cs="Book Antiqua"/>
          <w:szCs w:val="26"/>
        </w:rPr>
        <w:t>n</w:t>
      </w:r>
      <w:r w:rsidR="00DB0F36">
        <w:rPr>
          <w:rFonts w:eastAsia="Book Antiqua" w:cs="Book Antiqua"/>
          <w:szCs w:val="26"/>
        </w:rPr>
        <w:t>d</w:t>
      </w:r>
      <w:r w:rsidR="004E2F26">
        <w:rPr>
          <w:rFonts w:eastAsia="Book Antiqua" w:cs="Book Antiqua"/>
          <w:szCs w:val="26"/>
        </w:rPr>
        <w:t xml:space="preserve">width, which </w:t>
      </w:r>
      <w:r>
        <w:rPr>
          <w:rFonts w:eastAsia="Book Antiqua" w:cs="Book Antiqua"/>
          <w:szCs w:val="26"/>
        </w:rPr>
        <w:t>wil</w:t>
      </w:r>
      <w:r w:rsidR="007410ED">
        <w:rPr>
          <w:rFonts w:eastAsia="Book Antiqua" w:cs="Book Antiqua"/>
          <w:szCs w:val="26"/>
        </w:rPr>
        <w:t>l restructure Bandwidth’s stock and thereby</w:t>
      </w:r>
      <w:r w:rsidR="000E30EC">
        <w:rPr>
          <w:rFonts w:eastAsia="Book Antiqua" w:cs="Book Antiqua"/>
          <w:szCs w:val="26"/>
        </w:rPr>
        <w:t xml:space="preserve"> grant</w:t>
      </w:r>
      <w:r>
        <w:rPr>
          <w:rFonts w:eastAsia="Book Antiqua" w:cs="Book Antiqua"/>
          <w:szCs w:val="26"/>
        </w:rPr>
        <w:t xml:space="preserve"> David A. Morken a majority of the voting power of the outstanding Bandwidth stock, through dilution of the voting power of shares and equity interests beneficially held by some current owners of Bandwidth.</w:t>
      </w:r>
      <w:r w:rsidR="00AF363E">
        <w:rPr>
          <w:rStyle w:val="FootnoteReference"/>
          <w:rFonts w:eastAsia="Book Antiqua" w:cs="Book Antiqua"/>
          <w:szCs w:val="26"/>
        </w:rPr>
        <w:footnoteReference w:id="4"/>
      </w:r>
      <w:r>
        <w:rPr>
          <w:rFonts w:eastAsia="Book Antiqua" w:cs="Book Antiqua"/>
          <w:szCs w:val="26"/>
        </w:rPr>
        <w:t xml:space="preserve">  </w:t>
      </w:r>
      <w:r w:rsidR="005E36DF">
        <w:rPr>
          <w:rFonts w:eastAsia="Book Antiqua"/>
        </w:rPr>
        <w:t>U</w:t>
      </w:r>
      <w:r w:rsidR="001E2913">
        <w:rPr>
          <w:rFonts w:eastAsia="Book Antiqua"/>
        </w:rPr>
        <w:t>pon the completion of</w:t>
      </w:r>
      <w:r w:rsidR="000163FB">
        <w:rPr>
          <w:rFonts w:eastAsia="Book Antiqua"/>
        </w:rPr>
        <w:t xml:space="preserve"> the IPO,</w:t>
      </w:r>
      <w:r w:rsidR="005E36DF">
        <w:rPr>
          <w:rFonts w:eastAsia="Book Antiqua"/>
        </w:rPr>
        <w:t xml:space="preserve"> David A. Morken will</w:t>
      </w:r>
      <w:r w:rsidR="001E2913">
        <w:rPr>
          <w:rFonts w:eastAsia="Book Antiqua"/>
        </w:rPr>
        <w:t xml:space="preserve"> have a controlling share in Bandwidth, Bandwidth CLEC’s </w:t>
      </w:r>
      <w:r w:rsidR="001E2913">
        <w:rPr>
          <w:rFonts w:eastAsia="Book Antiqua"/>
        </w:rPr>
        <w:lastRenderedPageBreak/>
        <w:t xml:space="preserve">parent company, and as a result, David A. Morken will have </w:t>
      </w:r>
      <w:r w:rsidR="009D6D56">
        <w:rPr>
          <w:rFonts w:eastAsia="Book Antiqua"/>
        </w:rPr>
        <w:t xml:space="preserve">indirect </w:t>
      </w:r>
      <w:r w:rsidR="00D53045">
        <w:rPr>
          <w:rFonts w:eastAsia="Book Antiqua"/>
        </w:rPr>
        <w:t>control of Bandwidth CLEC</w:t>
      </w:r>
      <w:r w:rsidR="00732E85">
        <w:rPr>
          <w:rFonts w:eastAsia="Book Antiqua"/>
        </w:rPr>
        <w:t>, as shown on the figures in Appendix A</w:t>
      </w:r>
      <w:r w:rsidR="00D53045">
        <w:rPr>
          <w:rFonts w:eastAsia="Book Antiqua"/>
        </w:rPr>
        <w:t>.</w:t>
      </w:r>
      <w:r w:rsidR="00AF363E">
        <w:rPr>
          <w:rStyle w:val="FootnoteReference"/>
          <w:rFonts w:eastAsia="Book Antiqua"/>
        </w:rPr>
        <w:footnoteReference w:id="5"/>
      </w:r>
    </w:p>
    <w:p w:rsidR="00C51857" w:rsidRPr="00C51857" w:rsidRDefault="00F64D25" w:rsidP="009D27CC">
      <w:pPr>
        <w:pStyle w:val="Heading1"/>
        <w:numPr>
          <w:ilvl w:val="0"/>
          <w:numId w:val="12"/>
        </w:numPr>
        <w:ind w:hanging="720"/>
        <w:rPr>
          <w:rFonts w:eastAsia="Book Antiqua"/>
        </w:rPr>
      </w:pPr>
      <w:bookmarkStart w:id="9" w:name="_Toc520204955"/>
      <w:r>
        <w:rPr>
          <w:rFonts w:eastAsia="Book Antiqua"/>
        </w:rPr>
        <w:t xml:space="preserve">Procedural </w:t>
      </w:r>
      <w:r w:rsidR="00C51857" w:rsidRPr="00C51857">
        <w:rPr>
          <w:rFonts w:eastAsia="Book Antiqua"/>
        </w:rPr>
        <w:t>Background</w:t>
      </w:r>
      <w:bookmarkEnd w:id="9"/>
    </w:p>
    <w:p w:rsidR="0051585D" w:rsidRDefault="0068057A" w:rsidP="00294880">
      <w:pPr>
        <w:spacing w:line="359" w:lineRule="auto"/>
        <w:ind w:firstLine="720"/>
        <w:rPr>
          <w:rFonts w:eastAsia="Book Antiqua" w:cs="Book Antiqua"/>
          <w:szCs w:val="26"/>
        </w:rPr>
      </w:pPr>
      <w:r>
        <w:rPr>
          <w:rFonts w:eastAsia="Book Antiqua" w:cs="Book Antiqua"/>
          <w:szCs w:val="26"/>
        </w:rPr>
        <w:t>Bandwidth</w:t>
      </w:r>
      <w:r w:rsidR="00FD2CC2">
        <w:rPr>
          <w:rFonts w:eastAsia="Book Antiqua" w:cs="Book Antiqua"/>
          <w:szCs w:val="26"/>
        </w:rPr>
        <w:t xml:space="preserve"> CLEC filed</w:t>
      </w:r>
      <w:r w:rsidR="005C5A9B">
        <w:rPr>
          <w:rFonts w:eastAsia="Book Antiqua" w:cs="Book Antiqua"/>
          <w:szCs w:val="26"/>
        </w:rPr>
        <w:t xml:space="preserve"> Application</w:t>
      </w:r>
      <w:r w:rsidR="00D036D5">
        <w:rPr>
          <w:rFonts w:eastAsia="Book Antiqua" w:cs="Book Antiqua"/>
          <w:szCs w:val="26"/>
        </w:rPr>
        <w:t xml:space="preserve"> </w:t>
      </w:r>
      <w:r w:rsidR="00FD2CC2">
        <w:rPr>
          <w:rFonts w:eastAsia="Book Antiqua" w:cs="Book Antiqua"/>
          <w:szCs w:val="26"/>
        </w:rPr>
        <w:t xml:space="preserve">(A.) 17-09-007 </w:t>
      </w:r>
      <w:r w:rsidR="00D036D5">
        <w:rPr>
          <w:rFonts w:eastAsia="Book Antiqua" w:cs="Book Antiqua"/>
          <w:szCs w:val="26"/>
        </w:rPr>
        <w:t>on September 13, 2017</w:t>
      </w:r>
      <w:r w:rsidR="001E2913">
        <w:rPr>
          <w:rFonts w:eastAsia="Book Antiqua" w:cs="Book Antiqua"/>
          <w:szCs w:val="26"/>
        </w:rPr>
        <w:t xml:space="preserve">, </w:t>
      </w:r>
      <w:r w:rsidR="001E2913">
        <w:rPr>
          <w:rFonts w:eastAsia="Book Antiqua"/>
        </w:rPr>
        <w:t>requesting authorization to transfer control of Bandwidth CLEC to David A. Morken</w:t>
      </w:r>
      <w:r w:rsidR="00C3045A">
        <w:rPr>
          <w:rFonts w:eastAsia="Book Antiqua"/>
        </w:rPr>
        <w:t xml:space="preserve"> pursuant to </w:t>
      </w:r>
      <w:r w:rsidR="00A312BF">
        <w:rPr>
          <w:rFonts w:eastAsia="Book Antiqua"/>
        </w:rPr>
        <w:t>Public Utilities (</w:t>
      </w:r>
      <w:r w:rsidR="00C3045A">
        <w:rPr>
          <w:rFonts w:eastAsia="Book Antiqua"/>
        </w:rPr>
        <w:t>Pub. Util</w:t>
      </w:r>
      <w:r w:rsidR="002C2014">
        <w:rPr>
          <w:rFonts w:eastAsia="Book Antiqua"/>
        </w:rPr>
        <w:t>.</w:t>
      </w:r>
      <w:r w:rsidR="00A312BF">
        <w:rPr>
          <w:rFonts w:eastAsia="Book Antiqua"/>
        </w:rPr>
        <w:t>)</w:t>
      </w:r>
      <w:r w:rsidR="00C3045A">
        <w:rPr>
          <w:rFonts w:eastAsia="Book Antiqua"/>
        </w:rPr>
        <w:t xml:space="preserve"> Code </w:t>
      </w:r>
      <w:r w:rsidR="00C3045A">
        <w:rPr>
          <w:rFonts w:ascii="Book Antiqua" w:eastAsia="Book Antiqua" w:hAnsi="Book Antiqua"/>
        </w:rPr>
        <w:t>§</w:t>
      </w:r>
      <w:r w:rsidR="00C3045A">
        <w:rPr>
          <w:rFonts w:eastAsia="Book Antiqua"/>
        </w:rPr>
        <w:t xml:space="preserve"> 854(a)</w:t>
      </w:r>
      <w:r w:rsidR="001E2913">
        <w:rPr>
          <w:rFonts w:eastAsia="Book Antiqua"/>
        </w:rPr>
        <w:t xml:space="preserve">.  </w:t>
      </w:r>
      <w:r w:rsidR="00D56C0C">
        <w:rPr>
          <w:rFonts w:eastAsia="Book Antiqua" w:cs="Book Antiqua"/>
          <w:szCs w:val="26"/>
        </w:rPr>
        <w:t xml:space="preserve">No parties protested </w:t>
      </w:r>
      <w:r w:rsidR="005C5A9B">
        <w:rPr>
          <w:rFonts w:eastAsia="Book Antiqua" w:cs="Book Antiqua"/>
          <w:szCs w:val="26"/>
        </w:rPr>
        <w:t xml:space="preserve">or responded to </w:t>
      </w:r>
      <w:r w:rsidR="00D56C0C">
        <w:rPr>
          <w:rFonts w:eastAsia="Book Antiqua" w:cs="Book Antiqua"/>
          <w:szCs w:val="26"/>
        </w:rPr>
        <w:t xml:space="preserve">the Application.  </w:t>
      </w:r>
      <w:r w:rsidR="00F65C42" w:rsidRPr="00223267">
        <w:rPr>
          <w:rFonts w:eastAsia="Book Antiqua" w:cs="Book Antiqua"/>
          <w:szCs w:val="26"/>
        </w:rPr>
        <w:t>On Oc</w:t>
      </w:r>
      <w:r w:rsidR="00F65C42">
        <w:rPr>
          <w:rFonts w:eastAsia="Book Antiqua" w:cs="Book Antiqua"/>
          <w:szCs w:val="26"/>
        </w:rPr>
        <w:t>to</w:t>
      </w:r>
      <w:r w:rsidR="00F65C42" w:rsidRPr="00223267">
        <w:rPr>
          <w:rFonts w:eastAsia="Book Antiqua" w:cs="Book Antiqua"/>
          <w:szCs w:val="26"/>
        </w:rPr>
        <w:t>ber 16, 2017, the assigned Administrative Law Judge</w:t>
      </w:r>
      <w:r w:rsidR="00F65C42">
        <w:rPr>
          <w:rFonts w:eastAsia="Book Antiqua" w:cs="Book Antiqua"/>
          <w:szCs w:val="26"/>
        </w:rPr>
        <w:t xml:space="preserve"> (ALJ) issued a ruling requiring j</w:t>
      </w:r>
      <w:r w:rsidR="00F65C42" w:rsidRPr="00223267">
        <w:rPr>
          <w:rFonts w:eastAsia="Book Antiqua" w:cs="Book Antiqua"/>
          <w:szCs w:val="26"/>
        </w:rPr>
        <w:t>oinder of David A. Morken, the individual,</w:t>
      </w:r>
      <w:r w:rsidR="00F65C42">
        <w:rPr>
          <w:rFonts w:eastAsia="Book Antiqua" w:cs="Book Antiqua"/>
          <w:szCs w:val="26"/>
        </w:rPr>
        <w:t xml:space="preserve"> </w:t>
      </w:r>
      <w:r w:rsidR="00C413D8">
        <w:rPr>
          <w:rFonts w:eastAsia="Book Antiqua" w:cs="Book Antiqua"/>
          <w:szCs w:val="26"/>
        </w:rPr>
        <w:t>pursuant to Rule 3.6</w:t>
      </w:r>
      <w:r w:rsidR="00EA6568">
        <w:rPr>
          <w:rFonts w:eastAsia="Book Antiqua" w:cs="Book Antiqua"/>
          <w:szCs w:val="26"/>
        </w:rPr>
        <w:t xml:space="preserve"> of the Commission’s Rules of Practice and Procedure</w:t>
      </w:r>
      <w:r w:rsidR="00F02D20">
        <w:rPr>
          <w:rFonts w:eastAsia="Book Antiqua" w:cs="Book Antiqua"/>
          <w:szCs w:val="26"/>
        </w:rPr>
        <w:t>,</w:t>
      </w:r>
      <w:r w:rsidR="00C413D8">
        <w:rPr>
          <w:rFonts w:eastAsia="Book Antiqua" w:cs="Book Antiqua"/>
          <w:szCs w:val="26"/>
        </w:rPr>
        <w:t xml:space="preserve"> </w:t>
      </w:r>
      <w:r w:rsidR="00F65C42" w:rsidRPr="00223267">
        <w:rPr>
          <w:rFonts w:eastAsia="Book Antiqua" w:cs="Book Antiqua"/>
          <w:szCs w:val="26"/>
        </w:rPr>
        <w:t xml:space="preserve">and requiring </w:t>
      </w:r>
      <w:r w:rsidR="000A2B79">
        <w:rPr>
          <w:rFonts w:eastAsia="Book Antiqua" w:cs="Book Antiqua"/>
          <w:szCs w:val="26"/>
        </w:rPr>
        <w:t>Bandwidth CLEC to</w:t>
      </w:r>
      <w:r w:rsidR="00F65C42" w:rsidRPr="00223267">
        <w:rPr>
          <w:rFonts w:eastAsia="Book Antiqua" w:cs="Book Antiqua"/>
          <w:szCs w:val="26"/>
        </w:rPr>
        <w:t xml:space="preserve"> submit additional information</w:t>
      </w:r>
      <w:r w:rsidR="00F65C42">
        <w:rPr>
          <w:rFonts w:eastAsia="Book Antiqua" w:cs="Book Antiqua"/>
          <w:szCs w:val="26"/>
        </w:rPr>
        <w:t xml:space="preserve"> </w:t>
      </w:r>
      <w:r w:rsidR="00C1264C">
        <w:rPr>
          <w:rFonts w:eastAsia="Book Antiqua" w:cs="Book Antiqua"/>
          <w:szCs w:val="26"/>
        </w:rPr>
        <w:t>on Bandwidth C</w:t>
      </w:r>
      <w:r w:rsidR="000A2B79">
        <w:rPr>
          <w:rFonts w:eastAsia="Book Antiqua" w:cs="Book Antiqua"/>
          <w:szCs w:val="26"/>
        </w:rPr>
        <w:t>LEC’s management structure</w:t>
      </w:r>
      <w:r w:rsidR="00F65C42">
        <w:rPr>
          <w:rFonts w:eastAsia="Book Antiqua" w:cs="Book Antiqua"/>
          <w:szCs w:val="26"/>
        </w:rPr>
        <w:t xml:space="preserve"> (October Ruling)</w:t>
      </w:r>
      <w:r w:rsidR="00F65C42" w:rsidRPr="00223267">
        <w:rPr>
          <w:rFonts w:eastAsia="Book Antiqua" w:cs="Book Antiqua"/>
          <w:szCs w:val="26"/>
        </w:rPr>
        <w:t>.</w:t>
      </w:r>
      <w:r w:rsidR="00F65C42">
        <w:rPr>
          <w:rFonts w:eastAsia="Book Antiqua" w:cs="Book Antiqua"/>
          <w:szCs w:val="26"/>
        </w:rPr>
        <w:t xml:space="preserve">  On October 23, 2017, David A. Morken filed a motion for party status.  The assigned ALJ granted the motion by email ruling on October 23, 2017. </w:t>
      </w:r>
    </w:p>
    <w:p w:rsidR="00E93648" w:rsidRDefault="0051585D" w:rsidP="00CB7838">
      <w:pPr>
        <w:spacing w:line="359" w:lineRule="auto"/>
        <w:ind w:firstLine="720"/>
        <w:rPr>
          <w:rFonts w:eastAsia="Book Antiqua" w:cs="Book Antiqua"/>
          <w:szCs w:val="26"/>
        </w:rPr>
      </w:pPr>
      <w:r>
        <w:rPr>
          <w:rFonts w:eastAsia="Book Antiqua" w:cs="Book Antiqua"/>
          <w:szCs w:val="26"/>
        </w:rPr>
        <w:t>On October 30, 2017, t</w:t>
      </w:r>
      <w:r w:rsidR="00D56C0C">
        <w:rPr>
          <w:rFonts w:eastAsia="Book Antiqua" w:cs="Book Antiqua"/>
          <w:szCs w:val="26"/>
        </w:rPr>
        <w:t xml:space="preserve">he </w:t>
      </w:r>
      <w:r w:rsidR="005B15CB">
        <w:rPr>
          <w:rFonts w:eastAsia="Book Antiqua" w:cs="Book Antiqua"/>
          <w:szCs w:val="26"/>
        </w:rPr>
        <w:t>assigned ALJ</w:t>
      </w:r>
      <w:r w:rsidR="00D56C0C">
        <w:rPr>
          <w:rFonts w:eastAsia="Book Antiqua" w:cs="Book Antiqua"/>
          <w:szCs w:val="26"/>
        </w:rPr>
        <w:t xml:space="preserve"> held a telephonic prehearing conference (PHC)</w:t>
      </w:r>
      <w:r w:rsidR="00EB4315">
        <w:rPr>
          <w:rFonts w:eastAsia="Book Antiqua" w:cs="Book Antiqua"/>
          <w:szCs w:val="26"/>
        </w:rPr>
        <w:t xml:space="preserve"> to determine parties;</w:t>
      </w:r>
      <w:r>
        <w:rPr>
          <w:rFonts w:eastAsia="Book Antiqua" w:cs="Book Antiqua"/>
          <w:szCs w:val="26"/>
        </w:rPr>
        <w:t xml:space="preserve"> and to discuss the scope, the schedule and other procedural matters</w:t>
      </w:r>
      <w:r w:rsidR="00683250">
        <w:rPr>
          <w:rFonts w:eastAsia="Book Antiqua" w:cs="Book Antiqua"/>
          <w:szCs w:val="26"/>
        </w:rPr>
        <w:t xml:space="preserve">.  </w:t>
      </w:r>
      <w:r w:rsidR="00817F1E">
        <w:rPr>
          <w:rFonts w:eastAsia="Book Antiqua" w:cs="Book Antiqua"/>
          <w:szCs w:val="26"/>
        </w:rPr>
        <w:t>Bandwidth CLEC and David A. Morken</w:t>
      </w:r>
      <w:r w:rsidR="00D56C0C">
        <w:rPr>
          <w:rFonts w:eastAsia="Book Antiqua" w:cs="Book Antiqua"/>
          <w:szCs w:val="26"/>
        </w:rPr>
        <w:t xml:space="preserve"> appeared at the PHC</w:t>
      </w:r>
      <w:r w:rsidR="00E26151">
        <w:rPr>
          <w:rFonts w:eastAsia="Book Antiqua" w:cs="Book Antiqua"/>
          <w:szCs w:val="26"/>
        </w:rPr>
        <w:t>.</w:t>
      </w:r>
      <w:r w:rsidR="00EC285B">
        <w:rPr>
          <w:rFonts w:eastAsia="Book Antiqua" w:cs="Book Antiqua"/>
          <w:szCs w:val="26"/>
        </w:rPr>
        <w:t xml:space="preserve">  </w:t>
      </w:r>
      <w:r w:rsidR="00E013E7" w:rsidRPr="00E41743">
        <w:rPr>
          <w:rFonts w:eastAsia="Book Antiqua" w:cs="Book Antiqua"/>
          <w:szCs w:val="26"/>
        </w:rPr>
        <w:t xml:space="preserve">On </w:t>
      </w:r>
      <w:r w:rsidR="00CC49F7">
        <w:rPr>
          <w:rFonts w:eastAsia="Book Antiqua" w:cs="Book Antiqua"/>
          <w:szCs w:val="26"/>
        </w:rPr>
        <w:t>November 1, 2017,</w:t>
      </w:r>
      <w:r w:rsidR="00540F3D">
        <w:rPr>
          <w:rFonts w:eastAsia="Book Antiqua" w:cs="Book Antiqua"/>
          <w:szCs w:val="26"/>
        </w:rPr>
        <w:t xml:space="preserve"> Bandwidth CLEC and David A. Morken</w:t>
      </w:r>
      <w:r w:rsidR="00E013E7" w:rsidRPr="00E41743">
        <w:rPr>
          <w:rFonts w:eastAsia="Book Antiqua" w:cs="Book Antiqua"/>
          <w:szCs w:val="26"/>
        </w:rPr>
        <w:t xml:space="preserve"> submitted additional information in response to the October Ruling. </w:t>
      </w:r>
      <w:r w:rsidR="00E013E7">
        <w:rPr>
          <w:rFonts w:eastAsia="Book Antiqua" w:cs="Book Antiqua"/>
          <w:szCs w:val="26"/>
        </w:rPr>
        <w:t xml:space="preserve"> </w:t>
      </w:r>
      <w:r w:rsidR="00E93648">
        <w:rPr>
          <w:rFonts w:eastAsia="Book Antiqua" w:cs="Book Antiqua"/>
          <w:szCs w:val="26"/>
        </w:rPr>
        <w:t>In statements at the PHC and in its response to the ALJ Request for Additional Information, Bandwidth CLEC indicated that it has no officers or directors and operated though Bandwidth’s management.</w:t>
      </w:r>
      <w:r w:rsidR="0074288F">
        <w:rPr>
          <w:rStyle w:val="FootnoteReference"/>
          <w:rFonts w:eastAsia="Book Antiqua" w:cs="Book Antiqua"/>
          <w:szCs w:val="26"/>
        </w:rPr>
        <w:footnoteReference w:id="6"/>
      </w:r>
      <w:r w:rsidR="00E93648">
        <w:rPr>
          <w:rFonts w:eastAsia="Book Antiqua" w:cs="Book Antiqua"/>
          <w:szCs w:val="26"/>
        </w:rPr>
        <w:t xml:space="preserve"> </w:t>
      </w:r>
    </w:p>
    <w:p w:rsidR="00E10C00" w:rsidRDefault="00D036D5" w:rsidP="00CB7838">
      <w:pPr>
        <w:spacing w:line="359" w:lineRule="auto"/>
        <w:ind w:firstLine="720"/>
        <w:rPr>
          <w:rFonts w:eastAsia="Book Antiqua" w:cs="Book Antiqua"/>
          <w:szCs w:val="26"/>
        </w:rPr>
      </w:pPr>
      <w:r>
        <w:rPr>
          <w:rFonts w:eastAsia="Book Antiqua" w:cs="Book Antiqua"/>
          <w:szCs w:val="26"/>
        </w:rPr>
        <w:lastRenderedPageBreak/>
        <w:t>The assigned Commis</w:t>
      </w:r>
      <w:r w:rsidR="00D461B2">
        <w:rPr>
          <w:rFonts w:eastAsia="Book Antiqua" w:cs="Book Antiqua"/>
          <w:szCs w:val="26"/>
        </w:rPr>
        <w:t>sioner issued a scoping memo</w:t>
      </w:r>
      <w:r w:rsidR="00355259">
        <w:rPr>
          <w:rFonts w:eastAsia="Book Antiqua" w:cs="Book Antiqua"/>
          <w:szCs w:val="26"/>
        </w:rPr>
        <w:t xml:space="preserve"> and ruling (scoping memo)</w:t>
      </w:r>
      <w:r w:rsidR="00D461B2">
        <w:rPr>
          <w:rFonts w:eastAsia="Book Antiqua" w:cs="Book Antiqua"/>
          <w:szCs w:val="26"/>
        </w:rPr>
        <w:t xml:space="preserve"> on</w:t>
      </w:r>
      <w:r w:rsidR="00D56C0C">
        <w:rPr>
          <w:rFonts w:eastAsia="Book Antiqua" w:cs="Book Antiqua"/>
          <w:szCs w:val="26"/>
        </w:rPr>
        <w:t xml:space="preserve"> </w:t>
      </w:r>
      <w:r w:rsidR="00AF4BCB">
        <w:rPr>
          <w:rFonts w:eastAsia="Book Antiqua" w:cs="Book Antiqua"/>
          <w:szCs w:val="26"/>
        </w:rPr>
        <w:t>November 17, 2017.</w:t>
      </w:r>
      <w:r w:rsidR="00AC39FB">
        <w:rPr>
          <w:rFonts w:eastAsia="Book Antiqua" w:cs="Book Antiqua"/>
          <w:szCs w:val="26"/>
        </w:rPr>
        <w:t xml:space="preserve">  The </w:t>
      </w:r>
      <w:r w:rsidR="00993CB8">
        <w:rPr>
          <w:rFonts w:eastAsia="Book Antiqua" w:cs="Book Antiqua"/>
          <w:szCs w:val="26"/>
        </w:rPr>
        <w:t>scoping memo determined the following issues to be within the scope of this proceeding:</w:t>
      </w:r>
    </w:p>
    <w:p w:rsidR="00E10C00" w:rsidRDefault="00E10C00" w:rsidP="00E10C00">
      <w:pPr>
        <w:numPr>
          <w:ilvl w:val="0"/>
          <w:numId w:val="19"/>
        </w:numPr>
        <w:spacing w:after="120"/>
        <w:ind w:left="1080" w:right="1440"/>
        <w:rPr>
          <w:rFonts w:eastAsia="Book Antiqua" w:cs="Book Antiqua"/>
          <w:color w:val="000000"/>
          <w:szCs w:val="26"/>
        </w:rPr>
      </w:pPr>
      <w:r w:rsidRPr="00C92070">
        <w:rPr>
          <w:rFonts w:eastAsia="Book Antiqua" w:cs="Book Antiqua"/>
          <w:color w:val="000000"/>
          <w:szCs w:val="26"/>
        </w:rPr>
        <w:t xml:space="preserve">Does the Application meet all Commission requirements such that the Commission should grant authorization to transfer control of Bandwidth CLEC </w:t>
      </w:r>
      <w:r>
        <w:rPr>
          <w:rFonts w:eastAsia="Book Antiqua" w:cs="Book Antiqua"/>
          <w:color w:val="000000"/>
          <w:szCs w:val="26"/>
        </w:rPr>
        <w:t>from Bandwidth CLEC to Bandwidth</w:t>
      </w:r>
      <w:r w:rsidRPr="00C92070">
        <w:rPr>
          <w:rFonts w:eastAsia="Book Antiqua" w:cs="Book Antiqua"/>
          <w:color w:val="000000"/>
          <w:szCs w:val="26"/>
        </w:rPr>
        <w:t>, including compliance with Pub</w:t>
      </w:r>
      <w:r>
        <w:rPr>
          <w:rFonts w:eastAsia="Book Antiqua" w:cs="Book Antiqua"/>
          <w:color w:val="000000"/>
          <w:szCs w:val="26"/>
        </w:rPr>
        <w:t>.</w:t>
      </w:r>
      <w:r w:rsidRPr="00C92070">
        <w:rPr>
          <w:rFonts w:eastAsia="Book Antiqua" w:cs="Book Antiqua"/>
          <w:color w:val="000000"/>
          <w:szCs w:val="26"/>
        </w:rPr>
        <w:t xml:space="preserve"> Util</w:t>
      </w:r>
      <w:r>
        <w:rPr>
          <w:rFonts w:eastAsia="Book Antiqua" w:cs="Book Antiqua"/>
          <w:color w:val="000000"/>
          <w:szCs w:val="26"/>
        </w:rPr>
        <w:t>.</w:t>
      </w:r>
      <w:r w:rsidRPr="00C92070">
        <w:rPr>
          <w:rFonts w:eastAsia="Book Antiqua" w:cs="Book Antiqua"/>
          <w:color w:val="000000"/>
          <w:szCs w:val="26"/>
        </w:rPr>
        <w:t xml:space="preserve"> Code § 854 and </w:t>
      </w:r>
      <w:r>
        <w:rPr>
          <w:rFonts w:eastAsia="Book Antiqua" w:cs="Book Antiqua"/>
          <w:color w:val="000000"/>
          <w:szCs w:val="26"/>
        </w:rPr>
        <w:t>Rule</w:t>
      </w:r>
      <w:r w:rsidRPr="00C92070">
        <w:rPr>
          <w:rFonts w:eastAsia="Book Antiqua" w:cs="Book Antiqua"/>
          <w:color w:val="000000"/>
          <w:szCs w:val="26"/>
        </w:rPr>
        <w:t xml:space="preserve"> 3.6?</w:t>
      </w:r>
    </w:p>
    <w:p w:rsidR="00C4406D" w:rsidRPr="00EB4315" w:rsidRDefault="00E10C00" w:rsidP="008571E5">
      <w:pPr>
        <w:numPr>
          <w:ilvl w:val="0"/>
          <w:numId w:val="19"/>
        </w:numPr>
        <w:spacing w:after="120"/>
        <w:ind w:left="1080" w:right="1440"/>
        <w:rPr>
          <w:rFonts w:eastAsia="Book Antiqua" w:cs="Book Antiqua"/>
          <w:color w:val="000000"/>
          <w:szCs w:val="26"/>
        </w:rPr>
      </w:pPr>
      <w:r w:rsidRPr="00C92070">
        <w:rPr>
          <w:rFonts w:eastAsia="Book Antiqua" w:cs="Book Antiqua"/>
          <w:color w:val="000000"/>
          <w:szCs w:val="26"/>
        </w:rPr>
        <w:t>Does the Application meet all Commission requirements such that the Commission should grant authorization to transfer control of Bandwidth CLEC from Bandwidth to David A. Morken, including compliance with Pub</w:t>
      </w:r>
      <w:r>
        <w:rPr>
          <w:rFonts w:eastAsia="Book Antiqua" w:cs="Book Antiqua"/>
          <w:color w:val="000000"/>
          <w:szCs w:val="26"/>
        </w:rPr>
        <w:t>.</w:t>
      </w:r>
      <w:r w:rsidRPr="00C92070">
        <w:rPr>
          <w:rFonts w:eastAsia="Book Antiqua" w:cs="Book Antiqua"/>
          <w:color w:val="000000"/>
          <w:szCs w:val="26"/>
        </w:rPr>
        <w:t xml:space="preserve"> Util</w:t>
      </w:r>
      <w:r>
        <w:rPr>
          <w:rFonts w:eastAsia="Book Antiqua" w:cs="Book Antiqua"/>
          <w:color w:val="000000"/>
          <w:szCs w:val="26"/>
        </w:rPr>
        <w:t>.</w:t>
      </w:r>
      <w:r w:rsidRPr="00C92070">
        <w:rPr>
          <w:rFonts w:eastAsia="Book Antiqua" w:cs="Book Antiqua"/>
          <w:color w:val="000000"/>
          <w:szCs w:val="26"/>
        </w:rPr>
        <w:t xml:space="preserve"> Code § 854 and </w:t>
      </w:r>
      <w:r>
        <w:rPr>
          <w:rFonts w:eastAsia="Book Antiqua" w:cs="Book Antiqua"/>
          <w:color w:val="000000"/>
          <w:szCs w:val="26"/>
        </w:rPr>
        <w:t xml:space="preserve">Rule </w:t>
      </w:r>
      <w:r w:rsidRPr="00C92070">
        <w:rPr>
          <w:rFonts w:eastAsia="Book Antiqua" w:cs="Book Antiqua"/>
          <w:color w:val="000000"/>
          <w:szCs w:val="26"/>
        </w:rPr>
        <w:t>3.6?</w:t>
      </w:r>
    </w:p>
    <w:p w:rsidR="00D56C0C" w:rsidRDefault="00AC5D1E" w:rsidP="00CB7838">
      <w:pPr>
        <w:spacing w:line="359" w:lineRule="auto"/>
        <w:ind w:firstLine="720"/>
        <w:rPr>
          <w:rFonts w:eastAsia="Book Antiqua" w:cs="Book Antiqua"/>
          <w:szCs w:val="26"/>
        </w:rPr>
      </w:pPr>
      <w:r>
        <w:rPr>
          <w:rFonts w:eastAsia="Book Antiqua" w:cs="Book Antiqua"/>
          <w:szCs w:val="26"/>
        </w:rPr>
        <w:t>The first issue</w:t>
      </w:r>
      <w:r w:rsidR="004F5B0E">
        <w:rPr>
          <w:rFonts w:eastAsia="Book Antiqua" w:cs="Book Antiqua"/>
          <w:szCs w:val="26"/>
        </w:rPr>
        <w:t xml:space="preserve"> posed by the scoping memo reflected the direct transfer of managerial authority of Bandwidth CLEC to Bandwidth </w:t>
      </w:r>
      <w:r w:rsidR="002E070F">
        <w:rPr>
          <w:rFonts w:eastAsia="Book Antiqua" w:cs="Book Antiqua"/>
          <w:szCs w:val="26"/>
        </w:rPr>
        <w:t>(</w:t>
      </w:r>
      <w:r w:rsidR="007D1F50">
        <w:rPr>
          <w:rFonts w:eastAsia="Book Antiqua" w:cs="Book Antiqua"/>
          <w:szCs w:val="26"/>
        </w:rPr>
        <w:t xml:space="preserve">as </w:t>
      </w:r>
      <w:r w:rsidR="004F5B0E">
        <w:rPr>
          <w:rFonts w:eastAsia="Book Antiqua" w:cs="Book Antiqua"/>
          <w:szCs w:val="26"/>
        </w:rPr>
        <w:t>indicated by</w:t>
      </w:r>
      <w:r w:rsidR="007D1F50">
        <w:rPr>
          <w:rFonts w:eastAsia="Book Antiqua" w:cs="Book Antiqua"/>
          <w:szCs w:val="26"/>
        </w:rPr>
        <w:t xml:space="preserve"> Bandwidth CLEC’s </w:t>
      </w:r>
      <w:r w:rsidR="00BF30E9">
        <w:rPr>
          <w:rFonts w:eastAsia="Book Antiqua" w:cs="Book Antiqua"/>
          <w:szCs w:val="26"/>
        </w:rPr>
        <w:t xml:space="preserve">statement that Bandwidth </w:t>
      </w:r>
      <w:r w:rsidR="000759EA">
        <w:rPr>
          <w:rFonts w:eastAsia="Book Antiqua" w:cs="Book Antiqua"/>
          <w:szCs w:val="26"/>
        </w:rPr>
        <w:t xml:space="preserve">CLEC </w:t>
      </w:r>
      <w:r w:rsidR="00BF30E9">
        <w:rPr>
          <w:rFonts w:eastAsia="Book Antiqua" w:cs="Book Antiqua"/>
          <w:szCs w:val="26"/>
        </w:rPr>
        <w:t>had no officers and directors, and</w:t>
      </w:r>
      <w:r w:rsidR="00870E71">
        <w:rPr>
          <w:rFonts w:eastAsia="Book Antiqua" w:cs="Book Antiqua"/>
          <w:szCs w:val="26"/>
        </w:rPr>
        <w:t xml:space="preserve"> was solely managed by Bandwidth’s officers and directors</w:t>
      </w:r>
      <w:r w:rsidR="002E070F">
        <w:rPr>
          <w:rFonts w:eastAsia="Book Antiqua" w:cs="Book Antiqua"/>
          <w:szCs w:val="26"/>
        </w:rPr>
        <w:t>)</w:t>
      </w:r>
      <w:r w:rsidR="00870E71">
        <w:rPr>
          <w:rFonts w:eastAsia="Book Antiqua" w:cs="Book Antiqua"/>
          <w:szCs w:val="26"/>
        </w:rPr>
        <w:t>.</w:t>
      </w:r>
      <w:r w:rsidR="00F6373D">
        <w:rPr>
          <w:rFonts w:eastAsia="Book Antiqua" w:cs="Book Antiqua"/>
          <w:szCs w:val="26"/>
        </w:rPr>
        <w:t xml:space="preserve">  The second </w:t>
      </w:r>
      <w:r w:rsidR="00C815DE">
        <w:rPr>
          <w:rFonts w:eastAsia="Book Antiqua" w:cs="Book Antiqua"/>
          <w:szCs w:val="26"/>
        </w:rPr>
        <w:t xml:space="preserve">issue reflected </w:t>
      </w:r>
      <w:r w:rsidR="00F6373D">
        <w:rPr>
          <w:rFonts w:eastAsia="Book Antiqua" w:cs="Book Antiqua"/>
          <w:szCs w:val="26"/>
        </w:rPr>
        <w:t>the indirect transfer of managerial control of Bandwidth to</w:t>
      </w:r>
      <w:r w:rsidR="00D402CA">
        <w:rPr>
          <w:rFonts w:eastAsia="Book Antiqua" w:cs="Book Antiqua"/>
          <w:szCs w:val="26"/>
        </w:rPr>
        <w:t xml:space="preserve"> David A. Morken</w:t>
      </w:r>
      <w:r w:rsidR="00F45966">
        <w:rPr>
          <w:rFonts w:eastAsia="Book Antiqua" w:cs="Book Antiqua"/>
          <w:szCs w:val="26"/>
        </w:rPr>
        <w:t xml:space="preserve"> as proposed in the Application</w:t>
      </w:r>
      <w:r w:rsidR="00D402CA">
        <w:rPr>
          <w:rFonts w:eastAsia="Book Antiqua" w:cs="Book Antiqua"/>
          <w:szCs w:val="26"/>
        </w:rPr>
        <w:t xml:space="preserve">. </w:t>
      </w:r>
      <w:r w:rsidR="00F6373D">
        <w:rPr>
          <w:rFonts w:eastAsia="Book Antiqua" w:cs="Book Antiqua"/>
          <w:szCs w:val="26"/>
        </w:rPr>
        <w:t xml:space="preserve"> </w:t>
      </w:r>
      <w:r w:rsidR="00870E71">
        <w:rPr>
          <w:rFonts w:eastAsia="Book Antiqua" w:cs="Book Antiqua"/>
          <w:szCs w:val="26"/>
        </w:rPr>
        <w:t xml:space="preserve"> </w:t>
      </w:r>
      <w:r w:rsidR="00C03578">
        <w:rPr>
          <w:rFonts w:eastAsia="Book Antiqua" w:cs="Book Antiqua"/>
          <w:szCs w:val="26"/>
        </w:rPr>
        <w:t xml:space="preserve"> </w:t>
      </w:r>
      <w:r w:rsidR="004F5B0E">
        <w:rPr>
          <w:rFonts w:eastAsia="Book Antiqua" w:cs="Book Antiqua"/>
          <w:szCs w:val="26"/>
        </w:rPr>
        <w:t xml:space="preserve"> </w:t>
      </w:r>
      <w:r w:rsidR="00C4406D">
        <w:rPr>
          <w:rFonts w:eastAsia="Book Antiqua" w:cs="Book Antiqua"/>
          <w:szCs w:val="26"/>
        </w:rPr>
        <w:t xml:space="preserve"> </w:t>
      </w:r>
    </w:p>
    <w:p w:rsidR="00A41A08" w:rsidRDefault="0008577E" w:rsidP="00CB7838">
      <w:pPr>
        <w:spacing w:line="359" w:lineRule="auto"/>
        <w:ind w:firstLine="720"/>
        <w:rPr>
          <w:rFonts w:eastAsia="Book Antiqua" w:cs="Book Antiqua"/>
          <w:szCs w:val="26"/>
        </w:rPr>
      </w:pPr>
      <w:r>
        <w:rPr>
          <w:rFonts w:eastAsia="Book Antiqua" w:cs="Book Antiqua"/>
          <w:szCs w:val="26"/>
        </w:rPr>
        <w:t xml:space="preserve">On </w:t>
      </w:r>
      <w:r w:rsidR="00064A17">
        <w:rPr>
          <w:rFonts w:eastAsia="Book Antiqua" w:cs="Book Antiqua"/>
          <w:szCs w:val="26"/>
        </w:rPr>
        <w:t>January 12, 2018, the assigned ALJ issued the</w:t>
      </w:r>
      <w:r w:rsidR="00064A17" w:rsidRPr="008C76A5">
        <w:rPr>
          <w:rFonts w:eastAsia="Book Antiqua" w:cs="Book Antiqua"/>
          <w:i/>
          <w:szCs w:val="26"/>
        </w:rPr>
        <w:t xml:space="preserve"> ALJ’s Ruling R</w:t>
      </w:r>
      <w:r w:rsidR="00443F9D">
        <w:rPr>
          <w:rFonts w:eastAsia="Book Antiqua" w:cs="Book Antiqua"/>
          <w:i/>
          <w:szCs w:val="26"/>
        </w:rPr>
        <w:t>equiring Joinder of Bandwidth</w:t>
      </w:r>
      <w:r w:rsidR="008C76A5" w:rsidRPr="008C76A5">
        <w:rPr>
          <w:rFonts w:eastAsia="Book Antiqua" w:cs="Book Antiqua"/>
          <w:i/>
          <w:szCs w:val="26"/>
        </w:rPr>
        <w:t xml:space="preserve"> Within 15 Days</w:t>
      </w:r>
      <w:r w:rsidR="008C76A5">
        <w:rPr>
          <w:rFonts w:eastAsia="Book Antiqua" w:cs="Book Antiqua"/>
          <w:szCs w:val="26"/>
        </w:rPr>
        <w:t>.</w:t>
      </w:r>
      <w:r w:rsidR="00ED515B">
        <w:rPr>
          <w:rFonts w:eastAsia="Book Antiqua" w:cs="Book Antiqua"/>
          <w:szCs w:val="26"/>
        </w:rPr>
        <w:t xml:space="preserve">  </w:t>
      </w:r>
      <w:r w:rsidR="00443F9D">
        <w:rPr>
          <w:rFonts w:eastAsia="Book Antiqua" w:cs="Book Antiqua"/>
          <w:szCs w:val="26"/>
        </w:rPr>
        <w:t>On January 16, 2018, Bandwidth filed a motion for party status</w:t>
      </w:r>
      <w:r w:rsidR="00EE0A71">
        <w:rPr>
          <w:rFonts w:eastAsia="Book Antiqua" w:cs="Book Antiqua"/>
          <w:szCs w:val="26"/>
        </w:rPr>
        <w:t>.  On January 16, 20</w:t>
      </w:r>
      <w:r w:rsidR="00E23625">
        <w:rPr>
          <w:rFonts w:eastAsia="Book Antiqua" w:cs="Book Antiqua"/>
          <w:szCs w:val="26"/>
        </w:rPr>
        <w:t xml:space="preserve">18, </w:t>
      </w:r>
      <w:r w:rsidR="00C164D4">
        <w:rPr>
          <w:rFonts w:eastAsia="Book Antiqua" w:cs="Book Antiqua"/>
          <w:szCs w:val="26"/>
        </w:rPr>
        <w:t>the assigned ALJ granted Bandwidth’s motion for party status</w:t>
      </w:r>
      <w:r w:rsidR="00A41A08">
        <w:rPr>
          <w:rFonts w:eastAsia="Book Antiqua" w:cs="Book Antiqua"/>
          <w:szCs w:val="26"/>
        </w:rPr>
        <w:t xml:space="preserve"> by email ruling</w:t>
      </w:r>
      <w:r w:rsidR="00C164D4">
        <w:rPr>
          <w:rFonts w:eastAsia="Book Antiqua" w:cs="Book Antiqua"/>
          <w:szCs w:val="26"/>
        </w:rPr>
        <w:t>.</w:t>
      </w:r>
      <w:r w:rsidR="0092046A">
        <w:rPr>
          <w:rStyle w:val="FootnoteReference"/>
          <w:rFonts w:eastAsia="Book Antiqua" w:cs="Book Antiqua"/>
          <w:szCs w:val="26"/>
        </w:rPr>
        <w:footnoteReference w:id="7"/>
      </w:r>
    </w:p>
    <w:p w:rsidR="00A32491" w:rsidRDefault="00A41A08" w:rsidP="00A32491">
      <w:pPr>
        <w:spacing w:line="359" w:lineRule="auto"/>
        <w:ind w:firstLine="720"/>
        <w:rPr>
          <w:rFonts w:eastAsia="Book Antiqua" w:cs="Book Antiqua"/>
          <w:szCs w:val="26"/>
        </w:rPr>
      </w:pPr>
      <w:r>
        <w:rPr>
          <w:rFonts w:eastAsia="Book Antiqua" w:cs="Book Antiqua"/>
          <w:szCs w:val="26"/>
        </w:rPr>
        <w:t xml:space="preserve">On January 31, 2018, the assigned ALJ issued an Order to Show Cause </w:t>
      </w:r>
      <w:r w:rsidR="00347CDA">
        <w:rPr>
          <w:rFonts w:eastAsia="Book Antiqua" w:cs="Book Antiqua"/>
          <w:szCs w:val="26"/>
        </w:rPr>
        <w:t xml:space="preserve">directing </w:t>
      </w:r>
      <w:r w:rsidR="00BF24D2">
        <w:rPr>
          <w:rFonts w:eastAsia="Book Antiqua" w:cs="Book Antiqua"/>
          <w:szCs w:val="26"/>
        </w:rPr>
        <w:t>applicants to explain why the Commission should not find</w:t>
      </w:r>
      <w:r w:rsidR="00934902">
        <w:rPr>
          <w:rFonts w:eastAsia="Book Antiqua" w:cs="Book Antiqua"/>
          <w:szCs w:val="26"/>
        </w:rPr>
        <w:t xml:space="preserve"> 1)</w:t>
      </w:r>
      <w:r w:rsidR="00BF24D2">
        <w:rPr>
          <w:rFonts w:eastAsia="Book Antiqua" w:cs="Book Antiqua"/>
          <w:szCs w:val="26"/>
        </w:rPr>
        <w:t xml:space="preserve"> a rule 1 violation for Bandwidth CLEC’s misrepresentation of its </w:t>
      </w:r>
      <w:r w:rsidR="00934902">
        <w:rPr>
          <w:rFonts w:eastAsia="Book Antiqua" w:cs="Book Antiqua"/>
          <w:szCs w:val="26"/>
        </w:rPr>
        <w:t xml:space="preserve">managerial </w:t>
      </w:r>
      <w:r w:rsidR="00934902">
        <w:rPr>
          <w:rFonts w:eastAsia="Book Antiqua" w:cs="Book Antiqua"/>
          <w:szCs w:val="26"/>
        </w:rPr>
        <w:lastRenderedPageBreak/>
        <w:t>qualifications in A.</w:t>
      </w:r>
      <w:r w:rsidR="005A7655">
        <w:rPr>
          <w:rFonts w:eastAsia="Book Antiqua" w:cs="Book Antiqua"/>
          <w:szCs w:val="26"/>
        </w:rPr>
        <w:t>0</w:t>
      </w:r>
      <w:r w:rsidR="00BF24D2">
        <w:rPr>
          <w:rFonts w:eastAsia="Book Antiqua" w:cs="Book Antiqua"/>
          <w:szCs w:val="26"/>
        </w:rPr>
        <w:t>7-</w:t>
      </w:r>
      <w:r w:rsidR="00934902">
        <w:rPr>
          <w:rFonts w:eastAsia="Book Antiqua" w:cs="Book Antiqua"/>
          <w:szCs w:val="26"/>
        </w:rPr>
        <w:t xml:space="preserve">03-020 where Bandwidth CLEC represented Bandwidth’s management as its own and </w:t>
      </w:r>
      <w:r w:rsidR="009A4B6A">
        <w:rPr>
          <w:rFonts w:eastAsia="Book Antiqua" w:cs="Book Antiqua"/>
          <w:szCs w:val="26"/>
        </w:rPr>
        <w:t>2) </w:t>
      </w:r>
      <w:r w:rsidR="0077640F">
        <w:rPr>
          <w:rFonts w:eastAsia="Book Antiqua" w:cs="Book Antiqua"/>
          <w:szCs w:val="26"/>
        </w:rPr>
        <w:t xml:space="preserve">Bandwidth’s operation without a license for failure to request a transfer of </w:t>
      </w:r>
      <w:r w:rsidR="00A41631">
        <w:rPr>
          <w:rFonts w:eastAsia="Book Antiqua" w:cs="Book Antiqua"/>
          <w:szCs w:val="26"/>
        </w:rPr>
        <w:t>control</w:t>
      </w:r>
      <w:r w:rsidR="0077640F">
        <w:rPr>
          <w:rFonts w:eastAsia="Book Antiqua" w:cs="Book Antiqua"/>
          <w:szCs w:val="26"/>
        </w:rPr>
        <w:t xml:space="preserve"> pursuant to Pub. Util. Code § 854(a)</w:t>
      </w:r>
      <w:r w:rsidR="00E338FF">
        <w:rPr>
          <w:rFonts w:eastAsia="Book Antiqua" w:cs="Book Antiqua"/>
          <w:szCs w:val="26"/>
        </w:rPr>
        <w:t>.</w:t>
      </w:r>
      <w:r w:rsidR="002B46BF">
        <w:rPr>
          <w:rStyle w:val="FootnoteReference"/>
          <w:rFonts w:eastAsia="Book Antiqua" w:cs="Book Antiqua"/>
          <w:szCs w:val="26"/>
        </w:rPr>
        <w:footnoteReference w:id="8"/>
      </w:r>
      <w:r w:rsidR="00620E16">
        <w:rPr>
          <w:rFonts w:eastAsia="Book Antiqua" w:cs="Book Antiqua"/>
          <w:szCs w:val="26"/>
        </w:rPr>
        <w:t xml:space="preserve"> </w:t>
      </w:r>
      <w:r w:rsidR="00E338FF">
        <w:rPr>
          <w:rFonts w:eastAsia="Book Antiqua" w:cs="Book Antiqua"/>
          <w:szCs w:val="26"/>
        </w:rPr>
        <w:t xml:space="preserve"> </w:t>
      </w:r>
      <w:r w:rsidR="00BF24D2">
        <w:rPr>
          <w:rFonts w:eastAsia="Book Antiqua" w:cs="Book Antiqua"/>
          <w:szCs w:val="26"/>
        </w:rPr>
        <w:t xml:space="preserve">The </w:t>
      </w:r>
      <w:r w:rsidR="00BF24D2" w:rsidRPr="00FD0FE8">
        <w:rPr>
          <w:rFonts w:eastAsia="Book Antiqua" w:cs="Book Antiqua"/>
          <w:szCs w:val="26"/>
        </w:rPr>
        <w:t>Order to Show Cause</w:t>
      </w:r>
      <w:r w:rsidR="00620E16">
        <w:rPr>
          <w:rFonts w:eastAsia="Book Antiqua" w:cs="Book Antiqua"/>
          <w:szCs w:val="26"/>
        </w:rPr>
        <w:t xml:space="preserve"> also </w:t>
      </w:r>
      <w:r w:rsidR="008A2AAB">
        <w:rPr>
          <w:rFonts w:eastAsia="Book Antiqua" w:cs="Book Antiqua"/>
          <w:szCs w:val="26"/>
        </w:rPr>
        <w:t>required</w:t>
      </w:r>
      <w:r w:rsidR="00CF02C7">
        <w:rPr>
          <w:rFonts w:eastAsia="Book Antiqua" w:cs="Book Antiqua"/>
          <w:szCs w:val="26"/>
        </w:rPr>
        <w:t xml:space="preserve"> the Joint Applicants to amend their Application</w:t>
      </w:r>
      <w:r w:rsidR="008A2AAB">
        <w:rPr>
          <w:rFonts w:eastAsia="Book Antiqua" w:cs="Book Antiqua"/>
          <w:szCs w:val="26"/>
        </w:rPr>
        <w:t xml:space="preserve"> within 60 days</w:t>
      </w:r>
      <w:r w:rsidR="003F5F82">
        <w:rPr>
          <w:rFonts w:eastAsia="Book Antiqua" w:cs="Book Antiqua"/>
          <w:szCs w:val="26"/>
        </w:rPr>
        <w:t xml:space="preserve"> to reflect</w:t>
      </w:r>
      <w:r w:rsidR="009E02DB">
        <w:rPr>
          <w:rFonts w:eastAsia="Book Antiqua" w:cs="Book Antiqua"/>
          <w:szCs w:val="26"/>
        </w:rPr>
        <w:t xml:space="preserve"> the two tra</w:t>
      </w:r>
      <w:r w:rsidR="003F5F82">
        <w:rPr>
          <w:rFonts w:eastAsia="Book Antiqua" w:cs="Book Antiqua"/>
          <w:szCs w:val="26"/>
        </w:rPr>
        <w:t>n</w:t>
      </w:r>
      <w:r w:rsidR="009E02DB">
        <w:rPr>
          <w:rFonts w:eastAsia="Book Antiqua" w:cs="Book Antiqua"/>
          <w:szCs w:val="26"/>
        </w:rPr>
        <w:t>s</w:t>
      </w:r>
      <w:r w:rsidR="003F5F82">
        <w:rPr>
          <w:rFonts w:eastAsia="Book Antiqua" w:cs="Book Antiqua"/>
          <w:szCs w:val="26"/>
        </w:rPr>
        <w:t>fers</w:t>
      </w:r>
      <w:r w:rsidR="00B15E41">
        <w:rPr>
          <w:rFonts w:eastAsia="Book Antiqua" w:cs="Book Antiqua"/>
          <w:szCs w:val="26"/>
        </w:rPr>
        <w:t xml:space="preserve"> of authority</w:t>
      </w:r>
      <w:r w:rsidR="00275224">
        <w:rPr>
          <w:rFonts w:eastAsia="Book Antiqua" w:cs="Book Antiqua"/>
          <w:szCs w:val="26"/>
        </w:rPr>
        <w:t xml:space="preserve"> set as issues in the scoping memo</w:t>
      </w:r>
      <w:r w:rsidR="00CF02C7">
        <w:rPr>
          <w:rFonts w:eastAsia="Book Antiqua" w:cs="Book Antiqua"/>
          <w:szCs w:val="26"/>
        </w:rPr>
        <w:t>.</w:t>
      </w:r>
      <w:r w:rsidR="00D25DDC">
        <w:rPr>
          <w:rStyle w:val="FootnoteReference"/>
          <w:rFonts w:eastAsia="Book Antiqua" w:cs="Book Antiqua"/>
          <w:szCs w:val="26"/>
        </w:rPr>
        <w:footnoteReference w:id="9"/>
      </w:r>
      <w:r w:rsidR="00CF02C7">
        <w:rPr>
          <w:rFonts w:eastAsia="Book Antiqua" w:cs="Book Antiqua"/>
          <w:szCs w:val="26"/>
        </w:rPr>
        <w:t xml:space="preserve"> </w:t>
      </w:r>
      <w:r w:rsidR="00DB2FC1">
        <w:rPr>
          <w:rFonts w:eastAsia="Book Antiqua" w:cs="Book Antiqua"/>
          <w:szCs w:val="26"/>
        </w:rPr>
        <w:t xml:space="preserve"> </w:t>
      </w:r>
      <w:r w:rsidR="00F25DCF">
        <w:rPr>
          <w:rFonts w:eastAsia="Book Antiqua" w:cs="Book Antiqua"/>
          <w:szCs w:val="26"/>
        </w:rPr>
        <w:t>On February 27,</w:t>
      </w:r>
      <w:r w:rsidR="009C2311">
        <w:rPr>
          <w:rFonts w:eastAsia="Book Antiqua" w:cs="Book Antiqua"/>
          <w:szCs w:val="26"/>
        </w:rPr>
        <w:t xml:space="preserve"> 2018, the Joint Parties filed their </w:t>
      </w:r>
      <w:r w:rsidR="009C2311" w:rsidRPr="009C2311">
        <w:rPr>
          <w:rFonts w:eastAsia="Book Antiqua" w:cs="Book Antiqua"/>
          <w:i/>
          <w:szCs w:val="26"/>
        </w:rPr>
        <w:t>R</w:t>
      </w:r>
      <w:r w:rsidR="00F25DCF" w:rsidRPr="009C2311">
        <w:rPr>
          <w:rFonts w:eastAsia="Book Antiqua" w:cs="Book Antiqua"/>
          <w:i/>
          <w:szCs w:val="26"/>
        </w:rPr>
        <w:t xml:space="preserve">esponse to the </w:t>
      </w:r>
      <w:r w:rsidR="00727165" w:rsidRPr="009C2311">
        <w:rPr>
          <w:rFonts w:eastAsia="Book Antiqua" w:cs="Book Antiqua"/>
          <w:i/>
          <w:szCs w:val="26"/>
        </w:rPr>
        <w:t>Order to Show Cause</w:t>
      </w:r>
      <w:r w:rsidR="00727165">
        <w:rPr>
          <w:rFonts w:eastAsia="Book Antiqua" w:cs="Book Antiqua"/>
          <w:szCs w:val="26"/>
        </w:rPr>
        <w:t xml:space="preserve">, </w:t>
      </w:r>
      <w:r w:rsidR="00D1697A">
        <w:rPr>
          <w:rFonts w:eastAsia="Book Antiqua" w:cs="Book Antiqua"/>
          <w:szCs w:val="26"/>
        </w:rPr>
        <w:t>in which the Joint Parties objected to</w:t>
      </w:r>
      <w:r w:rsidR="00727165">
        <w:rPr>
          <w:rFonts w:eastAsia="Book Antiqua" w:cs="Book Antiqua"/>
          <w:szCs w:val="26"/>
        </w:rPr>
        <w:t xml:space="preserve"> amending the application</w:t>
      </w:r>
      <w:r w:rsidR="001E6004">
        <w:rPr>
          <w:rFonts w:eastAsia="Book Antiqua" w:cs="Book Antiqua"/>
          <w:szCs w:val="26"/>
        </w:rPr>
        <w:t>.</w:t>
      </w:r>
      <w:r w:rsidR="00314665">
        <w:rPr>
          <w:rFonts w:eastAsia="Book Antiqua" w:cs="Book Antiqua"/>
          <w:szCs w:val="26"/>
        </w:rPr>
        <w:t xml:space="preserve">  In the </w:t>
      </w:r>
      <w:r w:rsidR="00314665" w:rsidRPr="00314665">
        <w:rPr>
          <w:rFonts w:eastAsia="Book Antiqua" w:cs="Book Antiqua"/>
          <w:i/>
          <w:szCs w:val="26"/>
        </w:rPr>
        <w:t>Response to the Order to Show Cause</w:t>
      </w:r>
      <w:r w:rsidR="00D27521">
        <w:rPr>
          <w:rFonts w:eastAsia="Book Antiqua" w:cs="Book Antiqua"/>
          <w:szCs w:val="26"/>
        </w:rPr>
        <w:t>, the Joint Parties</w:t>
      </w:r>
      <w:r w:rsidR="00314665">
        <w:rPr>
          <w:rFonts w:eastAsia="Book Antiqua" w:cs="Book Antiqua"/>
          <w:szCs w:val="26"/>
        </w:rPr>
        <w:t xml:space="preserve"> provided evidence showing that </w:t>
      </w:r>
      <w:r w:rsidR="00CB6233">
        <w:rPr>
          <w:rFonts w:eastAsia="Book Antiqua" w:cs="Book Antiqua"/>
          <w:szCs w:val="26"/>
        </w:rPr>
        <w:t>Bandwidth also had</w:t>
      </w:r>
      <w:r w:rsidR="00314665">
        <w:rPr>
          <w:rFonts w:eastAsia="Book Antiqua" w:cs="Book Antiqua"/>
          <w:szCs w:val="26"/>
        </w:rPr>
        <w:t xml:space="preserve"> operational control of Bandwidth </w:t>
      </w:r>
      <w:r w:rsidR="00CB6233">
        <w:rPr>
          <w:rFonts w:eastAsia="Book Antiqua" w:cs="Book Antiqua"/>
          <w:szCs w:val="26"/>
        </w:rPr>
        <w:t>CLEC</w:t>
      </w:r>
      <w:r w:rsidR="00D04FF4">
        <w:rPr>
          <w:rFonts w:eastAsia="Book Antiqua" w:cs="Book Antiqua"/>
          <w:szCs w:val="26"/>
        </w:rPr>
        <w:t xml:space="preserve"> from the company’s inception</w:t>
      </w:r>
      <w:r w:rsidR="005348F9">
        <w:rPr>
          <w:rFonts w:eastAsia="Book Antiqua" w:cs="Book Antiqua"/>
          <w:szCs w:val="26"/>
        </w:rPr>
        <w:t>,</w:t>
      </w:r>
      <w:r w:rsidR="007572AA">
        <w:rPr>
          <w:rFonts w:eastAsia="Book Antiqua" w:cs="Book Antiqua"/>
          <w:szCs w:val="26"/>
        </w:rPr>
        <w:t xml:space="preserve"> </w:t>
      </w:r>
      <w:r w:rsidR="00665728">
        <w:rPr>
          <w:rFonts w:eastAsia="Book Antiqua" w:cs="Book Antiqua"/>
          <w:szCs w:val="26"/>
        </w:rPr>
        <w:t>indicating</w:t>
      </w:r>
      <w:r w:rsidR="00EF7504">
        <w:rPr>
          <w:rFonts w:eastAsia="Book Antiqua" w:cs="Book Antiqua"/>
          <w:szCs w:val="26"/>
        </w:rPr>
        <w:t xml:space="preserve"> that</w:t>
      </w:r>
      <w:r w:rsidR="005348F9">
        <w:rPr>
          <w:rFonts w:eastAsia="Book Antiqua" w:cs="Book Antiqua"/>
          <w:szCs w:val="26"/>
        </w:rPr>
        <w:t xml:space="preserve"> Bandwidth CLEC </w:t>
      </w:r>
      <w:r w:rsidR="00D26159">
        <w:rPr>
          <w:rFonts w:eastAsia="Book Antiqua" w:cs="Book Antiqua"/>
          <w:szCs w:val="26"/>
        </w:rPr>
        <w:t xml:space="preserve">also </w:t>
      </w:r>
      <w:r w:rsidR="005348F9">
        <w:rPr>
          <w:rFonts w:eastAsia="Book Antiqua" w:cs="Book Antiqua"/>
          <w:szCs w:val="26"/>
        </w:rPr>
        <w:t>failed to meet it</w:t>
      </w:r>
      <w:r w:rsidR="007E383B">
        <w:rPr>
          <w:rFonts w:eastAsia="Book Antiqua" w:cs="Book Antiqua"/>
          <w:szCs w:val="26"/>
        </w:rPr>
        <w:t>s</w:t>
      </w:r>
      <w:r w:rsidR="005348F9">
        <w:rPr>
          <w:rFonts w:eastAsia="Book Antiqua" w:cs="Book Antiqua"/>
          <w:szCs w:val="26"/>
        </w:rPr>
        <w:t xml:space="preserve"> obligation to operate </w:t>
      </w:r>
      <w:r w:rsidR="009A37C6">
        <w:rPr>
          <w:rFonts w:eastAsia="Book Antiqua" w:cs="Book Antiqua"/>
          <w:szCs w:val="26"/>
        </w:rPr>
        <w:t>within a year of the issuance of its</w:t>
      </w:r>
      <w:r w:rsidR="00653E0E">
        <w:rPr>
          <w:rFonts w:eastAsia="Book Antiqua" w:cs="Book Antiqua"/>
          <w:szCs w:val="26"/>
        </w:rPr>
        <w:t xml:space="preserve"> </w:t>
      </w:r>
      <w:r w:rsidR="00C14F74" w:rsidRPr="00C14F74">
        <w:rPr>
          <w:rFonts w:eastAsia="Book Antiqua" w:cs="Book Antiqua"/>
          <w:szCs w:val="26"/>
        </w:rPr>
        <w:t xml:space="preserve">Certificate of Public Convenience and Necessity </w:t>
      </w:r>
      <w:r w:rsidR="00C14F74">
        <w:rPr>
          <w:rFonts w:eastAsia="Book Antiqua" w:cs="Book Antiqua"/>
          <w:szCs w:val="26"/>
        </w:rPr>
        <w:t>(</w:t>
      </w:r>
      <w:r w:rsidR="00653E0E">
        <w:rPr>
          <w:rFonts w:eastAsia="Book Antiqua" w:cs="Book Antiqua"/>
          <w:szCs w:val="26"/>
        </w:rPr>
        <w:t>CPCN</w:t>
      </w:r>
      <w:r w:rsidR="00C14F74">
        <w:rPr>
          <w:rFonts w:eastAsia="Book Antiqua" w:cs="Book Antiqua"/>
          <w:szCs w:val="26"/>
        </w:rPr>
        <w:t>)</w:t>
      </w:r>
      <w:r w:rsidR="00653E0E">
        <w:rPr>
          <w:rFonts w:eastAsia="Book Antiqua" w:cs="Book Antiqua"/>
          <w:szCs w:val="26"/>
        </w:rPr>
        <w:t xml:space="preserve"> </w:t>
      </w:r>
      <w:r w:rsidR="009A37C6">
        <w:rPr>
          <w:rFonts w:eastAsia="Book Antiqua" w:cs="Book Antiqua"/>
          <w:szCs w:val="26"/>
        </w:rPr>
        <w:t xml:space="preserve">pursuant to </w:t>
      </w:r>
      <w:r w:rsidR="00343D30">
        <w:rPr>
          <w:rFonts w:eastAsia="Book Antiqua" w:cs="Book Antiqua"/>
          <w:szCs w:val="26"/>
        </w:rPr>
        <w:t>D.</w:t>
      </w:r>
      <w:r w:rsidR="009A4B6A">
        <w:rPr>
          <w:rFonts w:eastAsia="Book Antiqua" w:cs="Book Antiqua"/>
          <w:szCs w:val="26"/>
        </w:rPr>
        <w:t>07</w:t>
      </w:r>
      <w:r w:rsidR="009A4B6A">
        <w:rPr>
          <w:rFonts w:eastAsia="Book Antiqua" w:cs="Book Antiqua"/>
          <w:szCs w:val="26"/>
        </w:rPr>
        <w:noBreakHyphen/>
      </w:r>
      <w:r w:rsidR="00DA21B5">
        <w:rPr>
          <w:rFonts w:eastAsia="Book Antiqua" w:cs="Book Antiqua"/>
          <w:szCs w:val="26"/>
        </w:rPr>
        <w:t>09-035.</w:t>
      </w:r>
    </w:p>
    <w:p w:rsidR="001C2668" w:rsidRDefault="00917D9D" w:rsidP="00A32491">
      <w:pPr>
        <w:spacing w:line="359" w:lineRule="auto"/>
        <w:ind w:firstLine="720"/>
        <w:rPr>
          <w:rFonts w:eastAsia="Book Antiqua" w:cs="Book Antiqua"/>
          <w:szCs w:val="26"/>
        </w:rPr>
      </w:pPr>
      <w:r>
        <w:rPr>
          <w:rFonts w:eastAsia="Book Antiqua" w:cs="Book Antiqua"/>
          <w:szCs w:val="26"/>
        </w:rPr>
        <w:t xml:space="preserve">On March 14, 2018, the assigned ALJ set a </w:t>
      </w:r>
      <w:r w:rsidR="001502AC">
        <w:rPr>
          <w:rFonts w:eastAsia="Book Antiqua" w:cs="Book Antiqua"/>
          <w:szCs w:val="26"/>
        </w:rPr>
        <w:t xml:space="preserve">status conference for March 30, 2018 </w:t>
      </w:r>
      <w:r w:rsidR="0063677C">
        <w:rPr>
          <w:rFonts w:eastAsia="Book Antiqua" w:cs="Book Antiqua"/>
          <w:szCs w:val="26"/>
        </w:rPr>
        <w:t xml:space="preserve">and suspended the Joint Parties’ requirement to submit an amended Application </w:t>
      </w:r>
      <w:r w:rsidR="001502AC">
        <w:rPr>
          <w:rFonts w:eastAsia="Book Antiqua" w:cs="Book Antiqua"/>
          <w:szCs w:val="26"/>
        </w:rPr>
        <w:t>by ruling.</w:t>
      </w:r>
      <w:r w:rsidR="002E71EE">
        <w:rPr>
          <w:rStyle w:val="FootnoteReference"/>
          <w:rFonts w:eastAsia="Book Antiqua" w:cs="Book Antiqua"/>
          <w:szCs w:val="26"/>
        </w:rPr>
        <w:footnoteReference w:id="10"/>
      </w:r>
      <w:r w:rsidR="00FA7FA8">
        <w:rPr>
          <w:rFonts w:eastAsia="Book Antiqua" w:cs="Book Antiqua"/>
          <w:szCs w:val="26"/>
        </w:rPr>
        <w:t xml:space="preserve">  On March 30, 2018, the Joint P</w:t>
      </w:r>
      <w:r w:rsidR="002C29B1">
        <w:rPr>
          <w:rFonts w:eastAsia="Book Antiqua" w:cs="Book Antiqua"/>
          <w:szCs w:val="26"/>
        </w:rPr>
        <w:t>arties and the assigned ALJ d</w:t>
      </w:r>
      <w:r w:rsidR="00A32491">
        <w:rPr>
          <w:rFonts w:eastAsia="Book Antiqua" w:cs="Book Antiqua"/>
          <w:szCs w:val="26"/>
        </w:rPr>
        <w:t xml:space="preserve">iscussed options for the </w:t>
      </w:r>
      <w:r w:rsidR="0039759E">
        <w:rPr>
          <w:rFonts w:eastAsia="Book Antiqua" w:cs="Book Antiqua"/>
          <w:szCs w:val="26"/>
        </w:rPr>
        <w:t>Joint Parties in the proceeding</w:t>
      </w:r>
      <w:r w:rsidR="00015E6F">
        <w:rPr>
          <w:rFonts w:eastAsia="Book Antiqua" w:cs="Book Antiqua"/>
          <w:szCs w:val="26"/>
        </w:rPr>
        <w:t xml:space="preserve"> given that Bandwidth CLEC never operated or managed</w:t>
      </w:r>
      <w:r w:rsidR="00AB5BF7">
        <w:rPr>
          <w:rFonts w:eastAsia="Book Antiqua" w:cs="Book Antiqua"/>
          <w:szCs w:val="26"/>
        </w:rPr>
        <w:t xml:space="preserve"> the telecommunications services provided pursuant to its CPCN</w:t>
      </w:r>
      <w:r w:rsidR="00775B2F">
        <w:rPr>
          <w:rFonts w:eastAsia="Book Antiqua" w:cs="Book Antiqua"/>
          <w:szCs w:val="26"/>
        </w:rPr>
        <w:t>.  The options provided to the Joint Parties</w:t>
      </w:r>
      <w:r w:rsidR="009E26E2">
        <w:rPr>
          <w:rFonts w:eastAsia="Book Antiqua" w:cs="Book Antiqua"/>
          <w:szCs w:val="26"/>
        </w:rPr>
        <w:t xml:space="preserve"> in order to allow </w:t>
      </w:r>
      <w:r w:rsidR="00792B2C">
        <w:rPr>
          <w:rFonts w:eastAsia="Book Antiqua" w:cs="Book Antiqua"/>
          <w:szCs w:val="26"/>
        </w:rPr>
        <w:t xml:space="preserve">Bandwidth to operate and manage </w:t>
      </w:r>
      <w:r w:rsidR="0053755E">
        <w:rPr>
          <w:rFonts w:eastAsia="Book Antiqua" w:cs="Book Antiqua"/>
          <w:szCs w:val="26"/>
        </w:rPr>
        <w:t>the telecommunications services which had been provided under Bandwi</w:t>
      </w:r>
      <w:r w:rsidR="0048038C">
        <w:rPr>
          <w:rFonts w:eastAsia="Book Antiqua" w:cs="Book Antiqua"/>
          <w:szCs w:val="26"/>
        </w:rPr>
        <w:t>d</w:t>
      </w:r>
      <w:r w:rsidR="0053755E">
        <w:rPr>
          <w:rFonts w:eastAsia="Book Antiqua" w:cs="Book Antiqua"/>
          <w:szCs w:val="26"/>
        </w:rPr>
        <w:t>th CLEC’s CPCN included</w:t>
      </w:r>
      <w:r w:rsidR="0039759E">
        <w:rPr>
          <w:rFonts w:eastAsia="Book Antiqua" w:cs="Book Antiqua"/>
          <w:szCs w:val="26"/>
        </w:rPr>
        <w:t xml:space="preserve"> 1</w:t>
      </w:r>
      <w:r w:rsidR="008A040D">
        <w:rPr>
          <w:rFonts w:eastAsia="Book Antiqua" w:cs="Book Antiqua"/>
          <w:szCs w:val="26"/>
        </w:rPr>
        <w:t>) </w:t>
      </w:r>
      <w:r w:rsidR="00394D81">
        <w:rPr>
          <w:rFonts w:eastAsia="Book Antiqua" w:cs="Book Antiqua"/>
          <w:szCs w:val="26"/>
        </w:rPr>
        <w:t>revoking Bandwidth CLEC’s CPC</w:t>
      </w:r>
      <w:r w:rsidR="0039759E">
        <w:rPr>
          <w:rFonts w:eastAsia="Book Antiqua" w:cs="Book Antiqua"/>
          <w:szCs w:val="26"/>
        </w:rPr>
        <w:t xml:space="preserve">N and allowing </w:t>
      </w:r>
      <w:r w:rsidR="00F05E86">
        <w:rPr>
          <w:rFonts w:eastAsia="Book Antiqua" w:cs="Book Antiqua"/>
          <w:szCs w:val="26"/>
        </w:rPr>
        <w:t xml:space="preserve">the Joint Parties leave to </w:t>
      </w:r>
      <w:r w:rsidR="00F05E86">
        <w:rPr>
          <w:rFonts w:eastAsia="Book Antiqua" w:cs="Book Antiqua"/>
          <w:szCs w:val="26"/>
        </w:rPr>
        <w:lastRenderedPageBreak/>
        <w:t>amend</w:t>
      </w:r>
      <w:r w:rsidR="0039759E">
        <w:rPr>
          <w:rFonts w:eastAsia="Book Antiqua" w:cs="Book Antiqua"/>
          <w:szCs w:val="26"/>
        </w:rPr>
        <w:t xml:space="preserve"> the Applic</w:t>
      </w:r>
      <w:r w:rsidR="000B446E">
        <w:rPr>
          <w:rFonts w:eastAsia="Book Antiqua" w:cs="Book Antiqua"/>
          <w:szCs w:val="26"/>
        </w:rPr>
        <w:t>ation to allow Bandwidth to apply</w:t>
      </w:r>
      <w:r w:rsidR="0039759E">
        <w:rPr>
          <w:rFonts w:eastAsia="Book Antiqua" w:cs="Book Antiqua"/>
          <w:szCs w:val="26"/>
        </w:rPr>
        <w:t xml:space="preserve"> for a CPCN</w:t>
      </w:r>
      <w:r w:rsidR="00712120">
        <w:rPr>
          <w:rFonts w:eastAsia="Book Antiqua" w:cs="Book Antiqua"/>
          <w:szCs w:val="26"/>
        </w:rPr>
        <w:t xml:space="preserve"> within this proceeding</w:t>
      </w:r>
      <w:r w:rsidR="0039759E">
        <w:rPr>
          <w:rFonts w:eastAsia="Book Antiqua" w:cs="Book Antiqua"/>
          <w:szCs w:val="26"/>
        </w:rPr>
        <w:t xml:space="preserve"> and 2) revoking Bandwidth CLEC’s </w:t>
      </w:r>
      <w:r w:rsidR="00623B14">
        <w:rPr>
          <w:rFonts w:eastAsia="Book Antiqua" w:cs="Book Antiqua"/>
          <w:szCs w:val="26"/>
        </w:rPr>
        <w:t>CPCN in this proceeding and allowing Bandwidth to submit an application for a CPCN in a separate application.</w:t>
      </w:r>
      <w:r w:rsidR="009D27CC">
        <w:rPr>
          <w:rFonts w:eastAsia="Book Antiqua" w:cs="Book Antiqua"/>
          <w:szCs w:val="26"/>
        </w:rPr>
        <w:t xml:space="preserve"> </w:t>
      </w:r>
      <w:r w:rsidR="001C2668">
        <w:rPr>
          <w:rFonts w:eastAsia="Book Antiqua" w:cs="Book Antiqua"/>
          <w:szCs w:val="26"/>
        </w:rPr>
        <w:t xml:space="preserve"> The Joint Parties offered to install officers and directors in Bandwidth CLEC as a third option in the proceeding.</w:t>
      </w:r>
      <w:r w:rsidR="00394D81">
        <w:rPr>
          <w:rStyle w:val="FootnoteReference"/>
          <w:rFonts w:eastAsia="Book Antiqua" w:cs="Book Antiqua"/>
          <w:szCs w:val="26"/>
        </w:rPr>
        <w:footnoteReference w:id="11"/>
      </w:r>
      <w:r w:rsidR="001C2668">
        <w:rPr>
          <w:rFonts w:eastAsia="Book Antiqua" w:cs="Book Antiqua"/>
          <w:szCs w:val="26"/>
        </w:rPr>
        <w:t xml:space="preserve">  The assigned ALJ considered the option and stated that a revised ruling would be issued which would provide more guidance on moving the proceeding forward if Bandwidth CLEC installed officers and directors.</w:t>
      </w:r>
      <w:r w:rsidR="00394D81">
        <w:rPr>
          <w:rStyle w:val="FootnoteReference"/>
          <w:rFonts w:eastAsia="Book Antiqua" w:cs="Book Antiqua"/>
          <w:szCs w:val="26"/>
        </w:rPr>
        <w:footnoteReference w:id="12"/>
      </w:r>
    </w:p>
    <w:p w:rsidR="009656BD" w:rsidRPr="00153C4E" w:rsidRDefault="00D7033E" w:rsidP="00E26151">
      <w:pPr>
        <w:spacing w:line="359" w:lineRule="auto"/>
        <w:ind w:firstLine="720"/>
        <w:rPr>
          <w:rFonts w:eastAsia="Book Antiqua" w:cs="Book Antiqua"/>
          <w:szCs w:val="26"/>
        </w:rPr>
      </w:pPr>
      <w:r>
        <w:rPr>
          <w:rFonts w:eastAsia="Book Antiqua" w:cs="Book Antiqua"/>
          <w:szCs w:val="26"/>
        </w:rPr>
        <w:t>On April 13,</w:t>
      </w:r>
      <w:r w:rsidR="00AC78A7">
        <w:rPr>
          <w:rFonts w:eastAsia="Book Antiqua" w:cs="Book Antiqua"/>
          <w:szCs w:val="26"/>
        </w:rPr>
        <w:t xml:space="preserve"> 2018, the assigned ALJ issued the </w:t>
      </w:r>
      <w:r w:rsidR="00AC78A7" w:rsidRPr="00AC78A7">
        <w:rPr>
          <w:rFonts w:eastAsia="Book Antiqua" w:cs="Book Antiqua"/>
          <w:i/>
          <w:szCs w:val="26"/>
        </w:rPr>
        <w:t>ALJ R</w:t>
      </w:r>
      <w:r w:rsidRPr="00AC78A7">
        <w:rPr>
          <w:rFonts w:eastAsia="Book Antiqua" w:cs="Book Antiqua"/>
          <w:i/>
          <w:szCs w:val="26"/>
        </w:rPr>
        <w:t>uling</w:t>
      </w:r>
      <w:r w:rsidR="00D074B0">
        <w:rPr>
          <w:rFonts w:eastAsia="Book Antiqua" w:cs="Book Antiqua"/>
          <w:szCs w:val="26"/>
        </w:rPr>
        <w:t xml:space="preserve"> requiring Bandwidth to cease </w:t>
      </w:r>
      <w:r w:rsidR="008E68E5">
        <w:rPr>
          <w:rFonts w:eastAsia="Book Antiqua" w:cs="Book Antiqua"/>
          <w:szCs w:val="26"/>
        </w:rPr>
        <w:t>providing</w:t>
      </w:r>
      <w:r w:rsidR="00D074B0">
        <w:rPr>
          <w:rFonts w:eastAsia="Book Antiqua" w:cs="Book Antiqua"/>
          <w:szCs w:val="26"/>
        </w:rPr>
        <w:t xml:space="preserve"> </w:t>
      </w:r>
      <w:r w:rsidR="008E68E5">
        <w:rPr>
          <w:rFonts w:eastAsia="Book Antiqua" w:cs="Book Antiqua"/>
          <w:szCs w:val="26"/>
        </w:rPr>
        <w:t>telecommunications services</w:t>
      </w:r>
      <w:r w:rsidR="00A170D4">
        <w:rPr>
          <w:rFonts w:eastAsia="Book Antiqua" w:cs="Book Antiqua"/>
          <w:szCs w:val="26"/>
        </w:rPr>
        <w:t>,</w:t>
      </w:r>
      <w:r w:rsidR="00D074B0">
        <w:rPr>
          <w:rFonts w:eastAsia="Book Antiqua" w:cs="Book Antiqua"/>
          <w:szCs w:val="26"/>
        </w:rPr>
        <w:t xml:space="preserve"> </w:t>
      </w:r>
      <w:r w:rsidR="00312601">
        <w:rPr>
          <w:rFonts w:eastAsia="Book Antiqua" w:cs="Book Antiqua"/>
          <w:szCs w:val="26"/>
        </w:rPr>
        <w:t xml:space="preserve">in addition to installing officers and directors </w:t>
      </w:r>
      <w:r w:rsidR="00A170D4">
        <w:rPr>
          <w:rFonts w:eastAsia="Book Antiqua" w:cs="Book Antiqua"/>
          <w:szCs w:val="26"/>
        </w:rPr>
        <w:t xml:space="preserve">at Bandwidth CLEC, </w:t>
      </w:r>
      <w:r w:rsidR="00312601">
        <w:rPr>
          <w:rFonts w:eastAsia="Book Antiqua" w:cs="Book Antiqua"/>
          <w:szCs w:val="26"/>
        </w:rPr>
        <w:t>in order to cure CPCN violations under the third option proposed by both parties</w:t>
      </w:r>
      <w:r w:rsidR="002D1C49">
        <w:rPr>
          <w:rFonts w:eastAsia="Book Antiqua" w:cs="Book Antiqua"/>
          <w:szCs w:val="26"/>
        </w:rPr>
        <w:t>.</w:t>
      </w:r>
      <w:r w:rsidR="00AC78A7">
        <w:rPr>
          <w:rStyle w:val="FootnoteReference"/>
          <w:rFonts w:eastAsia="Book Antiqua" w:cs="Book Antiqua"/>
          <w:szCs w:val="26"/>
        </w:rPr>
        <w:footnoteReference w:id="13"/>
      </w:r>
      <w:r w:rsidR="002D1C49">
        <w:rPr>
          <w:rFonts w:eastAsia="Book Antiqua" w:cs="Book Antiqua"/>
          <w:szCs w:val="26"/>
        </w:rPr>
        <w:t xml:space="preserve"> </w:t>
      </w:r>
      <w:r w:rsidR="001C2668">
        <w:rPr>
          <w:rFonts w:eastAsia="Book Antiqua" w:cs="Book Antiqua"/>
          <w:szCs w:val="26"/>
        </w:rPr>
        <w:t xml:space="preserve"> </w:t>
      </w:r>
      <w:r w:rsidR="00F50BE4">
        <w:rPr>
          <w:rFonts w:eastAsia="Book Antiqua" w:cs="Book Antiqua"/>
          <w:szCs w:val="26"/>
        </w:rPr>
        <w:t xml:space="preserve">On April 19, 2018, </w:t>
      </w:r>
      <w:r w:rsidR="001022F6">
        <w:rPr>
          <w:rFonts w:eastAsia="Book Antiqua" w:cs="Book Antiqua"/>
          <w:szCs w:val="26"/>
        </w:rPr>
        <w:t xml:space="preserve">the Joint Parties filed a response to the </w:t>
      </w:r>
      <w:r w:rsidR="0064570F" w:rsidRPr="00240A75">
        <w:rPr>
          <w:rFonts w:eastAsia="Book Antiqua" w:cs="Book Antiqua"/>
          <w:i/>
          <w:szCs w:val="26"/>
        </w:rPr>
        <w:t>ALJ Ruling</w:t>
      </w:r>
      <w:r w:rsidR="00341367">
        <w:rPr>
          <w:rFonts w:eastAsia="Book Antiqua" w:cs="Book Antiqua"/>
          <w:szCs w:val="26"/>
        </w:rPr>
        <w:t>, wherein the Joint Parties stated they had installed officers and a director in Bandwidth CLEC, denied the operation of telecommunications services by Bandwidth</w:t>
      </w:r>
      <w:r w:rsidR="00EF233D">
        <w:rPr>
          <w:rFonts w:eastAsia="Book Antiqua" w:cs="Book Antiqua"/>
          <w:szCs w:val="26"/>
        </w:rPr>
        <w:t>, requested the Commission</w:t>
      </w:r>
      <w:r w:rsidR="00A97C7D">
        <w:rPr>
          <w:rFonts w:eastAsia="Book Antiqua" w:cs="Book Antiqua"/>
          <w:szCs w:val="26"/>
        </w:rPr>
        <w:t xml:space="preserve"> approve the proposed transfer of </w:t>
      </w:r>
      <w:r w:rsidR="00A41631">
        <w:rPr>
          <w:rFonts w:eastAsia="Book Antiqua" w:cs="Book Antiqua"/>
          <w:szCs w:val="26"/>
        </w:rPr>
        <w:t>control</w:t>
      </w:r>
      <w:r w:rsidR="00A97C7D">
        <w:rPr>
          <w:rFonts w:eastAsia="Book Antiqua" w:cs="Book Antiqua"/>
          <w:szCs w:val="26"/>
        </w:rPr>
        <w:t xml:space="preserve"> in the Application by Commission decision at the May 31, 2018 Commission </w:t>
      </w:r>
      <w:r w:rsidR="00A55811">
        <w:rPr>
          <w:rFonts w:eastAsia="Book Antiqua" w:cs="Book Antiqua"/>
          <w:szCs w:val="26"/>
        </w:rPr>
        <w:t xml:space="preserve">meeting, and </w:t>
      </w:r>
      <w:r w:rsidR="00CB54DF">
        <w:rPr>
          <w:rFonts w:eastAsia="Book Antiqua" w:cs="Book Antiqua"/>
          <w:szCs w:val="26"/>
        </w:rPr>
        <w:t xml:space="preserve">requested </w:t>
      </w:r>
      <w:r w:rsidR="00614101">
        <w:rPr>
          <w:rFonts w:eastAsia="Book Antiqua" w:cs="Book Antiqua"/>
          <w:szCs w:val="26"/>
        </w:rPr>
        <w:t xml:space="preserve">review </w:t>
      </w:r>
      <w:r w:rsidR="00BA5A8D">
        <w:rPr>
          <w:rFonts w:eastAsia="Book Antiqua" w:cs="Book Antiqua"/>
          <w:szCs w:val="26"/>
        </w:rPr>
        <w:t xml:space="preserve">of </w:t>
      </w:r>
      <w:r w:rsidR="00614101">
        <w:rPr>
          <w:rFonts w:eastAsia="Book Antiqua" w:cs="Book Antiqua"/>
          <w:szCs w:val="26"/>
        </w:rPr>
        <w:t>any potential violations of the Commission’s rules</w:t>
      </w:r>
      <w:r w:rsidR="007B4C58">
        <w:rPr>
          <w:rFonts w:eastAsia="Book Antiqua" w:cs="Book Antiqua"/>
          <w:szCs w:val="26"/>
        </w:rPr>
        <w:t xml:space="preserve"> or orders</w:t>
      </w:r>
      <w:r w:rsidR="00614101">
        <w:rPr>
          <w:rFonts w:eastAsia="Book Antiqua" w:cs="Book Antiqua"/>
          <w:szCs w:val="26"/>
        </w:rPr>
        <w:t xml:space="preserve"> in a second phase of the proceeding</w:t>
      </w:r>
      <w:r w:rsidR="009B02DF">
        <w:rPr>
          <w:rFonts w:eastAsia="Book Antiqua" w:cs="Book Antiqua"/>
          <w:szCs w:val="26"/>
        </w:rPr>
        <w:t>.</w:t>
      </w:r>
      <w:r w:rsidR="00476469">
        <w:rPr>
          <w:rStyle w:val="FootnoteReference"/>
          <w:rFonts w:eastAsia="Book Antiqua" w:cs="Book Antiqua"/>
          <w:szCs w:val="26"/>
        </w:rPr>
        <w:footnoteReference w:id="14"/>
      </w:r>
      <w:r w:rsidR="009130F3">
        <w:rPr>
          <w:rFonts w:eastAsia="Book Antiqua" w:cs="Book Antiqua"/>
          <w:szCs w:val="26"/>
        </w:rPr>
        <w:t xml:space="preserve">  On June 4, 2018, the parties jointly requested the assigned ALJ schedule a status conference by motion.</w:t>
      </w:r>
    </w:p>
    <w:p w:rsidR="00244089" w:rsidRPr="009B18C7" w:rsidRDefault="00CD05E4" w:rsidP="009D27CC">
      <w:pPr>
        <w:pStyle w:val="Heading1"/>
        <w:numPr>
          <w:ilvl w:val="0"/>
          <w:numId w:val="12"/>
        </w:numPr>
        <w:ind w:hanging="720"/>
      </w:pPr>
      <w:bookmarkStart w:id="10" w:name="_Toc520204956"/>
      <w:r>
        <w:lastRenderedPageBreak/>
        <w:t>Jurisdiction</w:t>
      </w:r>
      <w:bookmarkEnd w:id="10"/>
    </w:p>
    <w:p w:rsidR="000B2185" w:rsidRPr="000D4B2B" w:rsidRDefault="00CD05E4" w:rsidP="002B05FB">
      <w:pPr>
        <w:pStyle w:val="Default"/>
        <w:tabs>
          <w:tab w:val="left" w:pos="360"/>
        </w:tabs>
        <w:spacing w:line="360" w:lineRule="auto"/>
        <w:ind w:firstLine="720"/>
        <w:rPr>
          <w:rFonts w:ascii="Palatino" w:hAnsi="Palatino"/>
          <w:sz w:val="26"/>
          <w:szCs w:val="26"/>
        </w:rPr>
      </w:pPr>
      <w:r>
        <w:rPr>
          <w:sz w:val="26"/>
          <w:szCs w:val="26"/>
        </w:rPr>
        <w:t>Pub. Util.</w:t>
      </w:r>
      <w:r w:rsidR="00A312BF">
        <w:rPr>
          <w:sz w:val="26"/>
          <w:szCs w:val="26"/>
        </w:rPr>
        <w:t xml:space="preserve"> Code</w:t>
      </w:r>
      <w:r>
        <w:rPr>
          <w:sz w:val="26"/>
          <w:szCs w:val="26"/>
        </w:rPr>
        <w:t xml:space="preserve"> § 216(a) </w:t>
      </w:r>
      <w:r w:rsidRPr="000D4B2B">
        <w:rPr>
          <w:rFonts w:ascii="Palatino" w:hAnsi="Palatino"/>
          <w:sz w:val="26"/>
          <w:szCs w:val="26"/>
        </w:rPr>
        <w:t>defines the term “public utility” to include a “telephone corporation,” which in turn is defined in Pub. Util. Code § 234(a) as “every corporation or person owning, controlling, operating, or managing any telephone line for compensation within the state.”</w:t>
      </w:r>
      <w:r w:rsidR="00A6583E" w:rsidRPr="000D4B2B">
        <w:rPr>
          <w:rFonts w:ascii="Palatino" w:hAnsi="Palatino"/>
          <w:sz w:val="26"/>
          <w:szCs w:val="26"/>
        </w:rPr>
        <w:t xml:space="preserve"> </w:t>
      </w:r>
      <w:r w:rsidRPr="000D4B2B">
        <w:rPr>
          <w:rFonts w:ascii="Palatino" w:hAnsi="Palatino"/>
          <w:sz w:val="26"/>
          <w:szCs w:val="26"/>
        </w:rPr>
        <w:t xml:space="preserve"> </w:t>
      </w:r>
      <w:r w:rsidR="003070B5" w:rsidRPr="000D4B2B">
        <w:rPr>
          <w:rFonts w:ascii="Palatino" w:hAnsi="Palatino"/>
          <w:sz w:val="26"/>
          <w:szCs w:val="26"/>
        </w:rPr>
        <w:t>Bandwidth CLEC</w:t>
      </w:r>
      <w:r w:rsidRPr="000D4B2B">
        <w:rPr>
          <w:rFonts w:ascii="Palatino" w:hAnsi="Palatino"/>
          <w:sz w:val="26"/>
          <w:szCs w:val="26"/>
        </w:rPr>
        <w:t xml:space="preserve"> is a telephone corporation and a public utility subject to our jurisdiction.</w:t>
      </w:r>
    </w:p>
    <w:p w:rsidR="00CD05E4" w:rsidRPr="002B05FB" w:rsidRDefault="00F104BB" w:rsidP="002B05FB">
      <w:pPr>
        <w:pStyle w:val="Default"/>
        <w:tabs>
          <w:tab w:val="left" w:pos="360"/>
        </w:tabs>
        <w:spacing w:line="360" w:lineRule="auto"/>
        <w:ind w:firstLine="720"/>
        <w:rPr>
          <w:sz w:val="26"/>
          <w:szCs w:val="26"/>
        </w:rPr>
      </w:pPr>
      <w:r w:rsidRPr="000D4B2B">
        <w:rPr>
          <w:rFonts w:ascii="Palatino" w:hAnsi="Palatino"/>
          <w:sz w:val="26"/>
          <w:szCs w:val="26"/>
        </w:rPr>
        <w:t>Pub. Util. Code § 854 (a) provides that a “No … corporation holding a controlling interest in a public utility</w:t>
      </w:r>
      <w:r w:rsidR="004D1E42" w:rsidRPr="000D4B2B">
        <w:rPr>
          <w:rFonts w:ascii="Palatino" w:hAnsi="Palatino"/>
          <w:sz w:val="26"/>
          <w:szCs w:val="26"/>
        </w:rPr>
        <w:t>, shall aid or abet any violation of this section.”</w:t>
      </w:r>
      <w:r w:rsidR="00990D5B" w:rsidRPr="000D4B2B">
        <w:rPr>
          <w:rFonts w:ascii="Palatino" w:hAnsi="Palatino"/>
          <w:sz w:val="26"/>
          <w:szCs w:val="26"/>
        </w:rPr>
        <w:t xml:space="preserve"> </w:t>
      </w:r>
      <w:r w:rsidR="00674C22" w:rsidRPr="000D4B2B">
        <w:rPr>
          <w:rFonts w:ascii="Palatino" w:hAnsi="Palatino"/>
          <w:sz w:val="26"/>
          <w:szCs w:val="26"/>
        </w:rPr>
        <w:t xml:space="preserve"> </w:t>
      </w:r>
      <w:r w:rsidR="001F18C9" w:rsidRPr="000D4B2B">
        <w:rPr>
          <w:rFonts w:ascii="Palatino" w:hAnsi="Palatino"/>
          <w:sz w:val="26"/>
          <w:szCs w:val="26"/>
        </w:rPr>
        <w:t xml:space="preserve">Bandwidth </w:t>
      </w:r>
      <w:r w:rsidR="00CA1D13" w:rsidRPr="000D4B2B">
        <w:rPr>
          <w:rFonts w:ascii="Palatino" w:hAnsi="Palatino"/>
          <w:sz w:val="26"/>
          <w:szCs w:val="26"/>
        </w:rPr>
        <w:t>is the sole owner and manager</w:t>
      </w:r>
      <w:r w:rsidR="00CA1D13">
        <w:rPr>
          <w:sz w:val="26"/>
          <w:szCs w:val="26"/>
        </w:rPr>
        <w:t xml:space="preserve"> of Bandwidth CLEC</w:t>
      </w:r>
      <w:r w:rsidR="007A6F0E">
        <w:rPr>
          <w:sz w:val="26"/>
          <w:szCs w:val="26"/>
        </w:rPr>
        <w:t>.</w:t>
      </w:r>
      <w:r w:rsidR="000B2185">
        <w:rPr>
          <w:sz w:val="26"/>
          <w:szCs w:val="26"/>
        </w:rPr>
        <w:t xml:space="preserve">  The</w:t>
      </w:r>
      <w:r w:rsidR="00512DF3">
        <w:rPr>
          <w:sz w:val="26"/>
          <w:szCs w:val="26"/>
        </w:rPr>
        <w:t>refore,</w:t>
      </w:r>
      <w:r w:rsidR="000B2185">
        <w:rPr>
          <w:sz w:val="26"/>
          <w:szCs w:val="26"/>
        </w:rPr>
        <w:t xml:space="preserve"> </w:t>
      </w:r>
      <w:r w:rsidR="009B7CCF">
        <w:rPr>
          <w:sz w:val="26"/>
          <w:szCs w:val="26"/>
        </w:rPr>
        <w:t xml:space="preserve">the </w:t>
      </w:r>
      <w:r w:rsidR="000B2185">
        <w:rPr>
          <w:sz w:val="26"/>
          <w:szCs w:val="26"/>
        </w:rPr>
        <w:t>Commission has jurisdiction over</w:t>
      </w:r>
      <w:r w:rsidR="009E5B64">
        <w:rPr>
          <w:sz w:val="26"/>
          <w:szCs w:val="26"/>
        </w:rPr>
        <w:t xml:space="preserve"> Bandwidth</w:t>
      </w:r>
      <w:r w:rsidR="00990D5B">
        <w:rPr>
          <w:sz w:val="26"/>
          <w:szCs w:val="26"/>
        </w:rPr>
        <w:t xml:space="preserve"> for</w:t>
      </w:r>
      <w:r w:rsidR="00512DF3">
        <w:rPr>
          <w:sz w:val="26"/>
          <w:szCs w:val="26"/>
        </w:rPr>
        <w:t xml:space="preserve"> </w:t>
      </w:r>
      <w:r w:rsidR="00DD5B1C">
        <w:rPr>
          <w:sz w:val="26"/>
          <w:szCs w:val="26"/>
        </w:rPr>
        <w:t>actions taken in</w:t>
      </w:r>
      <w:r w:rsidR="009A4B6A">
        <w:rPr>
          <w:sz w:val="26"/>
          <w:szCs w:val="26"/>
        </w:rPr>
        <w:t xml:space="preserve"> violation of Pub. Util. Code § </w:t>
      </w:r>
      <w:r w:rsidR="00DD5B1C">
        <w:rPr>
          <w:sz w:val="26"/>
          <w:szCs w:val="26"/>
        </w:rPr>
        <w:t>854(a) as a corporation holding a controlling interest in Bandwidth CLEC.</w:t>
      </w:r>
      <w:r w:rsidR="00990D5B">
        <w:rPr>
          <w:sz w:val="26"/>
          <w:szCs w:val="26"/>
        </w:rPr>
        <w:t xml:space="preserve"> </w:t>
      </w:r>
      <w:r w:rsidR="009E5B64">
        <w:rPr>
          <w:sz w:val="26"/>
          <w:szCs w:val="26"/>
        </w:rPr>
        <w:t xml:space="preserve"> </w:t>
      </w:r>
      <w:r w:rsidR="00357471">
        <w:rPr>
          <w:sz w:val="26"/>
          <w:szCs w:val="26"/>
        </w:rPr>
        <w:t>The Commission has no jurisdiction over Bandwidth as a public utility or a</w:t>
      </w:r>
      <w:r w:rsidR="00D769C2">
        <w:rPr>
          <w:sz w:val="26"/>
          <w:szCs w:val="26"/>
        </w:rPr>
        <w:t>s a</w:t>
      </w:r>
      <w:r w:rsidR="00357471">
        <w:rPr>
          <w:sz w:val="26"/>
          <w:szCs w:val="26"/>
        </w:rPr>
        <w:t xml:space="preserve"> provider of VoIP services.</w:t>
      </w:r>
    </w:p>
    <w:p w:rsidR="00E26151" w:rsidRDefault="00E26151" w:rsidP="009D27CC">
      <w:pPr>
        <w:pStyle w:val="Heading1"/>
        <w:numPr>
          <w:ilvl w:val="0"/>
          <w:numId w:val="12"/>
        </w:numPr>
        <w:ind w:hanging="720"/>
      </w:pPr>
      <w:bookmarkStart w:id="11" w:name="_Toc520204957"/>
      <w:r>
        <w:t>Discussion</w:t>
      </w:r>
      <w:bookmarkEnd w:id="11"/>
      <w:r>
        <w:t xml:space="preserve"> </w:t>
      </w:r>
    </w:p>
    <w:p w:rsidR="00B318AF" w:rsidRDefault="0081574C" w:rsidP="00B318AF">
      <w:pPr>
        <w:pStyle w:val="standard"/>
      </w:pPr>
      <w:r>
        <w:t xml:space="preserve">Pub. Util. </w:t>
      </w:r>
      <w:r w:rsidR="00B318AF">
        <w:t xml:space="preserve">Code </w:t>
      </w:r>
      <w:r w:rsidR="00AA3A42">
        <w:t xml:space="preserve">§ </w:t>
      </w:r>
      <w:r w:rsidR="00B318AF">
        <w:t>854(a) requires the Commission’s approval prior to the transfer of control of a public utility subject to its jurisdiction.  Section 854(a) provides:</w:t>
      </w:r>
    </w:p>
    <w:p w:rsidR="00976F1E" w:rsidRPr="006A1956" w:rsidRDefault="00B318AF" w:rsidP="006A1956">
      <w:pPr>
        <w:pStyle w:val="Quote"/>
      </w:pPr>
      <w:r w:rsidRPr="006A1956">
        <w:t>No person or corporation, whether or not organized under the laws of this state, shall merge, acquire, or control either directly or indirectly any public utility organized and doing business in this state without first securing authorization to do so from the commission.  The commission may establish by order or rule the definitions of what constitute merger, acquisition, or control activities which are subject to this section.  Any merger, acquisition, or control without that prior authorization shall be void and of no effect.  No public utility organized and doing business under the laws of this state, and no subsidiary or affiliate of, or corporation holding a controlling interest in a public utility, shall aid or abet any violation of this section.</w:t>
      </w:r>
    </w:p>
    <w:p w:rsidR="003D5A11" w:rsidRDefault="003D5A11" w:rsidP="003D5A11">
      <w:pPr>
        <w:pStyle w:val="standard"/>
      </w:pPr>
      <w:r w:rsidRPr="003D5A11">
        <w:lastRenderedPageBreak/>
        <w:t>The Commission evaluates whether a transaction that results in a transfer of co</w:t>
      </w:r>
      <w:r w:rsidR="00153C20">
        <w:t>ntrol</w:t>
      </w:r>
      <w:r w:rsidR="008D35C7">
        <w:t xml:space="preserve"> requires prior approval </w:t>
      </w:r>
      <w:r w:rsidR="00AC5C98">
        <w:t>under Pub</w:t>
      </w:r>
      <w:r w:rsidR="00DA11EE">
        <w:t>.</w:t>
      </w:r>
      <w:r w:rsidR="00AC5C98">
        <w:t xml:space="preserve"> Util</w:t>
      </w:r>
      <w:r w:rsidR="00DA11EE">
        <w:t>.</w:t>
      </w:r>
      <w:r w:rsidR="00AC5C98">
        <w:t xml:space="preserve"> Code </w:t>
      </w:r>
      <w:r w:rsidR="00AC5C98">
        <w:rPr>
          <w:rFonts w:ascii="Book Antiqua" w:hAnsi="Book Antiqua"/>
        </w:rPr>
        <w:t>§</w:t>
      </w:r>
      <w:r w:rsidRPr="003D5A11">
        <w:t xml:space="preserve"> </w:t>
      </w:r>
      <w:r w:rsidR="00AC5C98">
        <w:t xml:space="preserve">854 </w:t>
      </w:r>
      <w:r w:rsidRPr="003D5A11">
        <w:t>on a case-by</w:t>
      </w:r>
      <w:r w:rsidR="00856035">
        <w:t>-case</w:t>
      </w:r>
      <w:r w:rsidRPr="003D5A11">
        <w:t xml:space="preserve"> basis, based on the relevant facts and circumstances</w:t>
      </w:r>
      <w:r w:rsidR="00590124">
        <w:t>.</w:t>
      </w:r>
      <w:r w:rsidR="006F5027">
        <w:rPr>
          <w:rStyle w:val="FootnoteReference"/>
        </w:rPr>
        <w:footnoteReference w:id="15"/>
      </w:r>
      <w:r w:rsidR="000206BC">
        <w:t xml:space="preserve"> </w:t>
      </w:r>
      <w:r w:rsidR="00153C20">
        <w:t xml:space="preserve"> </w:t>
      </w:r>
      <w:r w:rsidR="009D0491">
        <w:t>I</w:t>
      </w:r>
      <w:r w:rsidRPr="003D5A11">
        <w:t>n past decisions</w:t>
      </w:r>
      <w:r w:rsidR="00DA11EE">
        <w:t>,</w:t>
      </w:r>
      <w:r w:rsidR="00153C20">
        <w:t xml:space="preserve"> the Commission </w:t>
      </w:r>
      <w:r w:rsidRPr="003D5A11">
        <w:t>considered factors such as:</w:t>
      </w:r>
    </w:p>
    <w:p w:rsidR="003D5A11" w:rsidRPr="009D27CC" w:rsidRDefault="00BE3B5D" w:rsidP="009D27CC">
      <w:pPr>
        <w:numPr>
          <w:ilvl w:val="0"/>
          <w:numId w:val="20"/>
        </w:numPr>
        <w:spacing w:after="120"/>
        <w:ind w:left="1080" w:right="1440"/>
        <w:rPr>
          <w:rFonts w:eastAsia="Book Antiqua" w:cs="Book Antiqua"/>
          <w:color w:val="000000"/>
          <w:szCs w:val="26"/>
        </w:rPr>
      </w:pPr>
      <w:r w:rsidRPr="009D27CC">
        <w:rPr>
          <w:rFonts w:eastAsia="Book Antiqua" w:cs="Book Antiqua"/>
          <w:color w:val="000000"/>
          <w:szCs w:val="26"/>
        </w:rPr>
        <w:t>whether the acquiring entity</w:t>
      </w:r>
      <w:r w:rsidR="00F67F4E">
        <w:rPr>
          <w:rFonts w:eastAsia="Book Antiqua" w:cs="Book Antiqua"/>
          <w:color w:val="000000"/>
          <w:szCs w:val="26"/>
        </w:rPr>
        <w:t>’</w:t>
      </w:r>
      <w:r w:rsidRPr="009D27CC">
        <w:rPr>
          <w:rFonts w:eastAsia="Book Antiqua" w:cs="Book Antiqua"/>
          <w:color w:val="000000"/>
          <w:szCs w:val="26"/>
        </w:rPr>
        <w:t xml:space="preserve">s equity interest </w:t>
      </w:r>
      <w:r w:rsidR="003D5A11" w:rsidRPr="009D27CC">
        <w:rPr>
          <w:rFonts w:eastAsia="Book Antiqua" w:cs="Book Antiqua"/>
          <w:color w:val="000000"/>
          <w:szCs w:val="26"/>
        </w:rPr>
        <w:t>in the utility or its parent will be greater t</w:t>
      </w:r>
      <w:r w:rsidR="00D649E4" w:rsidRPr="009D27CC">
        <w:rPr>
          <w:rFonts w:eastAsia="Book Antiqua" w:cs="Book Antiqua"/>
          <w:color w:val="000000"/>
          <w:szCs w:val="26"/>
        </w:rPr>
        <w:t>han 50%;</w:t>
      </w:r>
      <w:r w:rsidR="006F5027" w:rsidRPr="009D27CC">
        <w:rPr>
          <w:rFonts w:eastAsia="Book Antiqua" w:cs="Book Antiqua"/>
          <w:color w:val="000000"/>
          <w:szCs w:val="26"/>
          <w:vertAlign w:val="superscript"/>
        </w:rPr>
        <w:footnoteReference w:id="16"/>
      </w:r>
    </w:p>
    <w:p w:rsidR="003D5A11" w:rsidRPr="009D27CC" w:rsidRDefault="00DA11EE" w:rsidP="009D27CC">
      <w:pPr>
        <w:numPr>
          <w:ilvl w:val="0"/>
          <w:numId w:val="20"/>
        </w:numPr>
        <w:spacing w:after="120"/>
        <w:ind w:left="1080" w:right="1440"/>
        <w:rPr>
          <w:rFonts w:eastAsia="Book Antiqua" w:cs="Book Antiqua"/>
          <w:color w:val="000000"/>
          <w:szCs w:val="26"/>
        </w:rPr>
      </w:pPr>
      <w:r w:rsidRPr="009D27CC">
        <w:rPr>
          <w:rFonts w:eastAsia="Book Antiqua" w:cs="Book Antiqua"/>
          <w:color w:val="000000"/>
          <w:szCs w:val="26"/>
        </w:rPr>
        <w:t>whether the acquiring entity has the power to appoint</w:t>
      </w:r>
      <w:r w:rsidR="003D5A11" w:rsidRPr="009D27CC">
        <w:rPr>
          <w:rFonts w:eastAsia="Book Antiqua" w:cs="Book Antiqua"/>
          <w:color w:val="000000"/>
          <w:szCs w:val="26"/>
        </w:rPr>
        <w:t xml:space="preserve"> a majority of the members of the board of directors or to direct management of the</w:t>
      </w:r>
      <w:r w:rsidR="004B2755" w:rsidRPr="009D27CC">
        <w:rPr>
          <w:rFonts w:eastAsia="Book Antiqua" w:cs="Book Antiqua"/>
          <w:color w:val="000000"/>
          <w:szCs w:val="26"/>
        </w:rPr>
        <w:t xml:space="preserve"> utility or its parent entity;</w:t>
      </w:r>
      <w:r w:rsidR="006F5027" w:rsidRPr="009D27CC">
        <w:rPr>
          <w:rFonts w:eastAsia="Book Antiqua" w:cs="Book Antiqua"/>
          <w:color w:val="000000"/>
          <w:szCs w:val="26"/>
          <w:vertAlign w:val="superscript"/>
        </w:rPr>
        <w:footnoteReference w:id="17"/>
      </w:r>
      <w:r w:rsidR="003D5A11" w:rsidRPr="009D27CC">
        <w:rPr>
          <w:rFonts w:eastAsia="Book Antiqua" w:cs="Book Antiqua"/>
          <w:color w:val="000000"/>
          <w:szCs w:val="26"/>
        </w:rPr>
        <w:t xml:space="preserve"> and</w:t>
      </w:r>
    </w:p>
    <w:p w:rsidR="00927711" w:rsidRPr="009D27CC" w:rsidRDefault="008742E4" w:rsidP="009D27CC">
      <w:pPr>
        <w:numPr>
          <w:ilvl w:val="0"/>
          <w:numId w:val="20"/>
        </w:numPr>
        <w:spacing w:after="120"/>
        <w:ind w:left="1080" w:right="1440"/>
        <w:rPr>
          <w:rFonts w:eastAsia="Book Antiqua" w:cs="Book Antiqua"/>
          <w:color w:val="000000"/>
          <w:szCs w:val="26"/>
        </w:rPr>
      </w:pPr>
      <w:r w:rsidRPr="009D27CC">
        <w:rPr>
          <w:rFonts w:eastAsia="Book Antiqua" w:cs="Book Antiqua"/>
          <w:color w:val="000000"/>
          <w:szCs w:val="26"/>
        </w:rPr>
        <w:t xml:space="preserve">whether the acquiring entity </w:t>
      </w:r>
      <w:r w:rsidR="003D5A11" w:rsidRPr="009D27CC">
        <w:rPr>
          <w:rFonts w:eastAsia="Book Antiqua" w:cs="Book Antiqua"/>
          <w:color w:val="000000"/>
          <w:szCs w:val="26"/>
        </w:rPr>
        <w:t xml:space="preserve">has actual or working control </w:t>
      </w:r>
      <w:r w:rsidR="000845DB" w:rsidRPr="009D27CC">
        <w:rPr>
          <w:rFonts w:eastAsia="Book Antiqua" w:cs="Book Antiqua"/>
          <w:color w:val="000000"/>
          <w:szCs w:val="26"/>
        </w:rPr>
        <w:t xml:space="preserve">of the day-to-day </w:t>
      </w:r>
      <w:r w:rsidR="003D5A11" w:rsidRPr="009D27CC">
        <w:rPr>
          <w:rFonts w:eastAsia="Book Antiqua" w:cs="Book Antiqua"/>
          <w:color w:val="000000"/>
          <w:szCs w:val="26"/>
        </w:rPr>
        <w:t>business of the utility.</w:t>
      </w:r>
      <w:r w:rsidR="00DE08CA" w:rsidRPr="009D27CC">
        <w:rPr>
          <w:rFonts w:eastAsia="Book Antiqua" w:cs="Book Antiqua"/>
          <w:color w:val="000000"/>
          <w:szCs w:val="26"/>
          <w:vertAlign w:val="superscript"/>
        </w:rPr>
        <w:footnoteReference w:id="18"/>
      </w:r>
    </w:p>
    <w:p w:rsidR="00C5765C" w:rsidRDefault="00C5765C" w:rsidP="00C668F8">
      <w:pPr>
        <w:pStyle w:val="standard"/>
        <w:tabs>
          <w:tab w:val="left" w:pos="1530"/>
        </w:tabs>
      </w:pPr>
      <w:r w:rsidRPr="00C5765C">
        <w:t xml:space="preserve">Past Commission decisions do not establish a </w:t>
      </w:r>
      <w:r w:rsidR="00BB3BD0">
        <w:t>“bright line”</w:t>
      </w:r>
      <w:r w:rsidRPr="00C5765C">
        <w:t xml:space="preserve"> test for determining when a transfer of control subject to our review under </w:t>
      </w:r>
      <w:r w:rsidR="0081574C">
        <w:t xml:space="preserve">Pub. Util. Code </w:t>
      </w:r>
      <w:r w:rsidR="00C72D19">
        <w:t>§</w:t>
      </w:r>
      <w:r w:rsidR="00BB3BD0">
        <w:t xml:space="preserve"> 854</w:t>
      </w:r>
      <w:r w:rsidRPr="00C5765C">
        <w:t xml:space="preserve"> occurred.</w:t>
      </w:r>
      <w:r w:rsidR="00EF7874">
        <w:rPr>
          <w:rStyle w:val="FootnoteReference"/>
        </w:rPr>
        <w:footnoteReference w:id="19"/>
      </w:r>
      <w:r w:rsidRPr="00C5765C">
        <w:t xml:space="preserve"> </w:t>
      </w:r>
      <w:r w:rsidR="00FE7AC5">
        <w:t xml:space="preserve"> </w:t>
      </w:r>
      <w:r w:rsidRPr="00C5765C">
        <w:t>The Commission has not pro</w:t>
      </w:r>
      <w:r w:rsidR="0089343F">
        <w:t>mulgated regulations to define “control”</w:t>
      </w:r>
      <w:r w:rsidRPr="00C5765C">
        <w:t xml:space="preserve"> in terms of clearly identifiable characteristics applicable to all </w:t>
      </w:r>
      <w:r w:rsidR="00CE3BBE">
        <w:t>cases.</w:t>
      </w:r>
      <w:r w:rsidR="00EF7874">
        <w:rPr>
          <w:rStyle w:val="FootnoteReference"/>
        </w:rPr>
        <w:footnoteReference w:id="20"/>
      </w:r>
      <w:r w:rsidRPr="00C5765C">
        <w:t xml:space="preserve"> </w:t>
      </w:r>
      <w:r w:rsidR="002D67AA">
        <w:t xml:space="preserve"> </w:t>
      </w:r>
      <w:r w:rsidRPr="00C5765C">
        <w:t xml:space="preserve">Instead, the Commission has relied on a fact-specific, case-by-case </w:t>
      </w:r>
      <w:r w:rsidR="00C56358">
        <w:t>analysis.</w:t>
      </w:r>
      <w:r w:rsidR="00EF7874">
        <w:rPr>
          <w:rStyle w:val="FootnoteReference"/>
        </w:rPr>
        <w:footnoteReference w:id="21"/>
      </w:r>
      <w:r w:rsidRPr="00C56358">
        <w:rPr>
          <w:vertAlign w:val="superscript"/>
        </w:rPr>
        <w:t xml:space="preserve"> </w:t>
      </w:r>
      <w:r w:rsidR="00C571E6">
        <w:rPr>
          <w:vertAlign w:val="superscript"/>
        </w:rPr>
        <w:t xml:space="preserve"> </w:t>
      </w:r>
      <w:r w:rsidR="002B0F71">
        <w:t>While some Commission</w:t>
      </w:r>
      <w:r w:rsidRPr="00C5765C">
        <w:t xml:space="preserve"> decisions refer to a transfer of </w:t>
      </w:r>
      <w:r w:rsidR="00F67F4E">
        <w:t>“</w:t>
      </w:r>
      <w:r w:rsidRPr="00C5765C">
        <w:t>actual or working control</w:t>
      </w:r>
      <w:r w:rsidR="00F67F4E">
        <w:t>”</w:t>
      </w:r>
      <w:r w:rsidRPr="00C5765C">
        <w:t xml:space="preserve"> as the threshold for</w:t>
      </w:r>
      <w:r w:rsidR="00914B3D">
        <w:t xml:space="preserve"> Commission review pursuant to</w:t>
      </w:r>
      <w:r w:rsidR="003D5B10">
        <w:t xml:space="preserve"> Pub. Util. </w:t>
      </w:r>
      <w:r w:rsidR="003D5B10">
        <w:lastRenderedPageBreak/>
        <w:t xml:space="preserve">Code </w:t>
      </w:r>
      <w:r w:rsidR="003D5B10">
        <w:rPr>
          <w:rFonts w:ascii="Book Antiqua" w:hAnsi="Book Antiqua"/>
        </w:rPr>
        <w:t>§</w:t>
      </w:r>
      <w:r w:rsidRPr="00C5765C">
        <w:t xml:space="preserve"> 854,</w:t>
      </w:r>
      <w:r w:rsidR="00EF7874">
        <w:rPr>
          <w:rStyle w:val="FootnoteReference"/>
        </w:rPr>
        <w:footnoteReference w:id="22"/>
      </w:r>
      <w:r w:rsidRPr="00C5765C">
        <w:t xml:space="preserve"> other decisions focus on</w:t>
      </w:r>
      <w:r w:rsidR="003D5B10">
        <w:t xml:space="preserve"> whether the acquiring entity, </w:t>
      </w:r>
      <w:r w:rsidRPr="00C5765C">
        <w:t>directly or indirectly, will possess the power to direct or cause the direction of the management and policies of the utility, or has the ability to exercise this control.</w:t>
      </w:r>
      <w:r w:rsidR="00EF7874">
        <w:rPr>
          <w:rStyle w:val="FootnoteReference"/>
        </w:rPr>
        <w:footnoteReference w:id="23"/>
      </w:r>
      <w:r w:rsidR="00365B8C">
        <w:rPr>
          <w:vertAlign w:val="superscript"/>
        </w:rPr>
        <w:t xml:space="preserve"> </w:t>
      </w:r>
    </w:p>
    <w:p w:rsidR="0038742C" w:rsidRDefault="000C193C" w:rsidP="000D50BD">
      <w:pPr>
        <w:pStyle w:val="standard"/>
      </w:pPr>
      <w:r>
        <w:t xml:space="preserve">In </w:t>
      </w:r>
      <w:r w:rsidR="00091FA0">
        <w:t xml:space="preserve">order to assess the </w:t>
      </w:r>
      <w:r w:rsidR="006139AB">
        <w:t>request for transfer of control from Bandwidth CLEC to David A. Morken</w:t>
      </w:r>
      <w:r w:rsidR="00BB3FD8">
        <w:t xml:space="preserve"> upon the planned restructuring of stock due to Bandwidth’s IPO</w:t>
      </w:r>
      <w:r w:rsidR="006139AB">
        <w:t xml:space="preserve">, </w:t>
      </w:r>
      <w:r w:rsidR="008E49A5">
        <w:t xml:space="preserve">the Commission must </w:t>
      </w:r>
      <w:r w:rsidR="007B60DD">
        <w:t>understand</w:t>
      </w:r>
      <w:r w:rsidR="006E1D7F">
        <w:t xml:space="preserve"> any</w:t>
      </w:r>
      <w:r w:rsidR="00CF6E64">
        <w:t xml:space="preserve"> </w:t>
      </w:r>
      <w:r w:rsidR="00EB2F39">
        <w:t xml:space="preserve">changes to Bandwidth CLEC’s </w:t>
      </w:r>
      <w:r w:rsidR="00635FE3">
        <w:t>direct</w:t>
      </w:r>
      <w:r w:rsidR="005B3543">
        <w:t xml:space="preserve"> </w:t>
      </w:r>
      <w:r w:rsidR="00EB2F39">
        <w:t xml:space="preserve">control </w:t>
      </w:r>
      <w:r w:rsidR="002831B3">
        <w:t>of day</w:t>
      </w:r>
      <w:r w:rsidR="009A4B6A">
        <w:noBreakHyphen/>
      </w:r>
      <w:r w:rsidR="00635FE3">
        <w:t xml:space="preserve">to-day operations </w:t>
      </w:r>
      <w:r w:rsidR="00C31750">
        <w:t>as well as</w:t>
      </w:r>
      <w:r w:rsidR="001D480F">
        <w:t xml:space="preserve"> changes to </w:t>
      </w:r>
      <w:r w:rsidR="00713C0C">
        <w:t>its indirect</w:t>
      </w:r>
      <w:r w:rsidR="00EB2F39">
        <w:t xml:space="preserve"> </w:t>
      </w:r>
      <w:r w:rsidR="00A208D3">
        <w:t>management</w:t>
      </w:r>
      <w:r w:rsidR="006D274A">
        <w:t xml:space="preserve"> control.</w:t>
      </w:r>
      <w:r w:rsidR="00A208D3">
        <w:t xml:space="preserve"> </w:t>
      </w:r>
      <w:r w:rsidR="00CF6E64">
        <w:t xml:space="preserve"> </w:t>
      </w:r>
      <w:r w:rsidR="00CE59B4">
        <w:t>Bandwidth CLEC’</w:t>
      </w:r>
      <w:r w:rsidR="00C00340">
        <w:t xml:space="preserve">s </w:t>
      </w:r>
      <w:r w:rsidR="003817BF">
        <w:t xml:space="preserve">day-to-day </w:t>
      </w:r>
      <w:r w:rsidR="00C00340">
        <w:t>operations</w:t>
      </w:r>
      <w:r w:rsidR="00BA3F85">
        <w:t xml:space="preserve"> </w:t>
      </w:r>
      <w:r w:rsidR="00964AB2">
        <w:t xml:space="preserve">are </w:t>
      </w:r>
      <w:r w:rsidR="00BA3F85">
        <w:t>as follows</w:t>
      </w:r>
      <w:r w:rsidR="00451413">
        <w:t>:</w:t>
      </w:r>
    </w:p>
    <w:p w:rsidR="0008644D" w:rsidRDefault="00033747" w:rsidP="006A1956">
      <w:pPr>
        <w:pStyle w:val="Quote"/>
      </w:pPr>
      <w:r>
        <w:t>Bandwidth.com CLEC, LLC has entered in</w:t>
      </w:r>
      <w:r w:rsidR="003D7DF7">
        <w:t>to interconnection agreements (ICAs</w:t>
      </w:r>
      <w:r>
        <w:t xml:space="preserve">) with incumbent local exchange carriers (ILECS) that are approved by the State public utilities commissions in all continental states.  Bandwidth.com, CLEC also obtains telephone numbering resources from the North American Numbering Authority based on its CLEC status and the ability to enable traffic exchange in rate centers in the </w:t>
      </w:r>
      <w:r w:rsidR="00F036D7">
        <w:t>[Public Switched Telephone Network]</w:t>
      </w:r>
      <w:r>
        <w:t xml:space="preserve"> in accordance with its ICAs.</w:t>
      </w:r>
      <w:r w:rsidRPr="00417512">
        <w:rPr>
          <w:rStyle w:val="FootnoteReference"/>
        </w:rPr>
        <w:t xml:space="preserve"> </w:t>
      </w:r>
      <w:r w:rsidR="00E5166F">
        <w:rPr>
          <w:rStyle w:val="FootnoteReference"/>
        </w:rPr>
        <w:t xml:space="preserve"> </w:t>
      </w:r>
      <w:r>
        <w:t xml:space="preserve">Bandwidth Inc. acts as a customer of Bandwidth.com CLEC, LLC’s local exchange telecommunications services to support Bandwidth Inc.’s suite of services that utilize NANP telephone number for the exchange of VoIP Traffic on Bandwidth’s all </w:t>
      </w:r>
      <w:r w:rsidR="00F84FBA">
        <w:t>[Internet Protocol (</w:t>
      </w:r>
      <w:r>
        <w:t>IP</w:t>
      </w:r>
      <w:r w:rsidR="00F84FBA">
        <w:t>)]</w:t>
      </w:r>
      <w:r>
        <w:t>-enabled interstate network on behalf of Bandwidth’s customers and their customers.</w:t>
      </w:r>
      <w:r w:rsidR="00EF7874">
        <w:rPr>
          <w:rStyle w:val="FootnoteReference"/>
        </w:rPr>
        <w:footnoteReference w:id="24"/>
      </w:r>
    </w:p>
    <w:p w:rsidR="00E5166F" w:rsidRDefault="00E5166F" w:rsidP="00E5166F">
      <w:pPr>
        <w:pStyle w:val="standard"/>
        <w:spacing w:line="240" w:lineRule="auto"/>
        <w:ind w:left="720" w:right="720" w:firstLine="0"/>
      </w:pPr>
    </w:p>
    <w:p w:rsidR="00033747" w:rsidRDefault="00033747" w:rsidP="00EF7874">
      <w:pPr>
        <w:pStyle w:val="standard"/>
      </w:pPr>
      <w:r>
        <w:t xml:space="preserve">Bandwidth </w:t>
      </w:r>
      <w:r w:rsidR="0045701E">
        <w:t xml:space="preserve">has </w:t>
      </w:r>
      <w:r w:rsidR="000C2849">
        <w:t xml:space="preserve">direct </w:t>
      </w:r>
      <w:r w:rsidR="0045701E">
        <w:t>operational control of</w:t>
      </w:r>
      <w:r>
        <w:t xml:space="preserve"> Bandwidth CLEC, a</w:t>
      </w:r>
      <w:r w:rsidR="00957341">
        <w:t>s explained below</w:t>
      </w:r>
      <w:r>
        <w:t>:</w:t>
      </w:r>
    </w:p>
    <w:p w:rsidR="00722711" w:rsidRDefault="00033747" w:rsidP="006A1956">
      <w:pPr>
        <w:pStyle w:val="Quote"/>
      </w:pPr>
      <w:r>
        <w:lastRenderedPageBreak/>
        <w:t xml:space="preserve">My name is Scott Mullen. I am currently employed by Bandwidth Inc. (Bandwidth) as its Chief Technology officer (CTO).  I have been employed at Bandwidth since 2007 in various positions related to Bandwidth’s network design and management.  As the CTO and in prior positions before becoming CTO I have responsibility for the overall design, performance and stability of Bandwidth’s networks and service offerings.  Among other responsibilities, as CTO </w:t>
      </w:r>
      <w:r w:rsidRPr="00822F56">
        <w:rPr>
          <w:i/>
        </w:rPr>
        <w:t>I lead a team of engineers that build and operate Bandwidth.com CLEC LLC’s nationwide CLEC network</w:t>
      </w:r>
      <w:r>
        <w:t xml:space="preserve"> as well as the all-IP VOIP infrastructure of Bandwidth, Inc</w:t>
      </w:r>
      <w:r w:rsidR="009A4B6A">
        <w:t>., which serves thousands of IP</w:t>
      </w:r>
      <w:r w:rsidR="009A4B6A">
        <w:noBreakHyphen/>
      </w:r>
      <w:r>
        <w:t>enabled customers all over the country.</w:t>
      </w:r>
      <w:r>
        <w:rPr>
          <w:rStyle w:val="FootnoteReference"/>
        </w:rPr>
        <w:footnoteReference w:id="25"/>
      </w:r>
      <w:r>
        <w:t xml:space="preserve"> </w:t>
      </w:r>
    </w:p>
    <w:p w:rsidR="00CF0C41" w:rsidRDefault="00CF0C41" w:rsidP="007F2BFB">
      <w:pPr>
        <w:pStyle w:val="standard"/>
      </w:pPr>
      <w:r>
        <w:t xml:space="preserve">The proposed transfer </w:t>
      </w:r>
      <w:r w:rsidR="004803B6">
        <w:t xml:space="preserve">from Bandwidth CLEC to David A. Morken </w:t>
      </w:r>
      <w:r>
        <w:t xml:space="preserve">would not change the direct operational control of Bandwidth CLEC by Bandwidth. </w:t>
      </w:r>
    </w:p>
    <w:p w:rsidR="000D50BD" w:rsidRDefault="000D50BD" w:rsidP="007F2BFB">
      <w:pPr>
        <w:pStyle w:val="standard"/>
      </w:pPr>
      <w:r>
        <w:t xml:space="preserve">Bandwidth </w:t>
      </w:r>
      <w:r w:rsidR="00722711">
        <w:t>also has</w:t>
      </w:r>
      <w:r w:rsidR="00E62682">
        <w:t xml:space="preserve"> managerial control of </w:t>
      </w:r>
      <w:r>
        <w:t>Bandwidth CLEC</w:t>
      </w:r>
      <w:r w:rsidR="00A043AB">
        <w:t>, which</w:t>
      </w:r>
      <w:r w:rsidR="00722711">
        <w:t xml:space="preserve"> had</w:t>
      </w:r>
      <w:r>
        <w:t xml:space="preserve"> no officers or directors </w:t>
      </w:r>
      <w:r w:rsidR="00571C7B">
        <w:t>of its own</w:t>
      </w:r>
      <w:r w:rsidR="009677D0">
        <w:t xml:space="preserve"> from</w:t>
      </w:r>
      <w:r w:rsidR="00ED2AD2">
        <w:t xml:space="preserve"> 2007-2018</w:t>
      </w:r>
      <w:r w:rsidR="00AC6ACB">
        <w:t>,</w:t>
      </w:r>
      <w:r w:rsidR="008D1E2F">
        <w:rPr>
          <w:rStyle w:val="FootnoteReference"/>
        </w:rPr>
        <w:footnoteReference w:id="26"/>
      </w:r>
      <w:r w:rsidR="00970A15">
        <w:t xml:space="preserve"> </w:t>
      </w:r>
      <w:r w:rsidR="00AC6ACB">
        <w:t>when</w:t>
      </w:r>
      <w:r w:rsidR="000E38E7">
        <w:t xml:space="preserve"> </w:t>
      </w:r>
      <w:r>
        <w:t>Ban</w:t>
      </w:r>
      <w:r w:rsidR="00970A15">
        <w:t>dwidth wa</w:t>
      </w:r>
      <w:r>
        <w:t>s the sole owner and manager of Bandwidth.</w:t>
      </w:r>
      <w:r w:rsidR="00391B33">
        <w:t xml:space="preserve">  The proposed transfer of </w:t>
      </w:r>
      <w:r w:rsidR="00A41631">
        <w:t>control</w:t>
      </w:r>
      <w:r w:rsidR="00391B33">
        <w:t xml:space="preserve"> </w:t>
      </w:r>
      <w:r w:rsidR="00513212">
        <w:t xml:space="preserve">in the Application </w:t>
      </w:r>
      <w:r w:rsidR="00391B33">
        <w:t xml:space="preserve">would grant David A. Morken a </w:t>
      </w:r>
      <w:r w:rsidR="00607418">
        <w:t>controlling share of</w:t>
      </w:r>
      <w:r w:rsidR="00391B33">
        <w:t xml:space="preserve"> Bandwidth, and indirectly of Bandwidth CLEC</w:t>
      </w:r>
      <w:r w:rsidR="002E4963">
        <w:t xml:space="preserve"> as its </w:t>
      </w:r>
      <w:r w:rsidR="003477AB">
        <w:t>s</w:t>
      </w:r>
      <w:r w:rsidR="002E4963">
        <w:t>u</w:t>
      </w:r>
      <w:r w:rsidR="003477AB">
        <w:t>bsidiary</w:t>
      </w:r>
      <w:r w:rsidR="00391B33">
        <w:t xml:space="preserve">. </w:t>
      </w:r>
    </w:p>
    <w:p w:rsidR="00862F89" w:rsidRPr="004F2ED7" w:rsidRDefault="005E7E20" w:rsidP="004F2ED7">
      <w:pPr>
        <w:pStyle w:val="Heading2"/>
      </w:pPr>
      <w:bookmarkStart w:id="12" w:name="_Toc520204958"/>
      <w:r w:rsidRPr="007244FB">
        <w:t>4.1</w:t>
      </w:r>
      <w:r w:rsidR="007244FB">
        <w:t>.</w:t>
      </w:r>
      <w:r w:rsidR="007244FB">
        <w:tab/>
      </w:r>
      <w:r w:rsidR="00862F89" w:rsidRPr="004F2ED7">
        <w:t xml:space="preserve">Options for the Transfer of </w:t>
      </w:r>
      <w:r w:rsidR="00A41631">
        <w:t>Control</w:t>
      </w:r>
      <w:r w:rsidR="00862F89" w:rsidRPr="004F2ED7">
        <w:t xml:space="preserve"> from B</w:t>
      </w:r>
      <w:r w:rsidR="001D47B1" w:rsidRPr="004F2ED7">
        <w:t>andwidth CLEC to David A. Morken</w:t>
      </w:r>
      <w:bookmarkEnd w:id="12"/>
      <w:r w:rsidR="00862F89" w:rsidRPr="004F2ED7">
        <w:t xml:space="preserve"> </w:t>
      </w:r>
    </w:p>
    <w:p w:rsidR="00381048" w:rsidRDefault="00707987" w:rsidP="004F2ED7">
      <w:pPr>
        <w:pStyle w:val="standard"/>
      </w:pPr>
      <w:r>
        <w:t>The</w:t>
      </w:r>
      <w:r w:rsidR="00ED7BC0">
        <w:t xml:space="preserve"> operational and managerial control of Bandwidth C</w:t>
      </w:r>
      <w:r w:rsidR="00FE1371">
        <w:t>LEC</w:t>
      </w:r>
      <w:r w:rsidR="00FE716E">
        <w:t xml:space="preserve"> by a legally distinct entity, </w:t>
      </w:r>
      <w:r w:rsidR="00582F96">
        <w:t xml:space="preserve">Bandwidth, </w:t>
      </w:r>
      <w:r w:rsidR="00C01A42">
        <w:t>i</w:t>
      </w:r>
      <w:r w:rsidR="00582F96">
        <w:t>s</w:t>
      </w:r>
      <w:r w:rsidR="00137A8B">
        <w:t xml:space="preserve"> a</w:t>
      </w:r>
      <w:r w:rsidR="00FE1371">
        <w:t xml:space="preserve"> transfer of </w:t>
      </w:r>
      <w:r w:rsidR="00A41631">
        <w:t>control</w:t>
      </w:r>
      <w:r w:rsidR="00FE1371">
        <w:t xml:space="preserve"> </w:t>
      </w:r>
      <w:r w:rsidR="004A64B5">
        <w:t>under Pub</w:t>
      </w:r>
      <w:r w:rsidR="00033889">
        <w:t>.</w:t>
      </w:r>
      <w:r w:rsidR="004A64B5">
        <w:t xml:space="preserve"> Util.</w:t>
      </w:r>
      <w:r w:rsidR="00FE1371">
        <w:t xml:space="preserve"> Code</w:t>
      </w:r>
      <w:r w:rsidR="009144A8">
        <w:br/>
      </w:r>
      <w:r w:rsidR="00D27617">
        <w:t>§</w:t>
      </w:r>
      <w:r w:rsidR="00FE1371">
        <w:t xml:space="preserve"> 854(a).</w:t>
      </w:r>
      <w:r w:rsidR="009144A8">
        <w:t xml:space="preserve">  </w:t>
      </w:r>
      <w:r w:rsidR="002E79E7">
        <w:t xml:space="preserve">Since Bandwidth CLEC never applied for </w:t>
      </w:r>
      <w:r w:rsidR="009C0D27">
        <w:t xml:space="preserve">a </w:t>
      </w:r>
      <w:r w:rsidR="002E79E7">
        <w:t xml:space="preserve">transfer of </w:t>
      </w:r>
      <w:r w:rsidR="00A41631">
        <w:t>control</w:t>
      </w:r>
      <w:r w:rsidR="002E79E7">
        <w:t xml:space="preserve"> under Pub. Util. Code </w:t>
      </w:r>
      <w:r w:rsidR="008D7A73">
        <w:t xml:space="preserve">§ </w:t>
      </w:r>
      <w:r w:rsidR="002E79E7">
        <w:t xml:space="preserve">854(a), the Commission would ordinarily view the </w:t>
      </w:r>
      <w:r w:rsidR="0006370F">
        <w:t>transfer as unauthorize</w:t>
      </w:r>
      <w:r w:rsidR="00E205FD">
        <w:t>d, subject to penalty</w:t>
      </w:r>
      <w:r w:rsidR="00671011">
        <w:t xml:space="preserve"> for </w:t>
      </w:r>
      <w:r w:rsidR="008E2230">
        <w:t>operation without a license</w:t>
      </w:r>
      <w:r w:rsidR="00671011">
        <w:t xml:space="preserve"> during the </w:t>
      </w:r>
      <w:r w:rsidR="00671011">
        <w:lastRenderedPageBreak/>
        <w:t>period of noncompliance</w:t>
      </w:r>
      <w:r w:rsidR="00E205FD">
        <w:t>, but pros</w:t>
      </w:r>
      <w:r w:rsidR="0006370F">
        <w:t>pectively curable.</w:t>
      </w:r>
      <w:r w:rsidR="00401930">
        <w:rPr>
          <w:rStyle w:val="FootnoteReference"/>
        </w:rPr>
        <w:footnoteReference w:id="27"/>
      </w:r>
      <w:r w:rsidR="0006370F">
        <w:t xml:space="preserve"> </w:t>
      </w:r>
      <w:r w:rsidR="00732C6C">
        <w:t xml:space="preserve"> Thereby, the transfer of </w:t>
      </w:r>
      <w:r w:rsidR="00A41631">
        <w:t>control</w:t>
      </w:r>
      <w:r w:rsidR="00732C6C">
        <w:t xml:space="preserve"> from Bandwidth CLEC to David A</w:t>
      </w:r>
      <w:r w:rsidR="00FF7CB2">
        <w:t>.</w:t>
      </w:r>
      <w:r w:rsidR="00732C6C">
        <w:t xml:space="preserve"> Morken, would necessitate </w:t>
      </w:r>
      <w:r w:rsidR="00895AA9">
        <w:t>two transfer</w:t>
      </w:r>
      <w:r w:rsidR="00536DD4">
        <w:t>s</w:t>
      </w:r>
      <w:r w:rsidR="00895AA9">
        <w:t xml:space="preserve"> of authority</w:t>
      </w:r>
      <w:r w:rsidR="005619CF">
        <w:t xml:space="preserve">; 1) </w:t>
      </w:r>
      <w:r w:rsidR="00F95A20">
        <w:t>T</w:t>
      </w:r>
      <w:r w:rsidR="00895AA9">
        <w:t xml:space="preserve">he first </w:t>
      </w:r>
      <w:r w:rsidR="00F95A20">
        <w:t>transfer of control would</w:t>
      </w:r>
      <w:r w:rsidR="00C16BCB">
        <w:t xml:space="preserve"> tra</w:t>
      </w:r>
      <w:r w:rsidR="00F95A20">
        <w:t>n</w:t>
      </w:r>
      <w:r w:rsidR="00C16BCB">
        <w:t>s</w:t>
      </w:r>
      <w:r w:rsidR="00F95A20">
        <w:t>fer</w:t>
      </w:r>
      <w:r w:rsidR="00C16BCB">
        <w:t xml:space="preserve"> Bandwidth CLEC to Bandwidth based on the</w:t>
      </w:r>
      <w:r w:rsidR="00895AA9">
        <w:t xml:space="preserve"> transfer of direct operational control</w:t>
      </w:r>
      <w:r w:rsidR="00DC7F55">
        <w:t xml:space="preserve"> as well as direct management control of Bandwidth CLEC</w:t>
      </w:r>
      <w:r w:rsidR="00024ADA">
        <w:t>;</w:t>
      </w:r>
      <w:r w:rsidR="005619CF">
        <w:t xml:space="preserve"> 2) </w:t>
      </w:r>
      <w:r w:rsidR="00895AA9">
        <w:t xml:space="preserve">the second </w:t>
      </w:r>
      <w:r w:rsidR="00C20EBC">
        <w:t xml:space="preserve">transfer of control would transfer </w:t>
      </w:r>
      <w:r w:rsidR="00A96ADA">
        <w:t xml:space="preserve">indirect managerial </w:t>
      </w:r>
      <w:r w:rsidR="00C20EBC">
        <w:t xml:space="preserve">control </w:t>
      </w:r>
      <w:r w:rsidR="002771CC">
        <w:t xml:space="preserve">of Bandwidth CLEC </w:t>
      </w:r>
      <w:r w:rsidR="00C20EBC">
        <w:t>from</w:t>
      </w:r>
      <w:r w:rsidR="00895AA9">
        <w:t xml:space="preserve"> Bandwidth to David A</w:t>
      </w:r>
      <w:r w:rsidR="00505F16">
        <w:t>.</w:t>
      </w:r>
      <w:r w:rsidR="00895AA9">
        <w:t xml:space="preserve"> Mork</w:t>
      </w:r>
      <w:r w:rsidR="009C0D27">
        <w:t>en</w:t>
      </w:r>
      <w:r w:rsidR="0001766F">
        <w:t xml:space="preserve"> </w:t>
      </w:r>
      <w:r w:rsidR="00505F16">
        <w:t xml:space="preserve">as a result of the transfer of </w:t>
      </w:r>
      <w:r w:rsidR="000F7F9C">
        <w:t>stock due to the impending IPO.</w:t>
      </w:r>
      <w:r w:rsidR="002F10A8">
        <w:rPr>
          <w:rStyle w:val="FootnoteReference"/>
        </w:rPr>
        <w:footnoteReference w:id="28"/>
      </w:r>
      <w:r w:rsidR="00DB4D37">
        <w:t xml:space="preserve"> </w:t>
      </w:r>
    </w:p>
    <w:p w:rsidR="005F5A6D" w:rsidRDefault="00CD55E5" w:rsidP="000E10E2">
      <w:pPr>
        <w:pStyle w:val="standard"/>
      </w:pPr>
      <w:r>
        <w:t>The</w:t>
      </w:r>
      <w:r w:rsidR="0011792E">
        <w:t>re is substantial</w:t>
      </w:r>
      <w:r w:rsidR="00F74E27">
        <w:t xml:space="preserve"> </w:t>
      </w:r>
      <w:r>
        <w:t xml:space="preserve">precedent for </w:t>
      </w:r>
      <w:r w:rsidR="00F74E27">
        <w:t xml:space="preserve">approving </w:t>
      </w:r>
      <w:r>
        <w:t>unauthorized</w:t>
      </w:r>
      <w:r w:rsidR="00A7402A">
        <w:t xml:space="preserve"> transfer</w:t>
      </w:r>
      <w:r>
        <w:t>s</w:t>
      </w:r>
      <w:r w:rsidR="00A7402A">
        <w:t xml:space="preserve"> </w:t>
      </w:r>
      <w:r w:rsidR="00F74E27">
        <w:t>of authority on a prospective basis</w:t>
      </w:r>
      <w:r w:rsidR="00B827FE">
        <w:t>;</w:t>
      </w:r>
      <w:r w:rsidR="004C6F34">
        <w:rPr>
          <w:rStyle w:val="FootnoteReference"/>
        </w:rPr>
        <w:footnoteReference w:id="29"/>
      </w:r>
      <w:r w:rsidR="00A7402A">
        <w:t xml:space="preserve"> h</w:t>
      </w:r>
      <w:r w:rsidR="00315A07">
        <w:t>owever, th</w:t>
      </w:r>
      <w:r w:rsidR="00331CF4">
        <w:t>e instant Application is novel as</w:t>
      </w:r>
      <w:r w:rsidR="00315A07">
        <w:t xml:space="preserve"> </w:t>
      </w:r>
      <w:r w:rsidR="00EB3307">
        <w:t xml:space="preserve">Bandwidth CLEC </w:t>
      </w:r>
      <w:r w:rsidR="00CA0466">
        <w:t xml:space="preserve">never </w:t>
      </w:r>
      <w:r w:rsidR="00EB3307">
        <w:t>operated</w:t>
      </w:r>
      <w:r w:rsidR="00315A07">
        <w:t xml:space="preserve"> or ma</w:t>
      </w:r>
      <w:r w:rsidR="00EB3307">
        <w:t>naged</w:t>
      </w:r>
      <w:r w:rsidR="00315A07">
        <w:t xml:space="preserve"> Bandwidth CLEC</w:t>
      </w:r>
      <w:r w:rsidR="004D7F93">
        <w:t>, which it was re</w:t>
      </w:r>
      <w:r w:rsidR="000E10E2">
        <w:t>quired to do wit</w:t>
      </w:r>
      <w:r w:rsidR="00DD5B75">
        <w:t xml:space="preserve">hin one year </w:t>
      </w:r>
      <w:r w:rsidR="00FF559E">
        <w:t xml:space="preserve">of </w:t>
      </w:r>
      <w:r w:rsidR="00DD5B75">
        <w:t xml:space="preserve">the issuance of </w:t>
      </w:r>
      <w:r w:rsidR="0063179E">
        <w:t>the Commission’s</w:t>
      </w:r>
      <w:r w:rsidR="000E10E2">
        <w:t xml:space="preserve"> CPCN</w:t>
      </w:r>
      <w:r w:rsidR="00315A07">
        <w:t>.</w:t>
      </w:r>
      <w:r w:rsidR="000E10E2">
        <w:t xml:space="preserve"> </w:t>
      </w:r>
      <w:r w:rsidR="00A33229">
        <w:t xml:space="preserve"> </w:t>
      </w:r>
    </w:p>
    <w:p w:rsidR="000E10E2" w:rsidRDefault="000E10E2" w:rsidP="00DF2623">
      <w:pPr>
        <w:pStyle w:val="standard"/>
      </w:pPr>
      <w:r>
        <w:t>D.07-09-035 Ordering Paragraph (OP) 4 created an affirmative obligation for Bandwidth CLEC to render servic</w:t>
      </w:r>
      <w:r w:rsidR="00891CB5">
        <w:t>e under the CPCN</w:t>
      </w:r>
      <w:r>
        <w:t xml:space="preserve">, as stated below: </w:t>
      </w:r>
    </w:p>
    <w:p w:rsidR="00B1721E" w:rsidRPr="009A4B6A" w:rsidRDefault="000E10E2" w:rsidP="006A1956">
      <w:pPr>
        <w:pStyle w:val="Quote"/>
      </w:pPr>
      <w:r w:rsidRPr="009A4B6A">
        <w:t>The certificate granted, and the authority to render service under the rates, charges and rules authorized, will expire if not exercised within 12 months after the effective date of this order.</w:t>
      </w:r>
    </w:p>
    <w:p w:rsidR="00C45CCB" w:rsidRDefault="007B598B" w:rsidP="00B1721E">
      <w:pPr>
        <w:pStyle w:val="standard"/>
      </w:pPr>
      <w:r>
        <w:lastRenderedPageBreak/>
        <w:t>The</w:t>
      </w:r>
      <w:r w:rsidR="001358E9">
        <w:t xml:space="preserve"> </w:t>
      </w:r>
      <w:r w:rsidR="00DE11CB">
        <w:t xml:space="preserve">Commission’s </w:t>
      </w:r>
      <w:r w:rsidR="00CF1766">
        <w:t xml:space="preserve">grant of a </w:t>
      </w:r>
      <w:r w:rsidR="001358E9">
        <w:t>CPCN</w:t>
      </w:r>
      <w:r>
        <w:t xml:space="preserve"> </w:t>
      </w:r>
      <w:r w:rsidR="00FF559E">
        <w:t>imposed obligations</w:t>
      </w:r>
      <w:r w:rsidR="00F120AE">
        <w:t xml:space="preserve"> for compliance </w:t>
      </w:r>
      <w:r w:rsidR="00FF559E">
        <w:t>on</w:t>
      </w:r>
      <w:r>
        <w:t xml:space="preserve"> Bandwidth CLEC,</w:t>
      </w:r>
      <w:r>
        <w:rPr>
          <w:rStyle w:val="FootnoteReference"/>
        </w:rPr>
        <w:footnoteReference w:id="30"/>
      </w:r>
      <w:r>
        <w:t xml:space="preserve"> not Bandwidth, </w:t>
      </w:r>
      <w:r w:rsidR="00C77911">
        <w:t xml:space="preserve">under </w:t>
      </w:r>
      <w:r w:rsidR="00C21269">
        <w:t>D.</w:t>
      </w:r>
      <w:r w:rsidR="00C45CCB">
        <w:t>07-09-0</w:t>
      </w:r>
      <w:r w:rsidR="00CA5342">
        <w:t>35, OP</w:t>
      </w:r>
      <w:r w:rsidR="00C45CCB">
        <w:t xml:space="preserve"> 1</w:t>
      </w:r>
      <w:r w:rsidR="00210D87">
        <w:t>:</w:t>
      </w:r>
    </w:p>
    <w:p w:rsidR="00A81AE0" w:rsidRPr="006A1956" w:rsidRDefault="00C45CCB" w:rsidP="006A1956">
      <w:pPr>
        <w:pStyle w:val="Quote"/>
      </w:pPr>
      <w:r w:rsidRPr="006A1956">
        <w:t xml:space="preserve">A </w:t>
      </w:r>
      <w:r w:rsidR="00835E29" w:rsidRPr="006A1956">
        <w:t>CPCN</w:t>
      </w:r>
      <w:r w:rsidRPr="006A1956">
        <w:t xml:space="preserve"> is granted to Bandwidth.com CLEC, LLC (Applicant) to operate as a</w:t>
      </w:r>
      <w:r w:rsidR="007B598B" w:rsidRPr="006A1956">
        <w:t xml:space="preserve"> </w:t>
      </w:r>
      <w:r w:rsidRPr="006A1956">
        <w:t xml:space="preserve">limited-facilities based and resale provider of competitive local exchange services, and interexchange services, subject to the </w:t>
      </w:r>
      <w:r w:rsidR="00A81AE0" w:rsidRPr="006A1956">
        <w:t>terms and conditions set below.</w:t>
      </w:r>
    </w:p>
    <w:p w:rsidR="007B598B" w:rsidRDefault="00D31A64" w:rsidP="00A81AE0">
      <w:pPr>
        <w:pStyle w:val="standard"/>
      </w:pPr>
      <w:r>
        <w:t>Accord</w:t>
      </w:r>
      <w:r w:rsidR="000563C6">
        <w:t>ingly</w:t>
      </w:r>
      <w:r w:rsidR="007B598B">
        <w:t>, Bandwidth</w:t>
      </w:r>
      <w:r w:rsidR="00031717">
        <w:t>’s</w:t>
      </w:r>
      <w:r w:rsidR="007B598B">
        <w:t xml:space="preserve"> CLEC’s CPCN is void as of a year from the date of authorization for failure to satisfy D.07-09-35 OP 4</w:t>
      </w:r>
      <w:r w:rsidR="00A736CC">
        <w:t>.  Therefore, Bandwidth CLEC cannot transfer its authority to operate</w:t>
      </w:r>
      <w:r w:rsidR="00787367">
        <w:t xml:space="preserve"> under the CPCN</w:t>
      </w:r>
      <w:r w:rsidR="00A736CC">
        <w:t xml:space="preserve"> to eithe</w:t>
      </w:r>
      <w:r w:rsidR="00F14FF7">
        <w:t>r Bandwidth or David A. Morken.</w:t>
      </w:r>
    </w:p>
    <w:p w:rsidR="00B03CD9" w:rsidRDefault="003551E0" w:rsidP="00906D47">
      <w:pPr>
        <w:pStyle w:val="standard"/>
      </w:pPr>
      <w:r>
        <w:t>T</w:t>
      </w:r>
      <w:r w:rsidR="00FF559E">
        <w:t>hrough issuance of an order to show cause, t</w:t>
      </w:r>
      <w:r>
        <w:t xml:space="preserve">he Joint </w:t>
      </w:r>
      <w:r w:rsidR="00B03CD9">
        <w:t>Applicants were</w:t>
      </w:r>
      <w:r w:rsidR="00A77941">
        <w:t xml:space="preserve"> notified that Bandwidth may be </w:t>
      </w:r>
      <w:r w:rsidR="003F5418">
        <w:t>operating without a license,</w:t>
      </w:r>
      <w:r w:rsidR="00D1091C">
        <w:rPr>
          <w:rStyle w:val="FootnoteReference"/>
        </w:rPr>
        <w:footnoteReference w:id="31"/>
      </w:r>
      <w:r w:rsidR="003F5418">
        <w:t xml:space="preserve"> </w:t>
      </w:r>
      <w:r w:rsidR="00FF559E">
        <w:t xml:space="preserve">and were </w:t>
      </w:r>
      <w:r w:rsidR="003F5418">
        <w:t>provided an opportunity to respond to</w:t>
      </w:r>
      <w:r w:rsidR="009C0D27">
        <w:t xml:space="preserve"> the</w:t>
      </w:r>
      <w:r w:rsidR="003F5418">
        <w:t xml:space="preserve"> order to show cause</w:t>
      </w:r>
      <w:r w:rsidR="00FF559E">
        <w:t>.</w:t>
      </w:r>
      <w:r w:rsidR="00D1091C">
        <w:rPr>
          <w:rStyle w:val="FootnoteReference"/>
        </w:rPr>
        <w:footnoteReference w:id="32"/>
      </w:r>
      <w:r w:rsidR="003F5418">
        <w:t xml:space="preserve"> </w:t>
      </w:r>
      <w:r w:rsidR="00FF559E">
        <w:t xml:space="preserve"> In addition, </w:t>
      </w:r>
      <w:r w:rsidR="003F5418">
        <w:t>during a status conference</w:t>
      </w:r>
      <w:r w:rsidR="00BD5AD6">
        <w:t xml:space="preserve"> on March</w:t>
      </w:r>
      <w:r w:rsidR="009A4B6A">
        <w:t> </w:t>
      </w:r>
      <w:r w:rsidR="00BD5AD6">
        <w:t>30, 2018</w:t>
      </w:r>
      <w:r w:rsidR="003F5418">
        <w:t xml:space="preserve"> a</w:t>
      </w:r>
      <w:r w:rsidR="00460F51">
        <w:t xml:space="preserve">nd </w:t>
      </w:r>
      <w:r w:rsidR="005E09B4">
        <w:t xml:space="preserve">by </w:t>
      </w:r>
      <w:r w:rsidR="00532A35">
        <w:t xml:space="preserve">a </w:t>
      </w:r>
      <w:r w:rsidR="00460F51">
        <w:t xml:space="preserve">subsequent </w:t>
      </w:r>
      <w:r w:rsidR="00532A35">
        <w:t xml:space="preserve">ALJ </w:t>
      </w:r>
      <w:r w:rsidR="00460F51">
        <w:t>ruling</w:t>
      </w:r>
      <w:r w:rsidR="007D2C56">
        <w:t>,</w:t>
      </w:r>
      <w:r w:rsidR="00C83905">
        <w:rPr>
          <w:rStyle w:val="FootnoteReference"/>
        </w:rPr>
        <w:footnoteReference w:id="33"/>
      </w:r>
      <w:r w:rsidR="007D2C56">
        <w:t xml:space="preserve"> </w:t>
      </w:r>
      <w:r w:rsidR="00FF559E">
        <w:t>Joint Applicants were offered three options for restoring the Joint Applicants’ ability to provide telecommunications services</w:t>
      </w:r>
      <w:r w:rsidR="000C200A">
        <w:t xml:space="preserve"> under a CPCN, </w:t>
      </w:r>
      <w:r w:rsidR="007D2C56">
        <w:t>consisting of the following:</w:t>
      </w:r>
    </w:p>
    <w:p w:rsidR="002F130E" w:rsidRDefault="00BB4E23" w:rsidP="00835E29">
      <w:pPr>
        <w:pStyle w:val="standard"/>
        <w:numPr>
          <w:ilvl w:val="0"/>
          <w:numId w:val="15"/>
        </w:numPr>
        <w:spacing w:after="120" w:line="240" w:lineRule="auto"/>
        <w:ind w:right="1440"/>
      </w:pPr>
      <w:r>
        <w:t xml:space="preserve">The Commission </w:t>
      </w:r>
      <w:r w:rsidR="000C200A">
        <w:t xml:space="preserve">could </w:t>
      </w:r>
      <w:r>
        <w:t xml:space="preserve">revoke </w:t>
      </w:r>
      <w:r w:rsidR="00CE1713">
        <w:t>Bandwidth CLEC</w:t>
      </w:r>
      <w:r>
        <w:t xml:space="preserve">’s CPCN and </w:t>
      </w:r>
      <w:r w:rsidR="001A6A53">
        <w:t>allow the Applicants leave to a</w:t>
      </w:r>
      <w:r>
        <w:t>mend the Application so</w:t>
      </w:r>
      <w:r w:rsidR="002F130E">
        <w:t xml:space="preserve"> Bandwidth c</w:t>
      </w:r>
      <w:r w:rsidR="000C200A">
        <w:t>ould</w:t>
      </w:r>
      <w:r w:rsidR="002F130E">
        <w:t xml:space="preserve"> apply for a CPCN. </w:t>
      </w:r>
    </w:p>
    <w:p w:rsidR="002F130E" w:rsidRDefault="002F130E" w:rsidP="00835E29">
      <w:pPr>
        <w:pStyle w:val="standard"/>
        <w:numPr>
          <w:ilvl w:val="0"/>
          <w:numId w:val="15"/>
        </w:numPr>
        <w:spacing w:after="120" w:line="240" w:lineRule="auto"/>
        <w:ind w:right="1440"/>
      </w:pPr>
      <w:r>
        <w:lastRenderedPageBreak/>
        <w:t xml:space="preserve">The Commission </w:t>
      </w:r>
      <w:r w:rsidR="008400F5">
        <w:t xml:space="preserve">could </w:t>
      </w:r>
      <w:r>
        <w:t>revoke Bandwidth CLEC’s CPCN and the Applicants c</w:t>
      </w:r>
      <w:r w:rsidR="008400F5">
        <w:t>ould</w:t>
      </w:r>
      <w:r>
        <w:t xml:space="preserve"> file a new Application for Bandwidth to request authority to provide telecommunications services under a CPCN. </w:t>
      </w:r>
    </w:p>
    <w:p w:rsidR="00857FEF" w:rsidRDefault="002F130E" w:rsidP="00835E29">
      <w:pPr>
        <w:pStyle w:val="standard"/>
        <w:numPr>
          <w:ilvl w:val="0"/>
          <w:numId w:val="15"/>
        </w:numPr>
        <w:spacing w:after="120" w:line="240" w:lineRule="auto"/>
        <w:ind w:right="1440"/>
      </w:pPr>
      <w:r>
        <w:t>Bandwidth CLEC c</w:t>
      </w:r>
      <w:r w:rsidR="00C65750">
        <w:t>ould</w:t>
      </w:r>
      <w:r>
        <w:t xml:space="preserve"> install officers and directors</w:t>
      </w:r>
      <w:r w:rsidR="00D56559">
        <w:t>,</w:t>
      </w:r>
      <w:r>
        <w:t xml:space="preserve"> and begin operating under its CPCN; Bandwidth </w:t>
      </w:r>
      <w:r w:rsidR="00AE525A">
        <w:t>would have to</w:t>
      </w:r>
      <w:r>
        <w:t xml:space="preserve"> cease operating </w:t>
      </w:r>
      <w:r w:rsidR="000F37BA">
        <w:t xml:space="preserve">Bandwidth CLEC </w:t>
      </w:r>
      <w:r w:rsidR="00A47653">
        <w:t>as well as provid</w:t>
      </w:r>
      <w:r w:rsidR="00F67F4E">
        <w:t>ing telecommunications services</w:t>
      </w:r>
      <w:r w:rsidR="00A657CA">
        <w:t xml:space="preserve"> </w:t>
      </w:r>
      <w:r w:rsidR="004C14CD">
        <w:t>under Bandwidth</w:t>
      </w:r>
      <w:r w:rsidR="008C65F6">
        <w:t xml:space="preserve"> CLEC</w:t>
      </w:r>
      <w:r w:rsidR="004C14CD">
        <w:t>’s</w:t>
      </w:r>
      <w:r>
        <w:t xml:space="preserve"> CPCN.</w:t>
      </w:r>
    </w:p>
    <w:p w:rsidR="00481DE3" w:rsidRDefault="00481DE3" w:rsidP="00835E29">
      <w:pPr>
        <w:pStyle w:val="standard"/>
      </w:pPr>
      <w:r>
        <w:t xml:space="preserve">With all three options, the cure would be prospective, and the Commission would assess the appropriate penalties for prior </w:t>
      </w:r>
      <w:r w:rsidR="00625CC4">
        <w:t>noncompliance.</w:t>
      </w:r>
    </w:p>
    <w:p w:rsidR="006B5F34" w:rsidRDefault="00917F8D" w:rsidP="00A01C16">
      <w:pPr>
        <w:pStyle w:val="standard"/>
      </w:pPr>
      <w:r>
        <w:t xml:space="preserve">In response to the three options, the Applicants installed officers and a director, but objected to </w:t>
      </w:r>
      <w:r w:rsidR="00F9780A">
        <w:t>ceasing operations</w:t>
      </w:r>
      <w:r w:rsidR="00716C54">
        <w:t xml:space="preserve"> of Bandwidth.  Throughout the proceeding, Bandwidth consistently opposed th</w:t>
      </w:r>
      <w:r w:rsidR="00987232">
        <w:t>e suggestion that Bandwidth</w:t>
      </w:r>
      <w:r w:rsidR="00716C54">
        <w:t xml:space="preserve"> is providing telecommunications services,</w:t>
      </w:r>
      <w:r w:rsidR="00716C54">
        <w:rPr>
          <w:rStyle w:val="FootnoteReference"/>
        </w:rPr>
        <w:footnoteReference w:id="34"/>
      </w:r>
      <w:r w:rsidR="00716C54">
        <w:t xml:space="preserve"> </w:t>
      </w:r>
      <w:r w:rsidR="006D5C06">
        <w:t xml:space="preserve">and consistently </w:t>
      </w:r>
      <w:r w:rsidR="00EA4B86">
        <w:t>opposed</w:t>
      </w:r>
      <w:r w:rsidR="00716C54">
        <w:t xml:space="preserve"> Commission juris</w:t>
      </w:r>
      <w:r w:rsidR="00EA4B86">
        <w:t>diction for Bandwidth’s</w:t>
      </w:r>
      <w:r w:rsidR="00716C54">
        <w:t xml:space="preserve"> operations,</w:t>
      </w:r>
      <w:r w:rsidR="00716C54">
        <w:rPr>
          <w:rStyle w:val="FootnoteReference"/>
        </w:rPr>
        <w:footnoteReference w:id="35"/>
      </w:r>
      <w:r w:rsidR="00716C54">
        <w:t xml:space="preserve"> </w:t>
      </w:r>
      <w:r w:rsidR="006D5C06">
        <w:t xml:space="preserve">while </w:t>
      </w:r>
      <w:r w:rsidR="00716C54">
        <w:t xml:space="preserve">providing no evidence of either operational or managerial control of Bandwidth CLEC by </w:t>
      </w:r>
      <w:r w:rsidR="00A73B5D">
        <w:t xml:space="preserve">any </w:t>
      </w:r>
      <w:r w:rsidR="00716C54">
        <w:t xml:space="preserve">Bandwidth CLEC employees or officers. </w:t>
      </w:r>
      <w:r w:rsidR="00596C87">
        <w:t xml:space="preserve"> </w:t>
      </w:r>
    </w:p>
    <w:p w:rsidR="003523F0" w:rsidRDefault="001953A7" w:rsidP="007514B0">
      <w:pPr>
        <w:pStyle w:val="standard"/>
      </w:pPr>
      <w:r>
        <w:t>Bandwidth’s management and control of Band</w:t>
      </w:r>
      <w:r w:rsidR="00C11EC4">
        <w:t>width CLEC falls squarely within the definition of a “telephone corporation,” defin</w:t>
      </w:r>
      <w:r w:rsidR="00DF2623">
        <w:t>ed in Pub. Util. Code § </w:t>
      </w:r>
      <w:r w:rsidR="00C11EC4">
        <w:t xml:space="preserve">234 as “includ[ing] every corporation or person owning, controlling, operating, </w:t>
      </w:r>
      <w:r w:rsidR="00C11EC4">
        <w:lastRenderedPageBreak/>
        <w:t xml:space="preserve">or managing any telephone line for compensation </w:t>
      </w:r>
      <w:r w:rsidR="006E6CBC">
        <w:t>with</w:t>
      </w:r>
      <w:r w:rsidR="00C11EC4">
        <w:t xml:space="preserve">in this state.”  </w:t>
      </w:r>
      <w:r w:rsidR="00C72652" w:rsidRPr="005C2A3D">
        <w:t>Sinc</w:t>
      </w:r>
      <w:r w:rsidR="00CD20D9">
        <w:t>e Bandwidth expressed a continued</w:t>
      </w:r>
      <w:r w:rsidR="00C72652" w:rsidRPr="005C2A3D">
        <w:t xml:space="preserve"> desire to </w:t>
      </w:r>
      <w:r w:rsidR="00927233">
        <w:t>avoid direct</w:t>
      </w:r>
      <w:r w:rsidR="00790ABF">
        <w:t xml:space="preserve"> Commission</w:t>
      </w:r>
      <w:r w:rsidR="00C72652" w:rsidRPr="005C2A3D">
        <w:t xml:space="preserve"> jurisdiction</w:t>
      </w:r>
      <w:r w:rsidR="00C30722">
        <w:t xml:space="preserve"> throughout the course of this proceeding</w:t>
      </w:r>
      <w:r w:rsidR="007514B0">
        <w:t>, it is impossible for the Commission to satisfy itself that it</w:t>
      </w:r>
      <w:r w:rsidR="00C72652" w:rsidRPr="005C2A3D">
        <w:t xml:space="preserve"> would have sufficient ability to control Bandwidth’s behavior</w:t>
      </w:r>
      <w:r w:rsidR="007514B0">
        <w:t xml:space="preserve"> through the Commission</w:t>
      </w:r>
      <w:r w:rsidR="00F67F4E">
        <w:t>’</w:t>
      </w:r>
      <w:r w:rsidR="007514B0">
        <w:t>s</w:t>
      </w:r>
      <w:r w:rsidR="00F0796F">
        <w:t xml:space="preserve"> ability to lev</w:t>
      </w:r>
      <w:r w:rsidR="00C72652" w:rsidRPr="005C2A3D">
        <w:t>y fines or otherwise require compliance with our rules.</w:t>
      </w:r>
      <w:r w:rsidR="006B5F34">
        <w:t xml:space="preserve"> </w:t>
      </w:r>
      <w:r w:rsidR="005309BF">
        <w:t xml:space="preserve"> </w:t>
      </w:r>
      <w:r w:rsidR="00D74CCC">
        <w:t>There</w:t>
      </w:r>
      <w:r w:rsidR="009825F6">
        <w:t xml:space="preserve">fore, the </w:t>
      </w:r>
      <w:r w:rsidR="003523F0">
        <w:t xml:space="preserve">Commission cannot satisfy itself that </w:t>
      </w:r>
      <w:r w:rsidR="009825F6">
        <w:t>Applicants</w:t>
      </w:r>
      <w:r w:rsidR="00D74CCC">
        <w:t xml:space="preserve"> mee</w:t>
      </w:r>
      <w:r w:rsidR="00FE189A">
        <w:t xml:space="preserve">t the requirements of </w:t>
      </w:r>
      <w:r w:rsidR="00AE4919">
        <w:t xml:space="preserve">the third </w:t>
      </w:r>
      <w:r w:rsidR="00FE189A">
        <w:t>option</w:t>
      </w:r>
      <w:r w:rsidR="004226AD">
        <w:t xml:space="preserve">, which would allow Bandwidth CLEC to operate </w:t>
      </w:r>
      <w:r w:rsidR="00256647">
        <w:t>on a prospective basis</w:t>
      </w:r>
      <w:r w:rsidR="003523F0">
        <w:t>.</w:t>
      </w:r>
      <w:r w:rsidR="00AA4860">
        <w:t xml:space="preserve">  </w:t>
      </w:r>
      <w:r w:rsidR="00BB1825">
        <w:t xml:space="preserve">This is consistent with </w:t>
      </w:r>
      <w:r w:rsidR="00AA4860" w:rsidRPr="005C2A3D">
        <w:t>Commission</w:t>
      </w:r>
      <w:r w:rsidR="00474DE6">
        <w:t xml:space="preserve"> </w:t>
      </w:r>
      <w:r w:rsidR="00BB1825">
        <w:t>precedent</w:t>
      </w:r>
      <w:r w:rsidR="00474DE6">
        <w:t xml:space="preserve"> wherein the </w:t>
      </w:r>
      <w:r w:rsidR="00AA4860" w:rsidRPr="005C2A3D">
        <w:t>management team’s prior deference to Commission jurisdiction</w:t>
      </w:r>
      <w:r w:rsidR="00D95C3C">
        <w:t xml:space="preserve"> was a consideration of </w:t>
      </w:r>
      <w:r w:rsidR="00F61393">
        <w:t xml:space="preserve">CPCN </w:t>
      </w:r>
      <w:r w:rsidR="006B3B4F">
        <w:t xml:space="preserve">application </w:t>
      </w:r>
      <w:r w:rsidR="00F61393">
        <w:t>review</w:t>
      </w:r>
      <w:r w:rsidR="00AA4860" w:rsidRPr="005C2A3D">
        <w:t>.</w:t>
      </w:r>
      <w:r w:rsidR="00AA4860" w:rsidRPr="005C2A3D">
        <w:rPr>
          <w:rStyle w:val="FootnoteReference"/>
        </w:rPr>
        <w:footnoteReference w:id="36"/>
      </w:r>
    </w:p>
    <w:p w:rsidR="00BE2496" w:rsidRDefault="00D700D7" w:rsidP="00B90283">
      <w:pPr>
        <w:pStyle w:val="standard"/>
      </w:pPr>
      <w:r>
        <w:t xml:space="preserve">The </w:t>
      </w:r>
      <w:r w:rsidR="00775091">
        <w:t xml:space="preserve">Joint Applicants declined to amend the application when asked to do so in the </w:t>
      </w:r>
      <w:r w:rsidR="00775091" w:rsidRPr="00B73248">
        <w:rPr>
          <w:i/>
        </w:rPr>
        <w:t>ALJ Ruling</w:t>
      </w:r>
      <w:r w:rsidR="00775091">
        <w:t xml:space="preserve">. </w:t>
      </w:r>
      <w:r w:rsidR="00F67F4E">
        <w:t xml:space="preserve"> </w:t>
      </w:r>
      <w:r w:rsidR="00964A63">
        <w:t>Therefore, the Commission is unable to consider</w:t>
      </w:r>
      <w:r w:rsidR="008844CC">
        <w:t xml:space="preserve"> a grant of authority to </w:t>
      </w:r>
      <w:r w:rsidR="00964A63">
        <w:t xml:space="preserve">Bandwidth </w:t>
      </w:r>
      <w:r w:rsidR="009F096E">
        <w:t xml:space="preserve">under </w:t>
      </w:r>
      <w:r w:rsidR="006B76A4">
        <w:t xml:space="preserve">the first </w:t>
      </w:r>
      <w:r w:rsidR="009F096E">
        <w:t>option</w:t>
      </w:r>
      <w:r w:rsidR="00BE2496">
        <w:t>.</w:t>
      </w:r>
    </w:p>
    <w:p w:rsidR="005F0C7F" w:rsidRDefault="00A34BF0" w:rsidP="00B90283">
      <w:pPr>
        <w:pStyle w:val="standard"/>
      </w:pPr>
      <w:r>
        <w:t>Consequently, t</w:t>
      </w:r>
      <w:r w:rsidR="00750591">
        <w:t>he Commiss</w:t>
      </w:r>
      <w:r w:rsidR="00F32B7E">
        <w:t xml:space="preserve">ion </w:t>
      </w:r>
      <w:r w:rsidR="00750591">
        <w:t>revoke</w:t>
      </w:r>
      <w:r w:rsidR="00F32B7E">
        <w:t>s</w:t>
      </w:r>
      <w:r w:rsidR="00750591">
        <w:t xml:space="preserve"> Bandwidth CLEC’s CPCN as void </w:t>
      </w:r>
      <w:r w:rsidR="00E33272">
        <w:t xml:space="preserve">for failure to </w:t>
      </w:r>
      <w:r w:rsidR="007D26A9">
        <w:t>operate within one year of its CPCN</w:t>
      </w:r>
      <w:r w:rsidR="00C83631">
        <w:t xml:space="preserve">. </w:t>
      </w:r>
      <w:r w:rsidR="00E33272">
        <w:t xml:space="preserve"> </w:t>
      </w:r>
      <w:r w:rsidR="00C83631">
        <w:t>A</w:t>
      </w:r>
      <w:r w:rsidR="007D3951">
        <w:t xml:space="preserve">s discussed with the Joint Applicants </w:t>
      </w:r>
      <w:r w:rsidR="009F096E">
        <w:t xml:space="preserve">under </w:t>
      </w:r>
      <w:r w:rsidR="007312D1">
        <w:t xml:space="preserve">the second </w:t>
      </w:r>
      <w:r w:rsidR="009F096E">
        <w:t>option</w:t>
      </w:r>
      <w:r w:rsidR="00163032">
        <w:t xml:space="preserve"> </w:t>
      </w:r>
      <w:r w:rsidR="007D3951">
        <w:t xml:space="preserve">during the </w:t>
      </w:r>
      <w:r w:rsidR="003A183F">
        <w:t>March 30, 2018 status c</w:t>
      </w:r>
      <w:r w:rsidR="007D3951">
        <w:t>on</w:t>
      </w:r>
      <w:r w:rsidR="00D76439">
        <w:t xml:space="preserve">ference and subsequent </w:t>
      </w:r>
      <w:r w:rsidR="00D76439" w:rsidRPr="00B73248">
        <w:rPr>
          <w:i/>
        </w:rPr>
        <w:t>ALJ Ruling</w:t>
      </w:r>
      <w:r w:rsidR="00EA45A9">
        <w:t>,</w:t>
      </w:r>
      <w:r w:rsidR="007D26A9">
        <w:t xml:space="preserve"> Bandwidth may apply for a CPCN </w:t>
      </w:r>
      <w:r w:rsidR="001A103C">
        <w:t xml:space="preserve">to provide telecommunications services in California </w:t>
      </w:r>
      <w:r w:rsidR="00A326A7">
        <w:t>by a future Application</w:t>
      </w:r>
      <w:r w:rsidR="00A02703">
        <w:t>.</w:t>
      </w:r>
    </w:p>
    <w:p w:rsidR="00324424" w:rsidRDefault="006A0974" w:rsidP="00B90283">
      <w:pPr>
        <w:pStyle w:val="standard"/>
      </w:pPr>
      <w:r>
        <w:t>If Bandwidth applies for a CPCN within 90 days of the date of th</w:t>
      </w:r>
      <w:r w:rsidR="000E0808">
        <w:t>is</w:t>
      </w:r>
      <w:r>
        <w:t xml:space="preserve"> decision, the CPCN granted to Bandwidth CLEC in Decision 07-09-035 will remain in effect during the pendency of Bandwidth’s application.  In this case, a separate application for a transfer of control is not required.</w:t>
      </w:r>
    </w:p>
    <w:p w:rsidR="007A56DF" w:rsidRPr="00835E29" w:rsidRDefault="00811BCA" w:rsidP="004F2ED7">
      <w:pPr>
        <w:pStyle w:val="Heading2"/>
        <w:rPr>
          <w:i/>
        </w:rPr>
      </w:pPr>
      <w:bookmarkStart w:id="13" w:name="_Toc520204959"/>
      <w:r w:rsidRPr="00835E29">
        <w:lastRenderedPageBreak/>
        <w:t>4.2</w:t>
      </w:r>
      <w:r w:rsidR="00835E29">
        <w:t>.</w:t>
      </w:r>
      <w:r w:rsidR="00835E29">
        <w:tab/>
      </w:r>
      <w:r w:rsidR="00934F0D" w:rsidRPr="00835E29">
        <w:t>Lack</w:t>
      </w:r>
      <w:r w:rsidR="00FD2581" w:rsidRPr="00835E29">
        <w:t xml:space="preserve"> of</w:t>
      </w:r>
      <w:r w:rsidR="00C85E23" w:rsidRPr="00835E29">
        <w:t xml:space="preserve"> </w:t>
      </w:r>
      <w:r w:rsidR="00394279" w:rsidRPr="00835E29">
        <w:t>C</w:t>
      </w:r>
      <w:r w:rsidR="00E96E61" w:rsidRPr="00835E29">
        <w:t>andor in</w:t>
      </w:r>
      <w:r w:rsidR="0031202B" w:rsidRPr="00835E29">
        <w:t xml:space="preserve"> Application</w:t>
      </w:r>
      <w:r w:rsidR="004B08A1" w:rsidRPr="00835E29">
        <w:t xml:space="preserve"> </w:t>
      </w:r>
      <w:r w:rsidR="005A7655">
        <w:t>0</w:t>
      </w:r>
      <w:r w:rsidR="004B08A1" w:rsidRPr="00835E29">
        <w:t>7-03-020</w:t>
      </w:r>
      <w:bookmarkEnd w:id="13"/>
    </w:p>
    <w:p w:rsidR="00230B56" w:rsidRDefault="00230B56" w:rsidP="00E9102D">
      <w:pPr>
        <w:pStyle w:val="standard"/>
      </w:pPr>
      <w:r>
        <w:t xml:space="preserve">To be granted authority to provide local exchange and interexchange services, an </w:t>
      </w:r>
      <w:r w:rsidRPr="00DA776C">
        <w:rPr>
          <w:i/>
        </w:rPr>
        <w:t>applicant</w:t>
      </w:r>
      <w:r>
        <w:t xml:space="preserve"> must make a reasonable showing of managerial and technical expertise in telecommunications or a related business.</w:t>
      </w:r>
      <w:r w:rsidR="00046904">
        <w:rPr>
          <w:rStyle w:val="FootnoteReference"/>
        </w:rPr>
        <w:footnoteReference w:id="37"/>
      </w:r>
      <w:r>
        <w:t xml:space="preserve"> </w:t>
      </w:r>
      <w:r w:rsidR="00B2376F">
        <w:t xml:space="preserve"> </w:t>
      </w:r>
      <w:r w:rsidR="00A91F5F">
        <w:t xml:space="preserve">The requirements are “explicitly” for the </w:t>
      </w:r>
      <w:r w:rsidR="00EA23C2">
        <w:t>a</w:t>
      </w:r>
      <w:r w:rsidR="00A91F5F">
        <w:t>pplicant</w:t>
      </w:r>
      <w:r w:rsidR="00B2376F">
        <w:t xml:space="preserve"> a</w:t>
      </w:r>
      <w:r w:rsidR="00EA23C2">
        <w:t>nd the a</w:t>
      </w:r>
      <w:r w:rsidR="00E90519">
        <w:t xml:space="preserve">pplicant has a duty of candor </w:t>
      </w:r>
      <w:r w:rsidR="00F64045">
        <w:t xml:space="preserve">pursuant to Rule 1.1 </w:t>
      </w:r>
      <w:r w:rsidR="00E90519">
        <w:t>to explain the</w:t>
      </w:r>
      <w:r w:rsidR="00B2376F">
        <w:t xml:space="preserve"> manageri</w:t>
      </w:r>
      <w:r w:rsidR="00E90519">
        <w:t>al expertise</w:t>
      </w:r>
      <w:r w:rsidR="001D725F">
        <w:t xml:space="preserve"> of the Applicant</w:t>
      </w:r>
      <w:r w:rsidR="008A72EE">
        <w:t>.</w:t>
      </w:r>
      <w:r w:rsidR="00E90519">
        <w:t xml:space="preserve"> </w:t>
      </w:r>
      <w:r w:rsidR="00FC4FCC">
        <w:t xml:space="preserve"> </w:t>
      </w:r>
      <w:r w:rsidR="00E90519">
        <w:t>In this case, the managerial expertise of Bandwidth CLEC was none, as there were no officers or directors of Bandwidth CLEC.</w:t>
      </w:r>
    </w:p>
    <w:p w:rsidR="00E9102D" w:rsidRDefault="00E9102D" w:rsidP="00E9102D">
      <w:pPr>
        <w:pStyle w:val="standard"/>
      </w:pPr>
      <w:r>
        <w:t>However, review of the Appli</w:t>
      </w:r>
      <w:r w:rsidR="000D7B6D">
        <w:t>cation shows that Bandwidth CLEC was</w:t>
      </w:r>
      <w:r>
        <w:t xml:space="preserve"> not candid with regard to the officers and directors in </w:t>
      </w:r>
      <w:r w:rsidR="00CE4C5E">
        <w:t>its</w:t>
      </w:r>
      <w:r>
        <w:t xml:space="preserve"> Application, which listed Bandwidth’s officers and directors as Bandwidth CLEC’s. </w:t>
      </w:r>
    </w:p>
    <w:p w:rsidR="00E9102D" w:rsidRDefault="00E9102D" w:rsidP="00DF2623">
      <w:pPr>
        <w:pStyle w:val="standard"/>
      </w:pPr>
      <w:r>
        <w:t>A</w:t>
      </w:r>
      <w:r w:rsidR="00227B34">
        <w:t>pplication (A.</w:t>
      </w:r>
      <w:r w:rsidR="005A7655">
        <w:t>0</w:t>
      </w:r>
      <w:r w:rsidR="00227B34">
        <w:t xml:space="preserve">7-03-020), </w:t>
      </w:r>
      <w:r>
        <w:t xml:space="preserve">stated:  </w:t>
      </w:r>
    </w:p>
    <w:p w:rsidR="00E9102D" w:rsidRPr="009A4B6A" w:rsidRDefault="00E9102D" w:rsidP="006A1956">
      <w:pPr>
        <w:pStyle w:val="Quote"/>
      </w:pPr>
      <w:r w:rsidRPr="009A4B6A">
        <w:t xml:space="preserve">Applicant’s management team possesses extensive managerial, financial, and technical experience in the telecommunications industry.  The senior officers and management directors responsible for Applicant’s California operations are: </w:t>
      </w:r>
    </w:p>
    <w:p w:rsidR="00E9102D" w:rsidRDefault="00E9102D" w:rsidP="00835E29">
      <w:pPr>
        <w:pStyle w:val="standard"/>
        <w:spacing w:after="120" w:line="240" w:lineRule="auto"/>
        <w:ind w:left="720" w:right="1440" w:firstLine="0"/>
      </w:pPr>
      <w:r>
        <w:t>Officers: []</w:t>
      </w:r>
    </w:p>
    <w:p w:rsidR="00E9102D" w:rsidRDefault="00E9102D" w:rsidP="00835E29">
      <w:pPr>
        <w:pStyle w:val="standard"/>
        <w:spacing w:after="120" w:line="240" w:lineRule="auto"/>
        <w:ind w:left="720" w:right="1440" w:firstLine="0"/>
      </w:pPr>
      <w:r>
        <w:t>Directors: []</w:t>
      </w:r>
    </w:p>
    <w:p w:rsidR="00E9102D" w:rsidRDefault="00E9102D" w:rsidP="00835E29">
      <w:pPr>
        <w:pStyle w:val="standard"/>
        <w:spacing w:after="120" w:line="240" w:lineRule="auto"/>
        <w:ind w:left="720" w:right="1440" w:firstLine="0"/>
      </w:pPr>
      <w:r>
        <w:t xml:space="preserve">All Officers and Directors may be contacted at the Applicant’s offices at:[] </w:t>
      </w:r>
    </w:p>
    <w:p w:rsidR="00E9102D" w:rsidRDefault="00E9102D" w:rsidP="00835E29">
      <w:pPr>
        <w:pStyle w:val="standard"/>
        <w:spacing w:after="120" w:line="240" w:lineRule="auto"/>
        <w:ind w:left="720" w:right="1440" w:firstLine="0"/>
      </w:pPr>
      <w:r>
        <w:t>Resumes of [Bandwidth CLEC]’s</w:t>
      </w:r>
      <w:r w:rsidRPr="00F349C9">
        <w:rPr>
          <w:rStyle w:val="FootnoteReference"/>
        </w:rPr>
        <w:t xml:space="preserve"> </w:t>
      </w:r>
      <w:r>
        <w:rPr>
          <w:rStyle w:val="FootnoteReference"/>
        </w:rPr>
        <w:footnoteReference w:id="38"/>
      </w:r>
      <w:r>
        <w:t xml:space="preserve"> key personnel are attached as Exhibit 4.</w:t>
      </w:r>
      <w:r>
        <w:rPr>
          <w:rStyle w:val="FootnoteReference"/>
        </w:rPr>
        <w:footnoteReference w:id="39"/>
      </w:r>
      <w:r w:rsidR="009C75D1">
        <w:t xml:space="preserve">   </w:t>
      </w:r>
    </w:p>
    <w:p w:rsidR="00F1210E" w:rsidRDefault="00246A4C" w:rsidP="0072765D">
      <w:pPr>
        <w:pStyle w:val="standard"/>
      </w:pPr>
      <w:r>
        <w:lastRenderedPageBreak/>
        <w:t>The Commission relied on Bandwidth CLEC’s representations to authorize the CPCN.  Under Technical Qualifications, D.07-09-035 states that “Applicant submitted biographical information on its officers that demonstrates that it possesses sufficient experience and knowledge to operate as a telecommunications provider.”</w:t>
      </w:r>
      <w:r>
        <w:rPr>
          <w:rStyle w:val="FootnoteReference"/>
        </w:rPr>
        <w:footnoteReference w:id="40"/>
      </w:r>
      <w:r w:rsidR="00905ADC">
        <w:t xml:space="preserve">  </w:t>
      </w:r>
    </w:p>
    <w:p w:rsidR="0051551B" w:rsidRDefault="00284985" w:rsidP="007757CD">
      <w:pPr>
        <w:pStyle w:val="standard"/>
      </w:pPr>
      <w:r>
        <w:t xml:space="preserve">In response, </w:t>
      </w:r>
      <w:r w:rsidR="00DB51D8">
        <w:t>the Joint Applicants</w:t>
      </w:r>
      <w:r w:rsidR="00CD2EE1">
        <w:t xml:space="preserve"> state that their representation of Bandwidth’s officers and directors as those of </w:t>
      </w:r>
      <w:r w:rsidR="00015656">
        <w:t>B</w:t>
      </w:r>
      <w:r w:rsidR="00CD2EE1">
        <w:t xml:space="preserve">andwidth CLEC is </w:t>
      </w:r>
      <w:r w:rsidR="000151D3">
        <w:t>a commonly accepted practice,</w:t>
      </w:r>
      <w:r w:rsidR="00CD2EE1">
        <w:t xml:space="preserve"> that Bandwidth’s corporate structure is </w:t>
      </w:r>
      <w:r w:rsidR="00E23624">
        <w:t xml:space="preserve">a </w:t>
      </w:r>
      <w:r w:rsidR="00CD2EE1">
        <w:t>generally accepted form for CPC</w:t>
      </w:r>
      <w:r w:rsidR="008B7D27">
        <w:t>N holders</w:t>
      </w:r>
      <w:r w:rsidR="00483FFC">
        <w:t>,</w:t>
      </w:r>
      <w:r w:rsidR="00CD2EE1">
        <w:rPr>
          <w:rStyle w:val="FootnoteReference"/>
        </w:rPr>
        <w:footnoteReference w:id="41"/>
      </w:r>
      <w:r w:rsidR="00483FFC">
        <w:t xml:space="preserve"> and that corporate officers and directors are not required for CPCN holders.</w:t>
      </w:r>
      <w:r w:rsidR="00483FFC">
        <w:rPr>
          <w:rStyle w:val="FootnoteReference"/>
        </w:rPr>
        <w:footnoteReference w:id="42"/>
      </w:r>
      <w:r w:rsidR="007757CD">
        <w:t xml:space="preserve">  </w:t>
      </w:r>
    </w:p>
    <w:p w:rsidR="00CB68A5" w:rsidRDefault="00DF6693" w:rsidP="00123A2C">
      <w:pPr>
        <w:pStyle w:val="standard"/>
      </w:pPr>
      <w:r>
        <w:t>C</w:t>
      </w:r>
      <w:r w:rsidR="0072765D">
        <w:t>orporate officers</w:t>
      </w:r>
      <w:r w:rsidR="00496C9C">
        <w:t>, however,</w:t>
      </w:r>
      <w:r w:rsidR="00AB3880">
        <w:t xml:space="preserve"> are</w:t>
      </w:r>
      <w:r w:rsidR="00EF19DD">
        <w:t xml:space="preserve"> </w:t>
      </w:r>
      <w:r w:rsidR="0072765D">
        <w:t xml:space="preserve">required to fulfill </w:t>
      </w:r>
      <w:r w:rsidR="009C53E3">
        <w:t xml:space="preserve">Bandwidth CLEC’s </w:t>
      </w:r>
      <w:r w:rsidR="001835A8">
        <w:t xml:space="preserve">obligations under the grant of a CPCN in D.07-09-035.  </w:t>
      </w:r>
      <w:r w:rsidR="00761F6E">
        <w:t>For example, a</w:t>
      </w:r>
      <w:r w:rsidR="00640D6D">
        <w:t>ll annual affiliate transaction reports must be signed by a corporate officer of the utility under penalty of perjury.</w:t>
      </w:r>
      <w:r w:rsidR="00640D6D">
        <w:rPr>
          <w:rStyle w:val="FootnoteReference"/>
        </w:rPr>
        <w:footnoteReference w:id="43"/>
      </w:r>
      <w:r w:rsidR="00B15134">
        <w:t xml:space="preserve">  The Commission’</w:t>
      </w:r>
      <w:r w:rsidR="007E36B4">
        <w:t xml:space="preserve">s </w:t>
      </w:r>
      <w:r w:rsidR="00DC16BA">
        <w:t>requirements under D.07-09-035, and other orders approving individual CPCNs, are</w:t>
      </w:r>
      <w:r w:rsidR="00B15134">
        <w:t xml:space="preserve"> consistent with D.95-12-056, </w:t>
      </w:r>
      <w:r w:rsidR="00DC16BA">
        <w:t>wherein the Commission required applicants to</w:t>
      </w:r>
      <w:r w:rsidR="00B15134">
        <w:t xml:space="preserve"> </w:t>
      </w:r>
      <w:r w:rsidR="00DC16BA">
        <w:t>“</w:t>
      </w:r>
      <w:r w:rsidR="00B15134">
        <w:t xml:space="preserve">possesses the requisite managerial qualification, financial resources, and technical competence to provide local exchange telecommunications services.”  </w:t>
      </w:r>
      <w:r w:rsidR="00CB68A5">
        <w:t>The Commission reaffirmed the requirement for CPCN holders to have office</w:t>
      </w:r>
      <w:r w:rsidR="00466DE9">
        <w:t>rs</w:t>
      </w:r>
      <w:r w:rsidR="00CB68A5">
        <w:t xml:space="preserve"> by requiring </w:t>
      </w:r>
      <w:r w:rsidR="00CB68A5">
        <w:lastRenderedPageBreak/>
        <w:t>applicants, and not to their subsidiaries or parent corporations</w:t>
      </w:r>
      <w:r w:rsidR="000462B3">
        <w:t>,</w:t>
      </w:r>
      <w:r w:rsidR="00CB68A5">
        <w:t xml:space="preserve"> to provide resumes of </w:t>
      </w:r>
      <w:r w:rsidR="000462B3">
        <w:t>its key management and technical personnel in</w:t>
      </w:r>
      <w:r w:rsidR="00CB68A5">
        <w:t xml:space="preserve"> D.13-05-035</w:t>
      </w:r>
      <w:r w:rsidR="000462B3">
        <w:t>.</w:t>
      </w:r>
      <w:r w:rsidR="00CB68A5">
        <w:rPr>
          <w:rStyle w:val="FootnoteReference"/>
        </w:rPr>
        <w:footnoteReference w:id="44"/>
      </w:r>
    </w:p>
    <w:p w:rsidR="00F1780C" w:rsidRPr="00E456DD" w:rsidRDefault="00540709" w:rsidP="00E456DD">
      <w:pPr>
        <w:pStyle w:val="standard"/>
      </w:pPr>
      <w:r>
        <w:t>The corporate structure and identity</w:t>
      </w:r>
      <w:r w:rsidR="00FA73A4">
        <w:t xml:space="preserve"> of</w:t>
      </w:r>
      <w:r w:rsidR="00AD5C98">
        <w:t xml:space="preserve"> management</w:t>
      </w:r>
      <w:r w:rsidR="00DB5494">
        <w:t xml:space="preserve"> are</w:t>
      </w:r>
      <w:r>
        <w:t xml:space="preserve"> material consideration</w:t>
      </w:r>
      <w:r w:rsidR="00DB5494">
        <w:t>s</w:t>
      </w:r>
      <w:r>
        <w:t xml:space="preserve"> when granting a </w:t>
      </w:r>
      <w:r w:rsidR="00C14F74">
        <w:t xml:space="preserve">CPCN </w:t>
      </w:r>
      <w:r w:rsidR="00AB6C2D">
        <w:t>or an authorization for transfer of control</w:t>
      </w:r>
      <w:r w:rsidR="00367ECB">
        <w:t>.</w:t>
      </w:r>
      <w:r w:rsidR="00AD3582">
        <w:t xml:space="preserve"> </w:t>
      </w:r>
      <w:r w:rsidR="002570FE">
        <w:t xml:space="preserve"> </w:t>
      </w:r>
      <w:r w:rsidR="00A1437B">
        <w:t>This D</w:t>
      </w:r>
      <w:r w:rsidR="003C5766">
        <w:t>ecision hig</w:t>
      </w:r>
      <w:r w:rsidR="007B6F49">
        <w:t>h</w:t>
      </w:r>
      <w:r w:rsidR="003C5766">
        <w:t xml:space="preserve">lights the need and duty of Applicants for </w:t>
      </w:r>
      <w:r w:rsidR="007341F7">
        <w:t>candor in all dealings</w:t>
      </w:r>
      <w:r w:rsidR="002570FE">
        <w:t xml:space="preserve"> </w:t>
      </w:r>
      <w:r w:rsidR="00AD3582">
        <w:t>before the Commission pursuant to Rule 1.1.  The regulatory compact necessitates full and complete disclosure to this Commission so that it may render both informed and uniform decisions.</w:t>
      </w:r>
      <w:r w:rsidR="00AD3582">
        <w:rPr>
          <w:rStyle w:val="FootnoteReference"/>
        </w:rPr>
        <w:footnoteReference w:id="45"/>
      </w:r>
    </w:p>
    <w:p w:rsidR="00067D1B" w:rsidRPr="00E456DD" w:rsidRDefault="00AE57A3" w:rsidP="00E456DD">
      <w:pPr>
        <w:pStyle w:val="Heading1"/>
      </w:pPr>
      <w:bookmarkStart w:id="14" w:name="_Toc520204960"/>
      <w:r>
        <w:t>5</w:t>
      </w:r>
      <w:r w:rsidR="008B4F9F" w:rsidRPr="00067D1B">
        <w:t>.</w:t>
      </w:r>
      <w:r w:rsidR="00835E29">
        <w:tab/>
      </w:r>
      <w:r w:rsidR="00A470B1" w:rsidRPr="00067D1B">
        <w:t xml:space="preserve">Imposition of </w:t>
      </w:r>
      <w:r w:rsidR="00E134EC">
        <w:t>Fine</w:t>
      </w:r>
      <w:r w:rsidR="00BC1F47" w:rsidRPr="00067D1B">
        <w:t xml:space="preserve"> Pursuant to </w:t>
      </w:r>
      <w:r w:rsidR="005307BD">
        <w:t>Section 2107</w:t>
      </w:r>
      <w:bookmarkEnd w:id="14"/>
    </w:p>
    <w:p w:rsidR="00067D1B" w:rsidRDefault="005307BD" w:rsidP="00067D1B">
      <w:pPr>
        <w:pStyle w:val="standard"/>
      </w:pPr>
      <w:r>
        <w:t>Under Pub. Util.</w:t>
      </w:r>
      <w:r w:rsidR="00067D1B">
        <w:t xml:space="preserve"> Code </w:t>
      </w:r>
      <w:r>
        <w:t>§</w:t>
      </w:r>
      <w:r w:rsidR="00067D1B">
        <w:t xml:space="preserve"> 2107,</w:t>
      </w:r>
    </w:p>
    <w:p w:rsidR="00067D1B" w:rsidRPr="003145AD" w:rsidRDefault="00067D1B" w:rsidP="006A1956">
      <w:pPr>
        <w:pStyle w:val="Quote"/>
      </w:pPr>
      <w:r w:rsidRPr="00607720">
        <w:t>Any public utility that violates or fails to comply with any provision of the Constitution of this state or of this part, or that fails or neglects to comply with any part or provision of any order, decision, decree, rule, direction, demand, or requirement of the commission, in a case in which a penalty has not otherwise been provided, is subject to a penalty of not less than five hundred dollars ($500), nor more than fifty thousand dollars ($50,000) for each offense.</w:t>
      </w:r>
    </w:p>
    <w:p w:rsidR="00067D1B" w:rsidRPr="002160B6" w:rsidRDefault="006154D7" w:rsidP="002160B6">
      <w:pPr>
        <w:autoSpaceDE w:val="0"/>
        <w:autoSpaceDN w:val="0"/>
        <w:adjustRightInd w:val="0"/>
        <w:spacing w:line="360" w:lineRule="auto"/>
        <w:ind w:firstLine="720"/>
        <w:rPr>
          <w:rFonts w:cs="Arial"/>
          <w:color w:val="000000"/>
          <w:szCs w:val="26"/>
        </w:rPr>
      </w:pPr>
      <w:r w:rsidRPr="00067D1B">
        <w:rPr>
          <w:rFonts w:cs="Arial"/>
          <w:color w:val="000000"/>
          <w:szCs w:val="26"/>
        </w:rPr>
        <w:t xml:space="preserve">Bandwidth failed to be forthcoming </w:t>
      </w:r>
      <w:r w:rsidR="007021F1">
        <w:rPr>
          <w:rFonts w:cs="Arial"/>
          <w:color w:val="000000"/>
          <w:szCs w:val="26"/>
        </w:rPr>
        <w:t xml:space="preserve">with regard to its management structure </w:t>
      </w:r>
      <w:r w:rsidR="00371AD9">
        <w:rPr>
          <w:rFonts w:cs="Arial"/>
          <w:color w:val="000000"/>
          <w:szCs w:val="26"/>
        </w:rPr>
        <w:t xml:space="preserve">in </w:t>
      </w:r>
      <w:r w:rsidR="00A849BE">
        <w:rPr>
          <w:rFonts w:cs="Arial"/>
          <w:color w:val="000000"/>
          <w:szCs w:val="26"/>
        </w:rPr>
        <w:t>A.</w:t>
      </w:r>
      <w:r w:rsidR="00371AD9">
        <w:rPr>
          <w:rFonts w:cs="Arial"/>
          <w:color w:val="000000"/>
          <w:szCs w:val="26"/>
        </w:rPr>
        <w:t>07-03-020</w:t>
      </w:r>
      <w:r w:rsidRPr="00067D1B">
        <w:rPr>
          <w:rFonts w:cs="Arial"/>
          <w:color w:val="000000"/>
          <w:szCs w:val="26"/>
        </w:rPr>
        <w:t>, a</w:t>
      </w:r>
      <w:r w:rsidR="00A23027">
        <w:rPr>
          <w:rFonts w:cs="Arial"/>
          <w:color w:val="000000"/>
          <w:szCs w:val="26"/>
        </w:rPr>
        <w:t>nd</w:t>
      </w:r>
      <w:r w:rsidRPr="00067D1B">
        <w:rPr>
          <w:rFonts w:cs="Arial"/>
          <w:color w:val="000000"/>
          <w:szCs w:val="26"/>
        </w:rPr>
        <w:t xml:space="preserve"> operate</w:t>
      </w:r>
      <w:r w:rsidR="00A23027">
        <w:rPr>
          <w:rFonts w:cs="Arial"/>
          <w:color w:val="000000"/>
          <w:szCs w:val="26"/>
        </w:rPr>
        <w:t>d and managed</w:t>
      </w:r>
      <w:r w:rsidRPr="00067D1B">
        <w:rPr>
          <w:rFonts w:cs="Arial"/>
          <w:color w:val="000000"/>
          <w:szCs w:val="26"/>
        </w:rPr>
        <w:t xml:space="preserve"> Bandwidth CLEC’s operations without the transfer of </w:t>
      </w:r>
      <w:r w:rsidR="00A41631">
        <w:rPr>
          <w:rFonts w:cs="Arial"/>
          <w:color w:val="000000"/>
          <w:szCs w:val="26"/>
        </w:rPr>
        <w:t>control</w:t>
      </w:r>
      <w:r w:rsidRPr="00067D1B">
        <w:rPr>
          <w:rFonts w:cs="Arial"/>
          <w:color w:val="000000"/>
          <w:szCs w:val="26"/>
        </w:rPr>
        <w:t xml:space="preserve"> required under Pub. Util</w:t>
      </w:r>
      <w:r w:rsidR="00BD00C1" w:rsidRPr="00067D1B">
        <w:rPr>
          <w:rFonts w:cs="Arial"/>
          <w:color w:val="000000"/>
          <w:szCs w:val="26"/>
        </w:rPr>
        <w:t>.</w:t>
      </w:r>
      <w:r w:rsidRPr="00067D1B">
        <w:rPr>
          <w:rFonts w:cs="Arial"/>
          <w:color w:val="000000"/>
          <w:szCs w:val="26"/>
        </w:rPr>
        <w:t xml:space="preserve"> Code </w:t>
      </w:r>
      <w:r w:rsidRPr="00067D1B">
        <w:rPr>
          <w:rFonts w:cs="Arial"/>
          <w:color w:val="000000"/>
          <w:szCs w:val="26"/>
        </w:rPr>
        <w:lastRenderedPageBreak/>
        <w:t>§</w:t>
      </w:r>
      <w:r w:rsidR="00DF2623">
        <w:rPr>
          <w:rFonts w:cs="Arial"/>
          <w:color w:val="000000"/>
          <w:szCs w:val="26"/>
        </w:rPr>
        <w:t> </w:t>
      </w:r>
      <w:r w:rsidRPr="00067D1B">
        <w:rPr>
          <w:rFonts w:cs="Arial"/>
          <w:color w:val="000000"/>
          <w:szCs w:val="26"/>
        </w:rPr>
        <w:t>854</w:t>
      </w:r>
      <w:r w:rsidR="00664B17">
        <w:rPr>
          <w:rFonts w:cs="Arial"/>
          <w:color w:val="000000"/>
          <w:szCs w:val="26"/>
        </w:rPr>
        <w:t>(a)</w:t>
      </w:r>
      <w:r w:rsidRPr="00067D1B">
        <w:rPr>
          <w:rFonts w:cs="Arial"/>
          <w:color w:val="000000"/>
          <w:szCs w:val="26"/>
        </w:rPr>
        <w:t xml:space="preserve">. </w:t>
      </w:r>
      <w:r w:rsidR="00F966F7">
        <w:rPr>
          <w:rFonts w:cs="Arial"/>
          <w:color w:val="000000"/>
          <w:szCs w:val="26"/>
        </w:rPr>
        <w:t xml:space="preserve"> </w:t>
      </w:r>
      <w:r w:rsidR="004D410C" w:rsidRPr="00067D1B">
        <w:rPr>
          <w:rFonts w:cs="Arial"/>
          <w:color w:val="000000"/>
          <w:szCs w:val="26"/>
        </w:rPr>
        <w:t>Therefore, it is appropriate to im</w:t>
      </w:r>
      <w:r w:rsidR="001C315A">
        <w:rPr>
          <w:rFonts w:cs="Arial"/>
          <w:color w:val="000000"/>
          <w:szCs w:val="26"/>
        </w:rPr>
        <w:t>pose a fine pursuant to Pub. Util. Code §</w:t>
      </w:r>
      <w:r w:rsidR="00CA1E8D">
        <w:rPr>
          <w:rFonts w:cs="Arial"/>
          <w:color w:val="000000"/>
          <w:szCs w:val="26"/>
        </w:rPr>
        <w:t xml:space="preserve"> 2107.  </w:t>
      </w:r>
      <w:r w:rsidR="00067D1B">
        <w:t>D.98-12-075 sets forth the criteria to be considered when imposing a fine upon a utility</w:t>
      </w:r>
      <w:r w:rsidR="003A26E5">
        <w:t>, including 1) the severity of the offense, 2) the conduct of the utility</w:t>
      </w:r>
      <w:r w:rsidR="00C061C0">
        <w:t>,</w:t>
      </w:r>
      <w:r w:rsidR="003A26E5">
        <w:t xml:space="preserve"> 3) totality of the circumstances</w:t>
      </w:r>
      <w:r w:rsidR="00C061C0">
        <w:t>,</w:t>
      </w:r>
      <w:r w:rsidR="003A26E5">
        <w:t xml:space="preserve"> 4) financial resource</w:t>
      </w:r>
      <w:r w:rsidR="00024F5C">
        <w:t>s of the utility</w:t>
      </w:r>
      <w:r w:rsidR="003A26E5">
        <w:t xml:space="preserve"> and</w:t>
      </w:r>
      <w:r w:rsidR="009A4B6A">
        <w:t xml:space="preserve"> </w:t>
      </w:r>
      <w:r w:rsidR="00DF2623">
        <w:t>5) </w:t>
      </w:r>
      <w:r w:rsidR="003A26E5">
        <w:t>the role precedent</w:t>
      </w:r>
      <w:r w:rsidR="00067D1B">
        <w:t>.</w:t>
      </w:r>
      <w:r w:rsidR="00067D1B">
        <w:rPr>
          <w:rStyle w:val="FootnoteReference"/>
        </w:rPr>
        <w:footnoteReference w:id="46"/>
      </w:r>
    </w:p>
    <w:p w:rsidR="000112ED" w:rsidRPr="00835E29" w:rsidRDefault="00C94A45" w:rsidP="004F2ED7">
      <w:pPr>
        <w:pStyle w:val="Heading2"/>
        <w:rPr>
          <w:i/>
        </w:rPr>
      </w:pPr>
      <w:bookmarkStart w:id="15" w:name="_Toc520204961"/>
      <w:r w:rsidRPr="00835E29">
        <w:t>5</w:t>
      </w:r>
      <w:r w:rsidR="00307139" w:rsidRPr="00835E29">
        <w:t>.1</w:t>
      </w:r>
      <w:r w:rsidR="00835E29">
        <w:t>.</w:t>
      </w:r>
      <w:r w:rsidR="00835E29">
        <w:tab/>
      </w:r>
      <w:r w:rsidR="00307139" w:rsidRPr="00835E29">
        <w:t>Severity of the Offense</w:t>
      </w:r>
      <w:bookmarkEnd w:id="15"/>
    </w:p>
    <w:p w:rsidR="000112ED" w:rsidRDefault="000112ED" w:rsidP="000112ED">
      <w:pPr>
        <w:pStyle w:val="standard"/>
      </w:pPr>
      <w:r>
        <w:t>The size of the fine should be proportionate to the severity of the offense, based on the level of physical harm, economic harm, harm to the regulatory process, and the number and scope of violations.</w:t>
      </w:r>
      <w:r>
        <w:rPr>
          <w:rStyle w:val="FootnoteReference"/>
        </w:rPr>
        <w:footnoteReference w:id="47"/>
      </w:r>
      <w:r>
        <w:t xml:space="preserve">  It is also appropriate to consider the size of the utility and experience before the Commission. </w:t>
      </w:r>
    </w:p>
    <w:p w:rsidR="000112ED" w:rsidRPr="002160B6" w:rsidRDefault="000112ED" w:rsidP="002160B6">
      <w:pPr>
        <w:pStyle w:val="standard"/>
      </w:pPr>
      <w:r>
        <w:t>Bandwidth CLE</w:t>
      </w:r>
      <w:r w:rsidR="0043239D">
        <w:t xml:space="preserve">C’s violations </w:t>
      </w:r>
      <w:r>
        <w:t>did not result in physical or economic harm to its customers, or customers generally.  However, compliance is absolutely necessary for the proper functionin</w:t>
      </w:r>
      <w:r w:rsidR="00CB7CAA">
        <w:t>g of the regulatory process.  The Commission</w:t>
      </w:r>
      <w:r>
        <w:t xml:space="preserve"> impose</w:t>
      </w:r>
      <w:r w:rsidR="00CB7CAA">
        <w:t>s</w:t>
      </w:r>
      <w:r>
        <w:t xml:space="preserve"> a fine here to express disapp</w:t>
      </w:r>
      <w:r w:rsidR="00A417F9">
        <w:t>roval of Bandwidth</w:t>
      </w:r>
      <w:r>
        <w:t xml:space="preserve"> CLEC’s failure to</w:t>
      </w:r>
      <w:r w:rsidR="00A417F9">
        <w:t xml:space="preserve"> candidly</w:t>
      </w:r>
      <w:r>
        <w:t xml:space="preserve"> disclose the management of </w:t>
      </w:r>
      <w:r w:rsidR="00EC00E4">
        <w:t xml:space="preserve">Bandwidth CLEC and for failure to </w:t>
      </w:r>
      <w:r w:rsidR="00A67AD0">
        <w:t xml:space="preserve">request a </w:t>
      </w:r>
      <w:r w:rsidR="00EC00E4">
        <w:t xml:space="preserve">transfer </w:t>
      </w:r>
      <w:r w:rsidR="00A67AD0">
        <w:t xml:space="preserve">of </w:t>
      </w:r>
      <w:r w:rsidR="00EC00E4">
        <w:t>control</w:t>
      </w:r>
      <w:r w:rsidR="00EE43A1">
        <w:t>,</w:t>
      </w:r>
      <w:r w:rsidR="00A67AD0">
        <w:t xml:space="preserve"> pursuant to Pub. Util. Code § 854(a)</w:t>
      </w:r>
      <w:r w:rsidR="00EE43A1">
        <w:t>,</w:t>
      </w:r>
      <w:r w:rsidR="00E813B2">
        <w:t xml:space="preserve"> when</w:t>
      </w:r>
      <w:r w:rsidR="00C50D88">
        <w:t xml:space="preserve"> transferring operational and manage</w:t>
      </w:r>
      <w:r w:rsidR="00FB2258">
        <w:t>rial control of Bandwidth CLEC</w:t>
      </w:r>
      <w:r w:rsidR="00C50D88">
        <w:t xml:space="preserve"> to Bandwidth.</w:t>
      </w:r>
    </w:p>
    <w:p w:rsidR="00307139" w:rsidRPr="00835E29" w:rsidRDefault="00C94A45" w:rsidP="004F2ED7">
      <w:pPr>
        <w:pStyle w:val="Heading2"/>
        <w:rPr>
          <w:i/>
        </w:rPr>
      </w:pPr>
      <w:bookmarkStart w:id="16" w:name="_Toc520204962"/>
      <w:r w:rsidRPr="00835E29">
        <w:t>5</w:t>
      </w:r>
      <w:r w:rsidR="00307139" w:rsidRPr="00835E29">
        <w:t>.2</w:t>
      </w:r>
      <w:r w:rsidR="00835E29">
        <w:t>.</w:t>
      </w:r>
      <w:r w:rsidR="00835E29">
        <w:tab/>
      </w:r>
      <w:r w:rsidR="00307139" w:rsidRPr="00835E29">
        <w:t>Conduct of the Utility</w:t>
      </w:r>
      <w:bookmarkEnd w:id="16"/>
    </w:p>
    <w:p w:rsidR="000112ED" w:rsidRDefault="000112ED" w:rsidP="000112ED">
      <w:pPr>
        <w:pStyle w:val="standard"/>
      </w:pPr>
      <w:r>
        <w:t>When contemplating a fine, the Commission will consider t</w:t>
      </w:r>
      <w:r w:rsidR="00E74912">
        <w:t xml:space="preserve">he conduct of the utility; </w:t>
      </w:r>
      <w:r w:rsidR="00E74912" w:rsidRPr="00B73248">
        <w:t>i.e</w:t>
      </w:r>
      <w:r w:rsidR="00E74912" w:rsidRPr="00AE4919">
        <w:t>.</w:t>
      </w:r>
      <w:r>
        <w:t xml:space="preserve"> the Commission will consider the utility’s actions to prevent a violation, its actions to detect a violation and its actions to rectify a violation.</w:t>
      </w:r>
      <w:r>
        <w:rPr>
          <w:rStyle w:val="FootnoteReference"/>
        </w:rPr>
        <w:footnoteReference w:id="48"/>
      </w:r>
      <w:r>
        <w:t xml:space="preserve">  </w:t>
      </w:r>
    </w:p>
    <w:p w:rsidR="00946873" w:rsidRDefault="009A672A" w:rsidP="00946873">
      <w:pPr>
        <w:pStyle w:val="standard"/>
      </w:pPr>
      <w:r>
        <w:lastRenderedPageBreak/>
        <w:t xml:space="preserve">As discussed above, Bandwidth CLEC’s prior conduct with regard to its representation of its management qualifications was not candid.  </w:t>
      </w:r>
      <w:r w:rsidR="00A21CC0">
        <w:t>Bandwidth CLEC</w:t>
      </w:r>
      <w:r w:rsidR="00756CC3">
        <w:t xml:space="preserve"> and Bandwidth</w:t>
      </w:r>
      <w:r w:rsidR="00D92E5A">
        <w:t>, however,</w:t>
      </w:r>
      <w:r w:rsidR="00BA5B51">
        <w:t xml:space="preserve"> were</w:t>
      </w:r>
      <w:r w:rsidR="000B5FE9">
        <w:t xml:space="preserve"> candid regarding their</w:t>
      </w:r>
      <w:r w:rsidR="00A21CC0">
        <w:t xml:space="preserve"> management and operations during the course of this proceeding.  </w:t>
      </w:r>
      <w:r w:rsidR="00A52583">
        <w:t>Bandwidth CLEC</w:t>
      </w:r>
      <w:r w:rsidR="00681549">
        <w:t xml:space="preserve"> also</w:t>
      </w:r>
      <w:r w:rsidR="00946873">
        <w:t xml:space="preserve"> too</w:t>
      </w:r>
      <w:r w:rsidR="005B366D">
        <w:t>k steps to rectify its prior noncompliance with management qualifications</w:t>
      </w:r>
      <w:r w:rsidR="00946873">
        <w:t xml:space="preserve"> by installing officers and a director, but opposed operating the CPCN under Bandwidth CLEC. </w:t>
      </w:r>
      <w:r w:rsidR="00DD4EC6">
        <w:t xml:space="preserve"> </w:t>
      </w:r>
      <w:r w:rsidR="00946873">
        <w:t xml:space="preserve">Since it is very difficult and unnecessarily complicated for the Commission to confirm that Bandwidth CLEC was operating </w:t>
      </w:r>
      <w:r w:rsidR="00545685">
        <w:t xml:space="preserve">telecommunications services </w:t>
      </w:r>
      <w:r w:rsidR="00946873">
        <w:t>without</w:t>
      </w:r>
      <w:r w:rsidR="009D4CBF">
        <w:t xml:space="preserve"> the</w:t>
      </w:r>
      <w:r w:rsidR="00946873">
        <w:t xml:space="preserve"> Joint A</w:t>
      </w:r>
      <w:r w:rsidR="00625451">
        <w:t xml:space="preserve">pplicants’ affirmative intent </w:t>
      </w:r>
      <w:r w:rsidR="00946873">
        <w:t>and a show of willingness to do so, the Joint Applicant’s steps were not sufficient</w:t>
      </w:r>
      <w:r w:rsidR="008E164D">
        <w:t xml:space="preserve"> to merit approval of t</w:t>
      </w:r>
      <w:r w:rsidR="00A82CCE">
        <w:t>he</w:t>
      </w:r>
      <w:r w:rsidR="008E164D">
        <w:t xml:space="preserve"> transfer of </w:t>
      </w:r>
      <w:r w:rsidR="00A41631">
        <w:t>control</w:t>
      </w:r>
      <w:r w:rsidR="008E164D">
        <w:t xml:space="preserve"> requested in this Application</w:t>
      </w:r>
      <w:r w:rsidR="00946873">
        <w:t xml:space="preserve">.  </w:t>
      </w:r>
    </w:p>
    <w:p w:rsidR="000112ED" w:rsidRPr="001C05CF" w:rsidRDefault="00160DF7" w:rsidP="001C05CF">
      <w:pPr>
        <w:pStyle w:val="standard"/>
      </w:pPr>
      <w:r>
        <w:t>Despite any effort to rectify</w:t>
      </w:r>
      <w:r w:rsidR="002909D7">
        <w:t xml:space="preserve"> future conduct, the Commission’s </w:t>
      </w:r>
      <w:r w:rsidR="008867EF">
        <w:t xml:space="preserve">prior </w:t>
      </w:r>
      <w:r w:rsidR="00E75C95">
        <w:t xml:space="preserve">precedent prohibiting </w:t>
      </w:r>
      <w:r w:rsidR="00FC63D4">
        <w:t xml:space="preserve">retroactive, or </w:t>
      </w:r>
      <w:r w:rsidR="00946873" w:rsidRPr="00C12130">
        <w:rPr>
          <w:i/>
        </w:rPr>
        <w:t>nun</w:t>
      </w:r>
      <w:r w:rsidRPr="00C12130">
        <w:rPr>
          <w:i/>
        </w:rPr>
        <w:t>c</w:t>
      </w:r>
      <w:r w:rsidR="000A15A7" w:rsidRPr="00C12130">
        <w:rPr>
          <w:i/>
        </w:rPr>
        <w:t xml:space="preserve"> pro tun</w:t>
      </w:r>
      <w:r w:rsidR="00FC63D4" w:rsidRPr="00C12130">
        <w:rPr>
          <w:i/>
        </w:rPr>
        <w:t>c</w:t>
      </w:r>
      <w:r w:rsidR="00FC63D4" w:rsidRPr="00C12130">
        <w:t>,</w:t>
      </w:r>
      <w:r w:rsidR="00946873" w:rsidRPr="00C12130">
        <w:t xml:space="preserve"> transfers</w:t>
      </w:r>
      <w:r w:rsidR="00946873">
        <w:t xml:space="preserve"> of authority</w:t>
      </w:r>
      <w:r w:rsidR="008867EF">
        <w:t xml:space="preserve"> for v</w:t>
      </w:r>
      <w:r w:rsidR="00813DC5">
        <w:t>iolations</w:t>
      </w:r>
      <w:r w:rsidR="00777D2B">
        <w:t xml:space="preserve"> </w:t>
      </w:r>
      <w:r w:rsidR="000908E9">
        <w:t>prohibit</w:t>
      </w:r>
      <w:r w:rsidR="00946873">
        <w:t xml:space="preserve"> u</w:t>
      </w:r>
      <w:r w:rsidR="00103BB8">
        <w:t>s from authorizing Bandwidth</w:t>
      </w:r>
      <w:r w:rsidR="00560850">
        <w:t xml:space="preserve"> CLEC</w:t>
      </w:r>
      <w:r w:rsidR="00103BB8">
        <w:t>’s</w:t>
      </w:r>
      <w:r w:rsidR="00946873">
        <w:t xml:space="preserve"> </w:t>
      </w:r>
      <w:r w:rsidR="00ED7769">
        <w:t xml:space="preserve">transfer of </w:t>
      </w:r>
      <w:r w:rsidR="00A41631">
        <w:t>control</w:t>
      </w:r>
      <w:r w:rsidR="00ED7769">
        <w:t xml:space="preserve"> </w:t>
      </w:r>
      <w:r w:rsidR="004950A2">
        <w:t>on a retroactive basis</w:t>
      </w:r>
      <w:r w:rsidR="00777D2B">
        <w:t xml:space="preserve"> because it thwarts the purpose of Pub. Util. Code § 854(a)</w:t>
      </w:r>
      <w:r w:rsidR="00BD6C21">
        <w:t>.</w:t>
      </w:r>
      <w:r w:rsidR="00777D2B">
        <w:rPr>
          <w:rStyle w:val="FootnoteReference"/>
        </w:rPr>
        <w:footnoteReference w:id="49"/>
      </w:r>
      <w:r w:rsidR="00777D2B">
        <w:t xml:space="preserve"> </w:t>
      </w:r>
      <w:r w:rsidR="00BD6C21">
        <w:t xml:space="preserve"> Therefore, the Commission</w:t>
      </w:r>
      <w:r w:rsidR="00946873">
        <w:t xml:space="preserve"> must consider Bandwidth’s CLEC prior noncompliance for the purposes of this Decision. </w:t>
      </w:r>
      <w:r w:rsidR="009347EB">
        <w:t xml:space="preserve"> </w:t>
      </w:r>
      <w:r w:rsidR="00BD6C21">
        <w:t>Accordingly</w:t>
      </w:r>
      <w:r w:rsidR="00F67F4E">
        <w:t>,</w:t>
      </w:r>
      <w:r w:rsidR="00BD6C21">
        <w:t xml:space="preserve"> the Commission</w:t>
      </w:r>
      <w:r w:rsidR="00946873">
        <w:t xml:space="preserve"> impose</w:t>
      </w:r>
      <w:r w:rsidR="00BD6C21">
        <w:t>s</w:t>
      </w:r>
      <w:r w:rsidR="00946873">
        <w:t xml:space="preserve"> this penalty to encourage future Applicants to employ very careful analysis before misrepresenting, or failing to comply with, provisions of future orders, decisions, rulings, or requirements of this Commission. </w:t>
      </w:r>
    </w:p>
    <w:p w:rsidR="000112ED" w:rsidRPr="00835E29" w:rsidRDefault="00C94A45" w:rsidP="004F2ED7">
      <w:pPr>
        <w:pStyle w:val="Heading2"/>
        <w:rPr>
          <w:i/>
        </w:rPr>
      </w:pPr>
      <w:bookmarkStart w:id="17" w:name="_Toc520204963"/>
      <w:r w:rsidRPr="00835E29">
        <w:lastRenderedPageBreak/>
        <w:t>5</w:t>
      </w:r>
      <w:r w:rsidR="00307139" w:rsidRPr="00835E29">
        <w:t>.3</w:t>
      </w:r>
      <w:r w:rsidR="00835E29">
        <w:t>.</w:t>
      </w:r>
      <w:r w:rsidR="00835E29">
        <w:tab/>
      </w:r>
      <w:r w:rsidR="00307139" w:rsidRPr="00835E29">
        <w:t>Totality of the Circumstances</w:t>
      </w:r>
      <w:bookmarkEnd w:id="17"/>
    </w:p>
    <w:p w:rsidR="001D7120" w:rsidRPr="00067D1B" w:rsidRDefault="001D7120" w:rsidP="006171A4">
      <w:pPr>
        <w:autoSpaceDE w:val="0"/>
        <w:autoSpaceDN w:val="0"/>
        <w:adjustRightInd w:val="0"/>
        <w:spacing w:line="360" w:lineRule="auto"/>
        <w:ind w:firstLine="720"/>
        <w:rPr>
          <w:rFonts w:cs="Arial"/>
          <w:color w:val="000000"/>
          <w:szCs w:val="26"/>
        </w:rPr>
      </w:pPr>
      <w:r w:rsidRPr="00067D1B">
        <w:rPr>
          <w:rFonts w:cs="Arial"/>
          <w:color w:val="000000"/>
          <w:szCs w:val="26"/>
        </w:rPr>
        <w:t>In D.98-12-075, the Commission held that a fine should be tailored to the unique facts of each case.  When assessing the unique facts of each case, the Commission stated that it would consider the following factors:</w:t>
      </w:r>
    </w:p>
    <w:p w:rsidR="00280FA9" w:rsidRPr="00C15166" w:rsidRDefault="001D7120" w:rsidP="006171A4">
      <w:pPr>
        <w:pStyle w:val="ListParagraph"/>
        <w:numPr>
          <w:ilvl w:val="0"/>
          <w:numId w:val="14"/>
        </w:numPr>
        <w:autoSpaceDE w:val="0"/>
        <w:autoSpaceDN w:val="0"/>
        <w:adjustRightInd w:val="0"/>
        <w:spacing w:after="120"/>
        <w:ind w:left="1080" w:right="1440"/>
        <w:contextualSpacing w:val="0"/>
        <w:rPr>
          <w:rFonts w:cs="Arial"/>
          <w:color w:val="000000"/>
          <w:szCs w:val="26"/>
        </w:rPr>
      </w:pPr>
      <w:r w:rsidRPr="00067D1B">
        <w:rPr>
          <w:rFonts w:cs="Arial"/>
          <w:color w:val="000000"/>
          <w:szCs w:val="26"/>
        </w:rPr>
        <w:t>The degree of wrongdoing</w:t>
      </w:r>
      <w:r w:rsidR="00280FA9" w:rsidRPr="00067D1B">
        <w:rPr>
          <w:rFonts w:cs="Arial"/>
          <w:color w:val="000000"/>
          <w:szCs w:val="26"/>
        </w:rPr>
        <w:t xml:space="preserve"> – The Commission will review facts that tend to mitigate the degree of wrongdoing as well as facts that exacerbate the wrongdoing. </w:t>
      </w:r>
    </w:p>
    <w:p w:rsidR="00496014" w:rsidRPr="003145E4" w:rsidRDefault="001D7120" w:rsidP="006171A4">
      <w:pPr>
        <w:pStyle w:val="ListParagraph"/>
        <w:numPr>
          <w:ilvl w:val="0"/>
          <w:numId w:val="14"/>
        </w:numPr>
        <w:autoSpaceDE w:val="0"/>
        <w:autoSpaceDN w:val="0"/>
        <w:adjustRightInd w:val="0"/>
        <w:spacing w:after="120"/>
        <w:ind w:left="1080" w:right="1440"/>
        <w:contextualSpacing w:val="0"/>
        <w:rPr>
          <w:rFonts w:cs="Arial"/>
          <w:color w:val="000000"/>
          <w:szCs w:val="26"/>
        </w:rPr>
      </w:pPr>
      <w:r w:rsidRPr="00067D1B">
        <w:rPr>
          <w:rFonts w:cs="Arial"/>
          <w:color w:val="000000"/>
          <w:szCs w:val="26"/>
        </w:rPr>
        <w:t xml:space="preserve">The public </w:t>
      </w:r>
      <w:r w:rsidR="00467F51">
        <w:rPr>
          <w:rFonts w:cs="Arial"/>
          <w:color w:val="000000"/>
          <w:szCs w:val="26"/>
        </w:rPr>
        <w:t>i</w:t>
      </w:r>
      <w:r w:rsidRPr="00067D1B">
        <w:rPr>
          <w:rFonts w:cs="Arial"/>
          <w:color w:val="000000"/>
          <w:szCs w:val="26"/>
        </w:rPr>
        <w:t>nterest</w:t>
      </w:r>
      <w:r w:rsidR="007A039E" w:rsidRPr="00067D1B">
        <w:rPr>
          <w:rFonts w:cs="Arial"/>
          <w:color w:val="000000"/>
          <w:szCs w:val="26"/>
        </w:rPr>
        <w:t xml:space="preserve"> – In all cases, the harm will be evaluated from the perspective of the public interest. </w:t>
      </w:r>
    </w:p>
    <w:p w:rsidR="00C01F37" w:rsidRPr="00E972A3" w:rsidRDefault="00462039" w:rsidP="006171A4">
      <w:pPr>
        <w:autoSpaceDE w:val="0"/>
        <w:autoSpaceDN w:val="0"/>
        <w:adjustRightInd w:val="0"/>
        <w:spacing w:line="360" w:lineRule="auto"/>
        <w:ind w:firstLine="720"/>
        <w:rPr>
          <w:rFonts w:cs="Arial"/>
          <w:color w:val="000000"/>
          <w:szCs w:val="26"/>
        </w:rPr>
      </w:pPr>
      <w:r w:rsidRPr="00067D1B">
        <w:rPr>
          <w:rFonts w:cs="Arial"/>
          <w:color w:val="000000"/>
          <w:szCs w:val="26"/>
        </w:rPr>
        <w:t>The facts in this case indicate</w:t>
      </w:r>
      <w:r w:rsidR="00A22771" w:rsidRPr="00067D1B">
        <w:rPr>
          <w:rFonts w:cs="Arial"/>
          <w:color w:val="000000"/>
          <w:szCs w:val="26"/>
        </w:rPr>
        <w:t xml:space="preserve"> th</w:t>
      </w:r>
      <w:r w:rsidRPr="00067D1B">
        <w:rPr>
          <w:rFonts w:cs="Arial"/>
          <w:color w:val="000000"/>
          <w:szCs w:val="26"/>
        </w:rPr>
        <w:t>at the degree of wrongdoing, though serious, was no</w:t>
      </w:r>
      <w:r w:rsidR="00C15166">
        <w:rPr>
          <w:rFonts w:cs="Arial"/>
          <w:color w:val="000000"/>
          <w:szCs w:val="26"/>
        </w:rPr>
        <w:t>t</w:t>
      </w:r>
      <w:r w:rsidRPr="00067D1B">
        <w:rPr>
          <w:rFonts w:cs="Arial"/>
          <w:color w:val="000000"/>
          <w:szCs w:val="26"/>
        </w:rPr>
        <w:t xml:space="preserve"> egregious.</w:t>
      </w:r>
      <w:r w:rsidR="00E46BED">
        <w:rPr>
          <w:rFonts w:cs="Arial"/>
          <w:color w:val="000000"/>
          <w:szCs w:val="26"/>
        </w:rPr>
        <w:t xml:space="preserve"> </w:t>
      </w:r>
      <w:r w:rsidR="005533F1">
        <w:rPr>
          <w:rFonts w:cs="Arial"/>
          <w:color w:val="000000"/>
          <w:szCs w:val="26"/>
        </w:rPr>
        <w:t xml:space="preserve"> Bandwidth CLEC’s</w:t>
      </w:r>
      <w:r w:rsidR="00E65A6F">
        <w:rPr>
          <w:rFonts w:cs="Arial"/>
          <w:color w:val="000000"/>
          <w:szCs w:val="26"/>
        </w:rPr>
        <w:t xml:space="preserve"> conduct was serious because</w:t>
      </w:r>
      <w:r w:rsidR="00D0768A">
        <w:rPr>
          <w:rFonts w:cs="Arial"/>
          <w:color w:val="000000"/>
          <w:szCs w:val="26"/>
        </w:rPr>
        <w:t xml:space="preserve"> Bandwidth</w:t>
      </w:r>
      <w:r w:rsidR="00691A81" w:rsidRPr="00067D1B">
        <w:rPr>
          <w:rFonts w:cs="Arial"/>
          <w:color w:val="000000"/>
          <w:szCs w:val="26"/>
        </w:rPr>
        <w:t>, while benefitting from the authority under the CPCN,</w:t>
      </w:r>
      <w:r w:rsidR="00634B6A" w:rsidRPr="00067D1B">
        <w:rPr>
          <w:rFonts w:cs="Arial"/>
          <w:color w:val="000000"/>
          <w:szCs w:val="26"/>
        </w:rPr>
        <w:t xml:space="preserve"> </w:t>
      </w:r>
      <w:r w:rsidR="008F218B">
        <w:rPr>
          <w:rFonts w:cs="Arial"/>
          <w:color w:val="000000"/>
          <w:szCs w:val="26"/>
        </w:rPr>
        <w:t>operated</w:t>
      </w:r>
      <w:r w:rsidR="003439A0" w:rsidRPr="00067D1B">
        <w:rPr>
          <w:rFonts w:cs="Arial"/>
          <w:color w:val="000000"/>
          <w:szCs w:val="26"/>
        </w:rPr>
        <w:t xml:space="preserve"> in a manner that </w:t>
      </w:r>
      <w:r w:rsidR="00D73E8C" w:rsidRPr="00067D1B">
        <w:rPr>
          <w:rFonts w:cs="Arial"/>
          <w:color w:val="000000"/>
          <w:szCs w:val="26"/>
        </w:rPr>
        <w:t>evaded</w:t>
      </w:r>
      <w:r w:rsidR="00634B6A" w:rsidRPr="00067D1B">
        <w:rPr>
          <w:rFonts w:cs="Arial"/>
          <w:color w:val="000000"/>
          <w:szCs w:val="26"/>
        </w:rPr>
        <w:t xml:space="preserve"> the Commission’s juri</w:t>
      </w:r>
      <w:r w:rsidR="00403FBF" w:rsidRPr="00067D1B">
        <w:rPr>
          <w:rFonts w:cs="Arial"/>
          <w:color w:val="000000"/>
          <w:szCs w:val="26"/>
        </w:rPr>
        <w:t>sdi</w:t>
      </w:r>
      <w:r w:rsidR="00634B6A" w:rsidRPr="00067D1B">
        <w:rPr>
          <w:rFonts w:cs="Arial"/>
          <w:color w:val="000000"/>
          <w:szCs w:val="26"/>
        </w:rPr>
        <w:t xml:space="preserve">ction. </w:t>
      </w:r>
      <w:r w:rsidR="00496014">
        <w:rPr>
          <w:rFonts w:cs="Arial"/>
          <w:color w:val="000000"/>
          <w:szCs w:val="26"/>
        </w:rPr>
        <w:t xml:space="preserve"> </w:t>
      </w:r>
      <w:r w:rsidR="00E65A6F">
        <w:rPr>
          <w:rFonts w:cs="Arial"/>
          <w:color w:val="000000"/>
          <w:szCs w:val="26"/>
        </w:rPr>
        <w:t>Also, t</w:t>
      </w:r>
      <w:r w:rsidR="003A7EE2" w:rsidRPr="00067D1B">
        <w:rPr>
          <w:rFonts w:cs="Arial"/>
          <w:color w:val="000000"/>
          <w:szCs w:val="26"/>
        </w:rPr>
        <w:t xml:space="preserve">he ultimate violation was done intentionally.  </w:t>
      </w:r>
    </w:p>
    <w:p w:rsidR="00C01F37" w:rsidRDefault="00C57FAC" w:rsidP="00C01F37">
      <w:pPr>
        <w:pStyle w:val="standard"/>
      </w:pPr>
      <w:r>
        <w:t>T</w:t>
      </w:r>
      <w:r w:rsidR="00C01F37" w:rsidRPr="00C01F37">
        <w:t>he public interest was harmed</w:t>
      </w:r>
      <w:r w:rsidR="00951652">
        <w:t xml:space="preserve"> by Bandwidth CLEC</w:t>
      </w:r>
      <w:r w:rsidR="003A7EE2" w:rsidRPr="00C01F37">
        <w:t xml:space="preserve">’s failure </w:t>
      </w:r>
      <w:r w:rsidR="00E769E6">
        <w:t>t</w:t>
      </w:r>
      <w:r w:rsidR="001B1177">
        <w:t>o</w:t>
      </w:r>
      <w:r w:rsidR="00E769E6">
        <w:t xml:space="preserve"> </w:t>
      </w:r>
      <w:r w:rsidR="00D542FD">
        <w:t>t</w:t>
      </w:r>
      <w:r w:rsidR="00DC7CE2">
        <w:t>ransfer authority, and thereby B</w:t>
      </w:r>
      <w:r w:rsidR="00D542FD">
        <w:t>andwidth’s operation of a CPCN without a license</w:t>
      </w:r>
      <w:r w:rsidR="006B2757">
        <w:t xml:space="preserve"> </w:t>
      </w:r>
      <w:r w:rsidR="00D804E8">
        <w:t>and properly under the Commission’s jurisdiction</w:t>
      </w:r>
      <w:r w:rsidR="00D542FD">
        <w:t xml:space="preserve">, </w:t>
      </w:r>
      <w:r w:rsidR="00C01F37" w:rsidRPr="00C01F37">
        <w:t>in contravention of the Commission’s Public Policy Go</w:t>
      </w:r>
      <w:r w:rsidR="00B660EE">
        <w:t xml:space="preserve">als for CPCNs.  </w:t>
      </w:r>
      <w:r w:rsidR="00C01F37">
        <w:t>“It is the policy of the Commission that all telecommunications providers shall be subject to appropriate regulation designed to safeguard against anti-competitive conduct.”</w:t>
      </w:r>
      <w:r w:rsidR="00B660EE">
        <w:rPr>
          <w:rStyle w:val="FootnoteReference"/>
        </w:rPr>
        <w:footnoteReference w:id="50"/>
      </w:r>
      <w:r w:rsidR="00660A06">
        <w:t xml:space="preserve">  </w:t>
      </w:r>
      <w:r w:rsidR="002158E5">
        <w:t>Anti-competitive conduct is indicated in this case because</w:t>
      </w:r>
      <w:r w:rsidR="001254F2">
        <w:t xml:space="preserve"> granting Bandwidth the ability to operate under</w:t>
      </w:r>
      <w:r w:rsidR="002158E5">
        <w:t xml:space="preserve"> </w:t>
      </w:r>
      <w:r w:rsidR="001254F2">
        <w:t xml:space="preserve">Bandwidth CLEC’s CPCN </w:t>
      </w:r>
      <w:r w:rsidR="00E35C4F">
        <w:t xml:space="preserve">allows </w:t>
      </w:r>
      <w:r w:rsidR="001254F2">
        <w:t>Bandwidth</w:t>
      </w:r>
      <w:r w:rsidR="00E35C4F">
        <w:t xml:space="preserve"> </w:t>
      </w:r>
      <w:r w:rsidR="001254F2">
        <w:t>to</w:t>
      </w:r>
      <w:r w:rsidR="00E35C4F">
        <w:t xml:space="preserve"> provide telecommunications service </w:t>
      </w:r>
      <w:r w:rsidR="00F15D57">
        <w:t>while avoiding</w:t>
      </w:r>
      <w:r w:rsidR="00E35C4F">
        <w:t xml:space="preserve"> Commission jurisdiction</w:t>
      </w:r>
      <w:r w:rsidR="003C359A">
        <w:t>.</w:t>
      </w:r>
    </w:p>
    <w:p w:rsidR="00462039" w:rsidRPr="00D94F48" w:rsidRDefault="00F518A7" w:rsidP="00D94F48">
      <w:pPr>
        <w:pStyle w:val="standard"/>
      </w:pPr>
      <w:r>
        <w:lastRenderedPageBreak/>
        <w:t>While the public interest is harm</w:t>
      </w:r>
      <w:r w:rsidR="00AD51AA">
        <w:t>ed by the violations, Bandwidth CLEC</w:t>
      </w:r>
      <w:r w:rsidR="00C92BBA">
        <w:t xml:space="preserve"> </w:t>
      </w:r>
      <w:r w:rsidR="003A7EE2" w:rsidRPr="00F518A7">
        <w:t>do</w:t>
      </w:r>
      <w:r w:rsidR="0024402F">
        <w:t>es</w:t>
      </w:r>
      <w:r w:rsidR="003A7EE2" w:rsidRPr="00F518A7">
        <w:t xml:space="preserve"> not appear to have </w:t>
      </w:r>
      <w:r w:rsidR="00003BEA">
        <w:t>materially benefitted from its</w:t>
      </w:r>
      <w:r w:rsidR="003A7EE2" w:rsidRPr="00F518A7">
        <w:t xml:space="preserve"> unlawful conduct. </w:t>
      </w:r>
      <w:r w:rsidR="007E1661">
        <w:t xml:space="preserve"> </w:t>
      </w:r>
      <w:r w:rsidR="00D02FF5">
        <w:t>The Commission</w:t>
      </w:r>
      <w:r w:rsidR="00096162" w:rsidRPr="00F518A7">
        <w:t xml:space="preserve"> will balance the degree of wrongdoing against the harm to the public interest from this violation. </w:t>
      </w:r>
    </w:p>
    <w:p w:rsidR="00307139" w:rsidRPr="006171A4" w:rsidRDefault="00C94A45" w:rsidP="004F2ED7">
      <w:pPr>
        <w:pStyle w:val="Heading2"/>
        <w:rPr>
          <w:i/>
        </w:rPr>
      </w:pPr>
      <w:bookmarkStart w:id="18" w:name="_Toc520204964"/>
      <w:r w:rsidRPr="006171A4">
        <w:t>5</w:t>
      </w:r>
      <w:r w:rsidR="00307139" w:rsidRPr="006171A4">
        <w:t>.4</w:t>
      </w:r>
      <w:r w:rsidR="006171A4">
        <w:t>.</w:t>
      </w:r>
      <w:r w:rsidR="006171A4">
        <w:tab/>
      </w:r>
      <w:r w:rsidR="00307139" w:rsidRPr="006171A4">
        <w:t>Financial Resources of the Utility</w:t>
      </w:r>
      <w:bookmarkEnd w:id="18"/>
    </w:p>
    <w:p w:rsidR="00C40C24" w:rsidRDefault="00C40C24" w:rsidP="006171A4">
      <w:pPr>
        <w:autoSpaceDE w:val="0"/>
        <w:autoSpaceDN w:val="0"/>
        <w:adjustRightInd w:val="0"/>
        <w:spacing w:line="360" w:lineRule="auto"/>
        <w:ind w:firstLine="720"/>
        <w:rPr>
          <w:rFonts w:cs="Arial"/>
          <w:color w:val="000000"/>
          <w:szCs w:val="26"/>
        </w:rPr>
      </w:pPr>
      <w:r>
        <w:rPr>
          <w:rFonts w:cs="Arial"/>
          <w:color w:val="000000"/>
          <w:szCs w:val="26"/>
        </w:rPr>
        <w:t>The fine should reflect the financial resources of the utility, and should be set at a level that deters future violations, without becoming excessive, based on each utility’s financial resources.</w:t>
      </w:r>
      <w:r>
        <w:rPr>
          <w:rStyle w:val="FootnoteReference"/>
          <w:rFonts w:cs="Arial"/>
          <w:color w:val="000000"/>
          <w:szCs w:val="26"/>
        </w:rPr>
        <w:footnoteReference w:id="51"/>
      </w:r>
      <w:r>
        <w:rPr>
          <w:rFonts w:cs="Arial"/>
          <w:color w:val="000000"/>
          <w:szCs w:val="26"/>
        </w:rPr>
        <w:t xml:space="preserve"> </w:t>
      </w:r>
    </w:p>
    <w:p w:rsidR="001C5C70" w:rsidRPr="00D465E1" w:rsidRDefault="00507897" w:rsidP="00C40C24">
      <w:pPr>
        <w:autoSpaceDE w:val="0"/>
        <w:autoSpaceDN w:val="0"/>
        <w:adjustRightInd w:val="0"/>
        <w:spacing w:line="360" w:lineRule="auto"/>
        <w:ind w:firstLine="720"/>
        <w:rPr>
          <w:rFonts w:cs="Arial"/>
          <w:color w:val="000000"/>
          <w:szCs w:val="26"/>
        </w:rPr>
      </w:pPr>
      <w:r>
        <w:rPr>
          <w:rFonts w:cs="Arial"/>
          <w:color w:val="000000"/>
          <w:szCs w:val="26"/>
        </w:rPr>
        <w:t>Bandwidth CLEC provided financial information for Bandwidth in its Application</w:t>
      </w:r>
      <w:r w:rsidR="00E74B9F">
        <w:rPr>
          <w:rFonts w:cs="Arial"/>
          <w:color w:val="000000"/>
          <w:szCs w:val="26"/>
        </w:rPr>
        <w:t xml:space="preserve"> and no financial information on Bandwidth CLEC</w:t>
      </w:r>
      <w:r>
        <w:rPr>
          <w:rFonts w:cs="Arial"/>
          <w:color w:val="000000"/>
          <w:szCs w:val="26"/>
        </w:rPr>
        <w:t xml:space="preserve">.  </w:t>
      </w:r>
      <w:r w:rsidR="005B28C0">
        <w:rPr>
          <w:rFonts w:cs="Arial"/>
          <w:color w:val="000000"/>
          <w:szCs w:val="26"/>
        </w:rPr>
        <w:t>From the financial information, t</w:t>
      </w:r>
      <w:r w:rsidR="00E74B9F">
        <w:rPr>
          <w:rFonts w:cs="Arial"/>
          <w:color w:val="000000"/>
          <w:szCs w:val="26"/>
        </w:rPr>
        <w:t>here is no indication that</w:t>
      </w:r>
      <w:r w:rsidR="005B28C0">
        <w:rPr>
          <w:rFonts w:cs="Arial"/>
          <w:color w:val="000000"/>
          <w:szCs w:val="26"/>
        </w:rPr>
        <w:t xml:space="preserve"> Bandwidth CLEC is in bankruptcy or is in any way limited in paying a fine typical for a regulated entity subject to fine pursuant to a violation of Pub. Util. Code § 854(a). </w:t>
      </w:r>
    </w:p>
    <w:p w:rsidR="00E649A6" w:rsidRPr="006171A4" w:rsidRDefault="00C94A45" w:rsidP="004F2ED7">
      <w:pPr>
        <w:pStyle w:val="Heading2"/>
        <w:rPr>
          <w:i/>
        </w:rPr>
      </w:pPr>
      <w:bookmarkStart w:id="19" w:name="_Toc520204965"/>
      <w:r w:rsidRPr="006171A4">
        <w:t>5</w:t>
      </w:r>
      <w:r w:rsidR="00427689" w:rsidRPr="006171A4">
        <w:t>.5</w:t>
      </w:r>
      <w:r w:rsidR="006171A4">
        <w:t>.</w:t>
      </w:r>
      <w:r w:rsidR="006171A4">
        <w:tab/>
      </w:r>
      <w:r w:rsidR="00427689" w:rsidRPr="006171A4">
        <w:t>The Role of Precedent</w:t>
      </w:r>
      <w:bookmarkEnd w:id="19"/>
    </w:p>
    <w:p w:rsidR="005E4417" w:rsidRPr="00D465E1" w:rsidRDefault="00217A14" w:rsidP="00A34650">
      <w:pPr>
        <w:autoSpaceDE w:val="0"/>
        <w:autoSpaceDN w:val="0"/>
        <w:adjustRightInd w:val="0"/>
        <w:spacing w:line="360" w:lineRule="auto"/>
        <w:ind w:firstLine="720"/>
        <w:rPr>
          <w:rFonts w:cs="Arial"/>
          <w:color w:val="000000"/>
          <w:szCs w:val="26"/>
        </w:rPr>
      </w:pPr>
      <w:r w:rsidRPr="00D465E1">
        <w:rPr>
          <w:rFonts w:cs="Arial"/>
          <w:color w:val="000000"/>
          <w:szCs w:val="26"/>
        </w:rPr>
        <w:t>In D.98-12-075, the Commission held that any decision which imposes a fine should 1) address previous decisions that involve reasonably comparable factual circumstances, and 2) explain any substantial differences in outcome.</w:t>
      </w:r>
      <w:r w:rsidRPr="00D465E1">
        <w:rPr>
          <w:rStyle w:val="FootnoteReference"/>
          <w:rFonts w:cs="Arial"/>
          <w:color w:val="000000"/>
          <w:sz w:val="26"/>
          <w:szCs w:val="26"/>
        </w:rPr>
        <w:footnoteReference w:id="52"/>
      </w:r>
      <w:r w:rsidRPr="00D465E1">
        <w:rPr>
          <w:rFonts w:cs="Arial"/>
          <w:color w:val="000000"/>
          <w:szCs w:val="26"/>
        </w:rPr>
        <w:t xml:space="preserve"> </w:t>
      </w:r>
    </w:p>
    <w:p w:rsidR="00615B2E" w:rsidRPr="00D465E1" w:rsidRDefault="00926F35" w:rsidP="00277AE1">
      <w:pPr>
        <w:autoSpaceDE w:val="0"/>
        <w:autoSpaceDN w:val="0"/>
        <w:adjustRightInd w:val="0"/>
        <w:spacing w:line="360" w:lineRule="auto"/>
        <w:ind w:firstLine="720"/>
        <w:rPr>
          <w:rFonts w:cs="Arial"/>
          <w:color w:val="000000"/>
          <w:szCs w:val="26"/>
        </w:rPr>
      </w:pPr>
      <w:r w:rsidRPr="00D465E1">
        <w:rPr>
          <w:rFonts w:cs="Arial"/>
          <w:color w:val="000000"/>
          <w:szCs w:val="26"/>
        </w:rPr>
        <w:t>The facts in this case are generally comparable to many Commission decisi</w:t>
      </w:r>
      <w:r w:rsidR="00082D09" w:rsidRPr="00D465E1">
        <w:rPr>
          <w:rFonts w:cs="Arial"/>
          <w:color w:val="000000"/>
          <w:szCs w:val="26"/>
        </w:rPr>
        <w:t>ons that considered</w:t>
      </w:r>
      <w:r w:rsidRPr="00D465E1">
        <w:rPr>
          <w:rFonts w:cs="Arial"/>
          <w:color w:val="000000"/>
          <w:szCs w:val="26"/>
        </w:rPr>
        <w:t xml:space="preserve"> </w:t>
      </w:r>
      <w:r w:rsidR="0095490B" w:rsidRPr="00D465E1">
        <w:rPr>
          <w:rFonts w:cs="Arial"/>
          <w:color w:val="000000"/>
          <w:szCs w:val="26"/>
        </w:rPr>
        <w:t xml:space="preserve">transactions that were effected without prior authorization in violation of </w:t>
      </w:r>
      <w:r w:rsidR="00064317">
        <w:rPr>
          <w:rFonts w:cs="Arial"/>
          <w:color w:val="000000"/>
          <w:szCs w:val="26"/>
        </w:rPr>
        <w:t xml:space="preserve">Pub. Util. Code </w:t>
      </w:r>
      <w:r w:rsidR="0095490B" w:rsidRPr="00D465E1">
        <w:rPr>
          <w:rFonts w:cs="Arial"/>
          <w:color w:val="000000"/>
          <w:szCs w:val="26"/>
        </w:rPr>
        <w:t>§</w:t>
      </w:r>
      <w:r w:rsidR="00CE33FB">
        <w:rPr>
          <w:rFonts w:cs="Arial"/>
          <w:color w:val="000000"/>
          <w:szCs w:val="26"/>
        </w:rPr>
        <w:t xml:space="preserve"> </w:t>
      </w:r>
      <w:r w:rsidR="0095490B" w:rsidRPr="00D465E1">
        <w:rPr>
          <w:rFonts w:cs="Arial"/>
          <w:color w:val="000000"/>
          <w:szCs w:val="26"/>
        </w:rPr>
        <w:t>854</w:t>
      </w:r>
      <w:r w:rsidR="00C453FE" w:rsidRPr="00D465E1">
        <w:rPr>
          <w:rFonts w:cs="Arial"/>
          <w:color w:val="000000"/>
          <w:szCs w:val="26"/>
        </w:rPr>
        <w:t>(a)</w:t>
      </w:r>
      <w:r w:rsidR="0017431C" w:rsidRPr="00D465E1">
        <w:rPr>
          <w:rFonts w:cs="Arial"/>
          <w:color w:val="000000"/>
          <w:szCs w:val="26"/>
        </w:rPr>
        <w:t>,</w:t>
      </w:r>
      <w:r w:rsidR="00C379BD" w:rsidRPr="00D465E1">
        <w:rPr>
          <w:rFonts w:cs="Arial"/>
          <w:color w:val="000000"/>
          <w:szCs w:val="26"/>
        </w:rPr>
        <w:t xml:space="preserve"> for companies that otherwise operated without incident</w:t>
      </w:r>
      <w:r w:rsidR="00C453FE" w:rsidRPr="00D465E1">
        <w:rPr>
          <w:rFonts w:cs="Arial"/>
          <w:color w:val="000000"/>
          <w:szCs w:val="26"/>
        </w:rPr>
        <w:t>.</w:t>
      </w:r>
      <w:r w:rsidR="001611EA" w:rsidRPr="00D465E1">
        <w:rPr>
          <w:rFonts w:cs="Arial"/>
          <w:color w:val="000000"/>
          <w:szCs w:val="26"/>
        </w:rPr>
        <w:t xml:space="preserve"> </w:t>
      </w:r>
      <w:r w:rsidR="00F33383" w:rsidRPr="00D465E1">
        <w:rPr>
          <w:rFonts w:cs="Arial"/>
          <w:color w:val="000000"/>
          <w:szCs w:val="26"/>
        </w:rPr>
        <w:t xml:space="preserve"> In earlier Decisions, the Commission approved many transactions in violation of</w:t>
      </w:r>
      <w:r w:rsidR="00064317">
        <w:rPr>
          <w:rFonts w:cs="Arial"/>
          <w:color w:val="000000"/>
          <w:szCs w:val="26"/>
        </w:rPr>
        <w:t xml:space="preserve"> Pub. Util. Code</w:t>
      </w:r>
      <w:r w:rsidR="00F33383" w:rsidRPr="00D465E1">
        <w:rPr>
          <w:rFonts w:cs="Arial"/>
          <w:color w:val="000000"/>
          <w:szCs w:val="26"/>
        </w:rPr>
        <w:t xml:space="preserve"> §</w:t>
      </w:r>
      <w:r w:rsidR="00CE33FB">
        <w:rPr>
          <w:rFonts w:cs="Arial"/>
          <w:color w:val="000000"/>
          <w:szCs w:val="26"/>
        </w:rPr>
        <w:t xml:space="preserve"> </w:t>
      </w:r>
      <w:r w:rsidR="00F33383" w:rsidRPr="00D465E1">
        <w:rPr>
          <w:rFonts w:cs="Arial"/>
          <w:color w:val="000000"/>
          <w:szCs w:val="26"/>
        </w:rPr>
        <w:t xml:space="preserve">854(a) without </w:t>
      </w:r>
      <w:r w:rsidR="00F33383" w:rsidRPr="00D465E1">
        <w:rPr>
          <w:rFonts w:cs="Arial"/>
          <w:color w:val="000000"/>
          <w:szCs w:val="26"/>
        </w:rPr>
        <w:lastRenderedPageBreak/>
        <w:t>penalty.</w:t>
      </w:r>
      <w:r w:rsidR="00F33383" w:rsidRPr="00D465E1">
        <w:rPr>
          <w:rStyle w:val="FootnoteReference"/>
          <w:rFonts w:cs="Arial"/>
          <w:color w:val="000000"/>
          <w:sz w:val="26"/>
          <w:szCs w:val="26"/>
        </w:rPr>
        <w:footnoteReference w:id="53"/>
      </w:r>
      <w:r w:rsidR="00F33383" w:rsidRPr="00D465E1">
        <w:rPr>
          <w:rFonts w:cs="Arial"/>
          <w:color w:val="000000"/>
          <w:szCs w:val="26"/>
        </w:rPr>
        <w:t xml:space="preserve"> </w:t>
      </w:r>
      <w:r w:rsidR="00743317">
        <w:rPr>
          <w:rFonts w:cs="Arial"/>
          <w:color w:val="000000"/>
          <w:szCs w:val="26"/>
        </w:rPr>
        <w:t xml:space="preserve"> </w:t>
      </w:r>
      <w:r w:rsidR="00B21D82">
        <w:rPr>
          <w:rFonts w:cs="Arial"/>
          <w:color w:val="000000"/>
          <w:szCs w:val="26"/>
        </w:rPr>
        <w:t>However, in D.</w:t>
      </w:r>
      <w:r w:rsidR="00480FB6">
        <w:rPr>
          <w:rFonts w:cs="Arial"/>
          <w:color w:val="000000"/>
          <w:szCs w:val="26"/>
        </w:rPr>
        <w:t xml:space="preserve">00-09-035, the Commission </w:t>
      </w:r>
      <w:r w:rsidR="00C04E24">
        <w:rPr>
          <w:rFonts w:cs="Arial"/>
          <w:color w:val="000000"/>
          <w:szCs w:val="26"/>
        </w:rPr>
        <w:t>held that its</w:t>
      </w:r>
      <w:r w:rsidR="00D922BD">
        <w:rPr>
          <w:rFonts w:cs="Arial"/>
          <w:color w:val="000000"/>
          <w:szCs w:val="26"/>
        </w:rPr>
        <w:t xml:space="preserve"> precedent of meting out</w:t>
      </w:r>
      <w:r w:rsidR="00D01028" w:rsidRPr="00D465E1">
        <w:rPr>
          <w:rFonts w:cs="Arial"/>
          <w:color w:val="000000"/>
          <w:szCs w:val="26"/>
        </w:rPr>
        <w:t xml:space="preserve"> lenient treatment to those that violate </w:t>
      </w:r>
      <w:r w:rsidR="0081574C">
        <w:rPr>
          <w:rFonts w:cs="Arial"/>
          <w:color w:val="000000"/>
          <w:szCs w:val="26"/>
        </w:rPr>
        <w:t xml:space="preserve">Pub. Util. Code </w:t>
      </w:r>
      <w:r w:rsidR="00D01028" w:rsidRPr="00D465E1">
        <w:rPr>
          <w:rFonts w:cs="Arial"/>
          <w:color w:val="000000"/>
          <w:szCs w:val="26"/>
        </w:rPr>
        <w:t>§</w:t>
      </w:r>
      <w:r w:rsidR="00CE33FB">
        <w:rPr>
          <w:rFonts w:cs="Arial"/>
          <w:color w:val="000000"/>
          <w:szCs w:val="26"/>
        </w:rPr>
        <w:t xml:space="preserve"> </w:t>
      </w:r>
      <w:r w:rsidR="00D01028" w:rsidRPr="00D465E1">
        <w:rPr>
          <w:rFonts w:cs="Arial"/>
          <w:color w:val="000000"/>
          <w:szCs w:val="26"/>
        </w:rPr>
        <w:t>854(a),</w:t>
      </w:r>
      <w:r w:rsidR="00297C17" w:rsidRPr="00D465E1">
        <w:rPr>
          <w:rFonts w:cs="Arial"/>
          <w:color w:val="000000"/>
          <w:szCs w:val="26"/>
        </w:rPr>
        <w:t xml:space="preserve"> failed to deter additional violations of</w:t>
      </w:r>
      <w:r w:rsidR="00064317">
        <w:rPr>
          <w:rFonts w:cs="Arial"/>
          <w:color w:val="000000"/>
          <w:szCs w:val="26"/>
        </w:rPr>
        <w:t xml:space="preserve"> Pub. Util. Code</w:t>
      </w:r>
      <w:r w:rsidR="00297C17" w:rsidRPr="00D465E1">
        <w:rPr>
          <w:rFonts w:cs="Arial"/>
          <w:color w:val="000000"/>
          <w:szCs w:val="26"/>
        </w:rPr>
        <w:t xml:space="preserve"> §</w:t>
      </w:r>
      <w:r w:rsidR="006E1504">
        <w:rPr>
          <w:rFonts w:cs="Arial"/>
          <w:color w:val="000000"/>
          <w:szCs w:val="26"/>
        </w:rPr>
        <w:t xml:space="preserve"> </w:t>
      </w:r>
      <w:r w:rsidR="00297C17" w:rsidRPr="00D465E1">
        <w:rPr>
          <w:rFonts w:cs="Arial"/>
          <w:color w:val="000000"/>
          <w:szCs w:val="26"/>
        </w:rPr>
        <w:t xml:space="preserve">854(a). </w:t>
      </w:r>
      <w:r w:rsidR="00067D1B">
        <w:rPr>
          <w:rFonts w:cs="Arial"/>
          <w:color w:val="000000"/>
          <w:szCs w:val="26"/>
        </w:rPr>
        <w:t xml:space="preserve"> </w:t>
      </w:r>
      <w:r w:rsidR="00D02932">
        <w:rPr>
          <w:rFonts w:cs="Arial"/>
          <w:color w:val="000000"/>
          <w:szCs w:val="26"/>
        </w:rPr>
        <w:t>In subsequent Decisions --</w:t>
      </w:r>
      <w:r w:rsidR="006171A4">
        <w:rPr>
          <w:rFonts w:cs="Arial"/>
          <w:color w:val="000000"/>
          <w:szCs w:val="26"/>
        </w:rPr>
        <w:t xml:space="preserve"> </w:t>
      </w:r>
      <w:r w:rsidR="00297C17" w:rsidRPr="00D465E1">
        <w:rPr>
          <w:rFonts w:cs="Arial"/>
          <w:color w:val="000000"/>
          <w:szCs w:val="26"/>
        </w:rPr>
        <w:t>including D.00-12-053, D.03-05-033, D.03-08-058</w:t>
      </w:r>
      <w:r w:rsidR="00E00F51">
        <w:rPr>
          <w:rFonts w:cs="Arial"/>
          <w:color w:val="000000"/>
          <w:szCs w:val="26"/>
        </w:rPr>
        <w:t xml:space="preserve">, </w:t>
      </w:r>
      <w:r w:rsidR="00EB2C1F">
        <w:rPr>
          <w:rFonts w:cs="Arial"/>
          <w:color w:val="000000"/>
          <w:szCs w:val="26"/>
        </w:rPr>
        <w:t xml:space="preserve">D.04-09-023, </w:t>
      </w:r>
      <w:r w:rsidR="009A4B6A">
        <w:rPr>
          <w:rFonts w:cs="Arial"/>
          <w:color w:val="000000"/>
          <w:szCs w:val="26"/>
        </w:rPr>
        <w:t>D.07-05-040, D.10</w:t>
      </w:r>
      <w:r w:rsidR="009A4B6A">
        <w:rPr>
          <w:rFonts w:cs="Arial"/>
          <w:color w:val="000000"/>
          <w:szCs w:val="26"/>
        </w:rPr>
        <w:noBreakHyphen/>
      </w:r>
      <w:r w:rsidR="00EB2C1F">
        <w:rPr>
          <w:rFonts w:cs="Arial"/>
          <w:color w:val="000000"/>
          <w:szCs w:val="26"/>
        </w:rPr>
        <w:t xml:space="preserve">03-008, </w:t>
      </w:r>
      <w:r w:rsidR="00D02932">
        <w:rPr>
          <w:rFonts w:cs="Arial"/>
          <w:color w:val="000000"/>
          <w:szCs w:val="26"/>
        </w:rPr>
        <w:t>D.14-06-004 --</w:t>
      </w:r>
      <w:r w:rsidR="00D84497">
        <w:rPr>
          <w:rFonts w:cs="Arial"/>
          <w:color w:val="000000"/>
          <w:szCs w:val="26"/>
        </w:rPr>
        <w:t xml:space="preserve"> </w:t>
      </w:r>
      <w:r w:rsidR="00383F9D" w:rsidRPr="00D465E1">
        <w:rPr>
          <w:rFonts w:cs="Arial"/>
          <w:color w:val="000000"/>
          <w:szCs w:val="26"/>
        </w:rPr>
        <w:t xml:space="preserve">the Commission fined telecommunications carriers $5,000 for similar violations of </w:t>
      </w:r>
      <w:r w:rsidR="00A41134">
        <w:rPr>
          <w:rFonts w:cs="Arial"/>
          <w:color w:val="000000"/>
          <w:szCs w:val="26"/>
        </w:rPr>
        <w:t xml:space="preserve">Pub. Util. Code § </w:t>
      </w:r>
      <w:r w:rsidR="00383F9D" w:rsidRPr="00D465E1">
        <w:rPr>
          <w:rFonts w:cs="Arial"/>
          <w:color w:val="000000"/>
          <w:szCs w:val="26"/>
        </w:rPr>
        <w:t>854(a).</w:t>
      </w:r>
      <w:r w:rsidR="006171A4">
        <w:rPr>
          <w:rFonts w:cs="Arial"/>
          <w:color w:val="000000"/>
          <w:szCs w:val="26"/>
        </w:rPr>
        <w:t xml:space="preserve">  </w:t>
      </w:r>
      <w:r w:rsidR="006D711C" w:rsidRPr="00D465E1">
        <w:rPr>
          <w:rFonts w:cs="Arial"/>
          <w:color w:val="000000"/>
          <w:szCs w:val="26"/>
        </w:rPr>
        <w:t>Commission Decisions where m</w:t>
      </w:r>
      <w:r w:rsidR="0049013B">
        <w:rPr>
          <w:rFonts w:cs="Arial"/>
          <w:color w:val="000000"/>
          <w:szCs w:val="26"/>
        </w:rPr>
        <w:t>inimum fines were imposed tended to involve</w:t>
      </w:r>
      <w:r w:rsidR="006D711C" w:rsidRPr="00D465E1">
        <w:rPr>
          <w:rFonts w:cs="Arial"/>
          <w:color w:val="000000"/>
          <w:szCs w:val="26"/>
        </w:rPr>
        <w:t xml:space="preserve"> extenuating circumstances such as involuntary transfer of </w:t>
      </w:r>
      <w:r w:rsidR="00A41631">
        <w:rPr>
          <w:rFonts w:cs="Arial"/>
          <w:color w:val="000000"/>
          <w:szCs w:val="26"/>
        </w:rPr>
        <w:t>control</w:t>
      </w:r>
      <w:r w:rsidR="009A4B6A">
        <w:rPr>
          <w:rFonts w:cs="Arial"/>
          <w:color w:val="000000"/>
          <w:szCs w:val="26"/>
        </w:rPr>
        <w:t xml:space="preserve"> </w:t>
      </w:r>
      <w:r w:rsidR="006D711C" w:rsidRPr="00D465E1">
        <w:rPr>
          <w:rFonts w:cs="Arial"/>
          <w:color w:val="000000"/>
          <w:szCs w:val="26"/>
        </w:rPr>
        <w:t>due to bankruptcy</w:t>
      </w:r>
      <w:r w:rsidR="003B640E">
        <w:rPr>
          <w:rStyle w:val="FootnoteReference"/>
          <w:rFonts w:cs="Arial"/>
          <w:color w:val="000000"/>
          <w:szCs w:val="26"/>
        </w:rPr>
        <w:footnoteReference w:id="54"/>
      </w:r>
      <w:r w:rsidR="005A5268">
        <w:rPr>
          <w:rFonts w:cs="Arial"/>
          <w:color w:val="000000"/>
          <w:szCs w:val="26"/>
        </w:rPr>
        <w:t xml:space="preserve"> </w:t>
      </w:r>
      <w:r w:rsidR="008A2993">
        <w:rPr>
          <w:rFonts w:cs="Arial"/>
          <w:color w:val="000000"/>
          <w:szCs w:val="26"/>
        </w:rPr>
        <w:t xml:space="preserve">or </w:t>
      </w:r>
      <w:r w:rsidR="006D711C" w:rsidRPr="00D465E1">
        <w:rPr>
          <w:rFonts w:cs="Arial"/>
          <w:color w:val="000000"/>
          <w:szCs w:val="26"/>
        </w:rPr>
        <w:t>inheritance</w:t>
      </w:r>
      <w:r w:rsidR="00A64757">
        <w:rPr>
          <w:rFonts w:cs="Arial"/>
          <w:color w:val="000000"/>
          <w:szCs w:val="26"/>
        </w:rPr>
        <w:t>,</w:t>
      </w:r>
      <w:r w:rsidR="00A64757">
        <w:rPr>
          <w:rStyle w:val="FootnoteReference"/>
          <w:rFonts w:cs="Arial"/>
          <w:color w:val="000000"/>
          <w:szCs w:val="26"/>
        </w:rPr>
        <w:footnoteReference w:id="55"/>
      </w:r>
      <w:r w:rsidR="009B25A5" w:rsidRPr="00D465E1">
        <w:rPr>
          <w:rFonts w:cs="Arial"/>
          <w:color w:val="000000"/>
          <w:szCs w:val="26"/>
        </w:rPr>
        <w:t xml:space="preserve"> </w:t>
      </w:r>
      <w:r w:rsidR="00B34A89">
        <w:rPr>
          <w:rFonts w:cs="Arial"/>
          <w:color w:val="000000"/>
          <w:szCs w:val="26"/>
        </w:rPr>
        <w:t>or proof of assets far below the v</w:t>
      </w:r>
      <w:r w:rsidR="004D5634">
        <w:rPr>
          <w:rFonts w:cs="Arial"/>
          <w:color w:val="000000"/>
          <w:szCs w:val="26"/>
        </w:rPr>
        <w:t>alue of other entities fined</w:t>
      </w:r>
      <w:r w:rsidR="000323BB">
        <w:rPr>
          <w:rFonts w:cs="Arial"/>
          <w:color w:val="000000"/>
          <w:szCs w:val="26"/>
        </w:rPr>
        <w:t>.</w:t>
      </w:r>
      <w:r w:rsidR="000323BB">
        <w:rPr>
          <w:rStyle w:val="FootnoteReference"/>
          <w:rFonts w:cs="Arial"/>
          <w:color w:val="000000"/>
          <w:szCs w:val="26"/>
        </w:rPr>
        <w:footnoteReference w:id="56"/>
      </w:r>
      <w:r w:rsidR="000323BB">
        <w:rPr>
          <w:rFonts w:cs="Arial"/>
          <w:color w:val="000000"/>
          <w:szCs w:val="26"/>
        </w:rPr>
        <w:t xml:space="preserve"> </w:t>
      </w:r>
      <w:r w:rsidR="004D5634">
        <w:rPr>
          <w:rFonts w:cs="Arial"/>
          <w:color w:val="000000"/>
          <w:szCs w:val="26"/>
        </w:rPr>
        <w:t xml:space="preserve"> </w:t>
      </w:r>
      <w:r w:rsidR="00B34A89">
        <w:rPr>
          <w:rFonts w:cs="Arial"/>
          <w:color w:val="000000"/>
          <w:szCs w:val="26"/>
        </w:rPr>
        <w:t>Commission Decisions where</w:t>
      </w:r>
      <w:r w:rsidR="000B5376">
        <w:rPr>
          <w:rFonts w:cs="Arial"/>
          <w:color w:val="000000"/>
          <w:szCs w:val="26"/>
        </w:rPr>
        <w:t xml:space="preserve"> fines exceed</w:t>
      </w:r>
      <w:r w:rsidR="00B34A89">
        <w:rPr>
          <w:rFonts w:cs="Arial"/>
          <w:color w:val="000000"/>
          <w:szCs w:val="26"/>
        </w:rPr>
        <w:t xml:space="preserve"> the average $5,000 fin</w:t>
      </w:r>
      <w:r w:rsidR="000B5376">
        <w:rPr>
          <w:rFonts w:cs="Arial"/>
          <w:color w:val="000000"/>
          <w:szCs w:val="26"/>
        </w:rPr>
        <w:t xml:space="preserve">e amount often indicate prior penalties or </w:t>
      </w:r>
      <w:r w:rsidR="00C74F73">
        <w:rPr>
          <w:rFonts w:cs="Arial"/>
          <w:color w:val="000000"/>
          <w:szCs w:val="26"/>
        </w:rPr>
        <w:t>egregious conduct</w:t>
      </w:r>
      <w:r w:rsidR="0000715B">
        <w:rPr>
          <w:rFonts w:cs="Arial"/>
          <w:color w:val="000000"/>
          <w:szCs w:val="26"/>
        </w:rPr>
        <w:t>.</w:t>
      </w:r>
      <w:r w:rsidR="00C57D0D">
        <w:rPr>
          <w:rStyle w:val="FootnoteReference"/>
          <w:rFonts w:cs="Arial"/>
          <w:color w:val="000000"/>
          <w:szCs w:val="26"/>
        </w:rPr>
        <w:footnoteReference w:id="57"/>
      </w:r>
      <w:r w:rsidR="00AE01C3">
        <w:rPr>
          <w:rFonts w:cs="Arial"/>
          <w:color w:val="000000"/>
          <w:szCs w:val="26"/>
        </w:rPr>
        <w:t xml:space="preserve"> </w:t>
      </w:r>
      <w:r w:rsidR="00BC004B">
        <w:rPr>
          <w:rFonts w:cs="Arial"/>
          <w:color w:val="000000"/>
          <w:szCs w:val="26"/>
        </w:rPr>
        <w:t xml:space="preserve"> </w:t>
      </w:r>
      <w:r w:rsidR="00731A66" w:rsidRPr="00D465E1">
        <w:rPr>
          <w:rFonts w:cs="Arial"/>
          <w:color w:val="000000"/>
          <w:szCs w:val="26"/>
        </w:rPr>
        <w:t>Extenuating c</w:t>
      </w:r>
      <w:r w:rsidR="00CB6E5E">
        <w:rPr>
          <w:rFonts w:cs="Arial"/>
          <w:color w:val="000000"/>
          <w:szCs w:val="26"/>
        </w:rPr>
        <w:t>ircumstances are not indicated in this proceeding</w:t>
      </w:r>
      <w:r w:rsidR="00731A66" w:rsidRPr="00D465E1">
        <w:rPr>
          <w:rFonts w:cs="Arial"/>
          <w:color w:val="000000"/>
          <w:szCs w:val="26"/>
        </w:rPr>
        <w:t xml:space="preserve">.  </w:t>
      </w:r>
      <w:r w:rsidR="006D711C" w:rsidRPr="00D465E1">
        <w:rPr>
          <w:rFonts w:cs="Arial"/>
          <w:color w:val="000000"/>
          <w:szCs w:val="26"/>
        </w:rPr>
        <w:t xml:space="preserve">Therefore, it </w:t>
      </w:r>
      <w:r w:rsidR="00DD6F0E">
        <w:rPr>
          <w:rFonts w:cs="Arial"/>
          <w:color w:val="000000"/>
          <w:szCs w:val="26"/>
        </w:rPr>
        <w:t xml:space="preserve">is </w:t>
      </w:r>
      <w:r w:rsidR="006D711C" w:rsidRPr="00D465E1">
        <w:rPr>
          <w:rFonts w:cs="Arial"/>
          <w:color w:val="000000"/>
          <w:szCs w:val="26"/>
        </w:rPr>
        <w:t>co</w:t>
      </w:r>
      <w:r w:rsidR="00731A66" w:rsidRPr="00D465E1">
        <w:rPr>
          <w:rFonts w:cs="Arial"/>
          <w:color w:val="000000"/>
          <w:szCs w:val="26"/>
        </w:rPr>
        <w:t>nsistent with</w:t>
      </w:r>
      <w:r w:rsidR="000750B1">
        <w:rPr>
          <w:rFonts w:cs="Arial"/>
          <w:color w:val="000000"/>
          <w:szCs w:val="26"/>
        </w:rPr>
        <w:t xml:space="preserve"> Commission precedent</w:t>
      </w:r>
      <w:r w:rsidR="00731A66" w:rsidRPr="00D465E1">
        <w:rPr>
          <w:rFonts w:cs="Arial"/>
          <w:color w:val="000000"/>
          <w:szCs w:val="26"/>
        </w:rPr>
        <w:t xml:space="preserve"> to impose the same fine in this case as with other cases of unauthorized transfer of </w:t>
      </w:r>
      <w:r w:rsidR="00A41631">
        <w:rPr>
          <w:rFonts w:cs="Arial"/>
          <w:color w:val="000000"/>
          <w:szCs w:val="26"/>
        </w:rPr>
        <w:t>control</w:t>
      </w:r>
      <w:r w:rsidR="00731A66" w:rsidRPr="00D465E1">
        <w:rPr>
          <w:rFonts w:cs="Arial"/>
          <w:color w:val="000000"/>
          <w:szCs w:val="26"/>
        </w:rPr>
        <w:t xml:space="preserve"> in Commis</w:t>
      </w:r>
      <w:r w:rsidR="002209E8">
        <w:rPr>
          <w:rFonts w:cs="Arial"/>
          <w:color w:val="000000"/>
          <w:szCs w:val="26"/>
        </w:rPr>
        <w:t>sion decisions subsequent to D.</w:t>
      </w:r>
      <w:r w:rsidR="008A040D">
        <w:rPr>
          <w:rFonts w:cs="Arial"/>
          <w:color w:val="000000"/>
          <w:szCs w:val="26"/>
        </w:rPr>
        <w:t>00</w:t>
      </w:r>
      <w:r w:rsidR="008A040D">
        <w:rPr>
          <w:rFonts w:cs="Arial"/>
          <w:color w:val="000000"/>
          <w:szCs w:val="26"/>
        </w:rPr>
        <w:noBreakHyphen/>
        <w:t>12</w:t>
      </w:r>
      <w:r w:rsidR="008A040D">
        <w:rPr>
          <w:rFonts w:cs="Arial"/>
          <w:color w:val="000000"/>
          <w:szCs w:val="26"/>
        </w:rPr>
        <w:noBreakHyphen/>
      </w:r>
      <w:r w:rsidR="00731A66" w:rsidRPr="00D465E1">
        <w:rPr>
          <w:rFonts w:cs="Arial"/>
          <w:color w:val="000000"/>
          <w:szCs w:val="26"/>
        </w:rPr>
        <w:t>053</w:t>
      </w:r>
      <w:r w:rsidR="00E14397">
        <w:rPr>
          <w:rFonts w:cs="Arial"/>
          <w:color w:val="000000"/>
          <w:szCs w:val="26"/>
        </w:rPr>
        <w:t xml:space="preserve"> which indicate no extenuating circumstance</w:t>
      </w:r>
      <w:r w:rsidR="00277AE1">
        <w:rPr>
          <w:rFonts w:cs="Arial"/>
          <w:color w:val="000000"/>
          <w:szCs w:val="26"/>
        </w:rPr>
        <w:t>s</w:t>
      </w:r>
      <w:r w:rsidR="006578F8" w:rsidRPr="00D465E1">
        <w:rPr>
          <w:rFonts w:cs="Arial"/>
          <w:color w:val="000000"/>
          <w:szCs w:val="26"/>
        </w:rPr>
        <w:t>.</w:t>
      </w:r>
    </w:p>
    <w:p w:rsidR="00307139" w:rsidRPr="006171A4" w:rsidRDefault="00C94A45" w:rsidP="004F2ED7">
      <w:pPr>
        <w:pStyle w:val="Heading2"/>
        <w:rPr>
          <w:i/>
        </w:rPr>
      </w:pPr>
      <w:bookmarkStart w:id="20" w:name="_Toc520204966"/>
      <w:r w:rsidRPr="006171A4">
        <w:t>5</w:t>
      </w:r>
      <w:r w:rsidR="00486423" w:rsidRPr="006171A4">
        <w:t>.6</w:t>
      </w:r>
      <w:r w:rsidR="006171A4">
        <w:t>.</w:t>
      </w:r>
      <w:r w:rsidR="006171A4">
        <w:tab/>
      </w:r>
      <w:r w:rsidR="00307139" w:rsidRPr="006171A4">
        <w:t>Amount of Fine under Section 2107</w:t>
      </w:r>
      <w:bookmarkEnd w:id="20"/>
    </w:p>
    <w:p w:rsidR="00307139" w:rsidRPr="002E6925" w:rsidRDefault="00206F94" w:rsidP="002E6925">
      <w:pPr>
        <w:autoSpaceDE w:val="0"/>
        <w:autoSpaceDN w:val="0"/>
        <w:adjustRightInd w:val="0"/>
        <w:spacing w:line="360" w:lineRule="auto"/>
        <w:ind w:firstLine="720"/>
        <w:rPr>
          <w:rFonts w:cs="Arial"/>
          <w:color w:val="000000"/>
          <w:szCs w:val="26"/>
        </w:rPr>
      </w:pPr>
      <w:r>
        <w:rPr>
          <w:rFonts w:cs="Arial"/>
          <w:color w:val="000000"/>
          <w:szCs w:val="26"/>
        </w:rPr>
        <w:t xml:space="preserve">The Commission </w:t>
      </w:r>
      <w:r w:rsidR="00D5587E" w:rsidRPr="00D465E1">
        <w:rPr>
          <w:rFonts w:cs="Arial"/>
          <w:color w:val="000000"/>
          <w:szCs w:val="26"/>
        </w:rPr>
        <w:t>conclude</w:t>
      </w:r>
      <w:r>
        <w:rPr>
          <w:rFonts w:cs="Arial"/>
          <w:color w:val="000000"/>
          <w:szCs w:val="26"/>
        </w:rPr>
        <w:t>s,</w:t>
      </w:r>
      <w:r w:rsidR="00D5587E" w:rsidRPr="00D465E1">
        <w:rPr>
          <w:rFonts w:cs="Arial"/>
          <w:color w:val="000000"/>
          <w:szCs w:val="26"/>
        </w:rPr>
        <w:t xml:space="preserve"> based on the facts </w:t>
      </w:r>
      <w:r w:rsidR="005B26E0">
        <w:rPr>
          <w:rFonts w:cs="Arial"/>
          <w:color w:val="000000"/>
          <w:szCs w:val="26"/>
        </w:rPr>
        <w:t>of this case</w:t>
      </w:r>
      <w:r>
        <w:rPr>
          <w:rFonts w:cs="Arial"/>
          <w:color w:val="000000"/>
          <w:szCs w:val="26"/>
        </w:rPr>
        <w:t>,</w:t>
      </w:r>
      <w:r w:rsidR="005B26E0">
        <w:rPr>
          <w:rFonts w:cs="Arial"/>
          <w:color w:val="000000"/>
          <w:szCs w:val="26"/>
        </w:rPr>
        <w:t xml:space="preserve"> that Bandwidth CLEC</w:t>
      </w:r>
      <w:r w:rsidR="00D5587E" w:rsidRPr="00D465E1">
        <w:rPr>
          <w:rFonts w:cs="Arial"/>
          <w:color w:val="000000"/>
          <w:szCs w:val="26"/>
        </w:rPr>
        <w:t xml:space="preserve"> </w:t>
      </w:r>
      <w:r w:rsidR="00D36B4F">
        <w:rPr>
          <w:rFonts w:cs="Arial"/>
          <w:color w:val="000000"/>
          <w:szCs w:val="26"/>
        </w:rPr>
        <w:t xml:space="preserve">and Bandwidth </w:t>
      </w:r>
      <w:r w:rsidR="00D5587E" w:rsidRPr="00D465E1">
        <w:rPr>
          <w:rFonts w:cs="Arial"/>
          <w:color w:val="000000"/>
          <w:szCs w:val="26"/>
        </w:rPr>
        <w:t xml:space="preserve">should </w:t>
      </w:r>
      <w:r w:rsidR="002F0C1D">
        <w:rPr>
          <w:rFonts w:cs="Arial"/>
          <w:color w:val="000000"/>
          <w:szCs w:val="26"/>
        </w:rPr>
        <w:t xml:space="preserve">jointly </w:t>
      </w:r>
      <w:r w:rsidR="00D5587E" w:rsidRPr="00D465E1">
        <w:rPr>
          <w:rFonts w:cs="Arial"/>
          <w:color w:val="000000"/>
          <w:szCs w:val="26"/>
        </w:rPr>
        <w:t>be fined $5,000 for violating</w:t>
      </w:r>
      <w:r w:rsidR="00064317">
        <w:rPr>
          <w:rFonts w:cs="Arial"/>
          <w:color w:val="000000"/>
          <w:szCs w:val="26"/>
        </w:rPr>
        <w:t xml:space="preserve"> Pub. Util. Code</w:t>
      </w:r>
      <w:r w:rsidR="00D5587E" w:rsidRPr="00D465E1">
        <w:rPr>
          <w:rFonts w:cs="Arial"/>
          <w:color w:val="000000"/>
          <w:szCs w:val="26"/>
        </w:rPr>
        <w:t xml:space="preserve"> </w:t>
      </w:r>
      <w:r w:rsidR="00D5587E" w:rsidRPr="00D465E1">
        <w:rPr>
          <w:rFonts w:cs="Arial"/>
          <w:color w:val="000000"/>
          <w:szCs w:val="26"/>
        </w:rPr>
        <w:lastRenderedPageBreak/>
        <w:t>§</w:t>
      </w:r>
      <w:r w:rsidR="00412856">
        <w:rPr>
          <w:rFonts w:cs="Arial"/>
          <w:color w:val="000000"/>
          <w:szCs w:val="26"/>
        </w:rPr>
        <w:t xml:space="preserve"> </w:t>
      </w:r>
      <w:r w:rsidR="00D5587E" w:rsidRPr="00D465E1">
        <w:rPr>
          <w:rFonts w:cs="Arial"/>
          <w:color w:val="000000"/>
          <w:szCs w:val="26"/>
        </w:rPr>
        <w:t>854(a).</w:t>
      </w:r>
      <w:r w:rsidR="003A5F1E">
        <w:rPr>
          <w:rFonts w:cs="Arial"/>
          <w:color w:val="000000"/>
          <w:szCs w:val="26"/>
        </w:rPr>
        <w:t xml:space="preserve">  While the Commission may assess a</w:t>
      </w:r>
      <w:r w:rsidR="007E3FE0">
        <w:rPr>
          <w:rFonts w:cs="Arial"/>
          <w:color w:val="000000"/>
          <w:szCs w:val="26"/>
        </w:rPr>
        <w:t xml:space="preserve"> separate </w:t>
      </w:r>
      <w:r w:rsidR="003A5F1E">
        <w:rPr>
          <w:rFonts w:cs="Arial"/>
          <w:color w:val="000000"/>
          <w:szCs w:val="26"/>
        </w:rPr>
        <w:t>fine</w:t>
      </w:r>
      <w:r w:rsidR="007E3FE0">
        <w:rPr>
          <w:rFonts w:cs="Arial"/>
          <w:color w:val="000000"/>
          <w:szCs w:val="26"/>
        </w:rPr>
        <w:t xml:space="preserve"> for Bandwidth CLEC’s Rule 1 </w:t>
      </w:r>
      <w:r w:rsidR="00E62C4D">
        <w:rPr>
          <w:rFonts w:cs="Arial"/>
          <w:color w:val="000000"/>
          <w:szCs w:val="26"/>
        </w:rPr>
        <w:t xml:space="preserve">violation for misrepresenting </w:t>
      </w:r>
      <w:r w:rsidR="00DB3046">
        <w:rPr>
          <w:rFonts w:cs="Arial"/>
          <w:color w:val="000000"/>
          <w:szCs w:val="26"/>
        </w:rPr>
        <w:t>it managerial qualifications</w:t>
      </w:r>
      <w:r w:rsidR="004A7175">
        <w:rPr>
          <w:rFonts w:cs="Arial"/>
          <w:color w:val="000000"/>
          <w:szCs w:val="26"/>
        </w:rPr>
        <w:t xml:space="preserve"> in A</w:t>
      </w:r>
      <w:r w:rsidR="00DF2623">
        <w:rPr>
          <w:rFonts w:cs="Arial"/>
          <w:color w:val="000000"/>
          <w:szCs w:val="26"/>
        </w:rPr>
        <w:t>.</w:t>
      </w:r>
      <w:r w:rsidR="00A977A4">
        <w:rPr>
          <w:rFonts w:cs="Arial"/>
          <w:color w:val="000000"/>
          <w:szCs w:val="26"/>
        </w:rPr>
        <w:t>0</w:t>
      </w:r>
      <w:r w:rsidR="00DF2623">
        <w:rPr>
          <w:rFonts w:cs="Arial"/>
          <w:color w:val="000000"/>
          <w:szCs w:val="26"/>
        </w:rPr>
        <w:t>7</w:t>
      </w:r>
      <w:r w:rsidR="00DF2623">
        <w:rPr>
          <w:rFonts w:cs="Arial"/>
          <w:color w:val="000000"/>
          <w:szCs w:val="26"/>
        </w:rPr>
        <w:noBreakHyphen/>
      </w:r>
      <w:r w:rsidR="004A7175">
        <w:rPr>
          <w:rFonts w:cs="Arial"/>
          <w:color w:val="000000"/>
          <w:szCs w:val="26"/>
        </w:rPr>
        <w:t>03-020</w:t>
      </w:r>
      <w:r w:rsidR="00DB3046">
        <w:rPr>
          <w:rFonts w:cs="Arial"/>
          <w:color w:val="000000"/>
          <w:szCs w:val="26"/>
        </w:rPr>
        <w:t>, the</w:t>
      </w:r>
      <w:r w:rsidR="00456EB0">
        <w:rPr>
          <w:rFonts w:cs="Arial"/>
          <w:color w:val="000000"/>
          <w:szCs w:val="26"/>
        </w:rPr>
        <w:t xml:space="preserve"> Commission reco</w:t>
      </w:r>
      <w:r w:rsidR="00B00B35">
        <w:rPr>
          <w:rFonts w:cs="Arial"/>
          <w:color w:val="000000"/>
          <w:szCs w:val="26"/>
        </w:rPr>
        <w:t>gnizes that revoking Bandwidth</w:t>
      </w:r>
      <w:r w:rsidR="00456EB0">
        <w:rPr>
          <w:rFonts w:cs="Arial"/>
          <w:color w:val="000000"/>
          <w:szCs w:val="26"/>
        </w:rPr>
        <w:t xml:space="preserve"> CLEC</w:t>
      </w:r>
      <w:r w:rsidR="00B00B35">
        <w:rPr>
          <w:rFonts w:cs="Arial"/>
          <w:color w:val="000000"/>
          <w:szCs w:val="26"/>
        </w:rPr>
        <w:t>’s</w:t>
      </w:r>
      <w:r w:rsidR="00456EB0">
        <w:rPr>
          <w:rFonts w:cs="Arial"/>
          <w:color w:val="000000"/>
          <w:szCs w:val="26"/>
        </w:rPr>
        <w:t xml:space="preserve"> license through </w:t>
      </w:r>
      <w:r w:rsidR="008F0CE8">
        <w:rPr>
          <w:rFonts w:cs="Arial"/>
          <w:color w:val="000000"/>
          <w:szCs w:val="26"/>
        </w:rPr>
        <w:t>this Decision is a significant penalty</w:t>
      </w:r>
      <w:r w:rsidR="00456EB0">
        <w:rPr>
          <w:rFonts w:cs="Arial"/>
          <w:color w:val="000000"/>
          <w:szCs w:val="26"/>
        </w:rPr>
        <w:t xml:space="preserve"> </w:t>
      </w:r>
      <w:r w:rsidR="007B57F7">
        <w:rPr>
          <w:rFonts w:cs="Arial"/>
          <w:color w:val="000000"/>
          <w:szCs w:val="26"/>
        </w:rPr>
        <w:t>sufficient</w:t>
      </w:r>
      <w:r w:rsidR="00FB6D0C">
        <w:rPr>
          <w:rFonts w:cs="Arial"/>
          <w:color w:val="000000"/>
          <w:szCs w:val="26"/>
        </w:rPr>
        <w:t>, in the absence of information to the contrary,</w:t>
      </w:r>
      <w:r w:rsidR="007B57F7">
        <w:rPr>
          <w:rFonts w:cs="Arial"/>
          <w:color w:val="000000"/>
          <w:szCs w:val="26"/>
        </w:rPr>
        <w:t xml:space="preserve"> </w:t>
      </w:r>
      <w:r w:rsidR="00BF722D">
        <w:rPr>
          <w:rFonts w:cs="Arial"/>
          <w:color w:val="000000"/>
          <w:szCs w:val="26"/>
        </w:rPr>
        <w:t xml:space="preserve">to </w:t>
      </w:r>
      <w:r w:rsidR="007B57F7">
        <w:rPr>
          <w:rFonts w:cs="Arial"/>
          <w:color w:val="000000"/>
          <w:szCs w:val="26"/>
        </w:rPr>
        <w:t>deter future violations</w:t>
      </w:r>
      <w:r w:rsidR="003F7B3D">
        <w:rPr>
          <w:rFonts w:cs="Arial"/>
          <w:color w:val="000000"/>
          <w:szCs w:val="26"/>
        </w:rPr>
        <w:t xml:space="preserve"> of this nature</w:t>
      </w:r>
      <w:r w:rsidR="00062CD8">
        <w:rPr>
          <w:rFonts w:cs="Arial"/>
          <w:color w:val="000000"/>
          <w:szCs w:val="26"/>
        </w:rPr>
        <w:t xml:space="preserve">.  </w:t>
      </w:r>
    </w:p>
    <w:p w:rsidR="005A60C9" w:rsidRDefault="006171A4">
      <w:pPr>
        <w:pStyle w:val="Heading1"/>
      </w:pPr>
      <w:bookmarkStart w:id="21" w:name="_Toc520204967"/>
      <w:r>
        <w:t>6.</w:t>
      </w:r>
      <w:r>
        <w:tab/>
      </w:r>
      <w:r w:rsidR="00F62DF3">
        <w:t>Comments on</w:t>
      </w:r>
      <w:r w:rsidR="005A60C9">
        <w:t xml:space="preserve"> Proposed Decision</w:t>
      </w:r>
      <w:bookmarkEnd w:id="21"/>
    </w:p>
    <w:p w:rsidR="00ED45AC" w:rsidRDefault="00ED45AC" w:rsidP="00ED45AC">
      <w:pPr>
        <w:spacing w:line="360" w:lineRule="auto"/>
        <w:ind w:firstLine="720"/>
      </w:pPr>
      <w:r w:rsidRPr="006E1C84">
        <w:t>The proposed decision of ALJ</w:t>
      </w:r>
      <w:r w:rsidR="00D6241C">
        <w:t xml:space="preserve"> Kline</w:t>
      </w:r>
      <w:r w:rsidRPr="006E1C84">
        <w:t xml:space="preserve"> in this matter was mailed to the parties in accordance with Section 311 of the Public Utilities Code and comments were allowed under Rule 14.3 of the Commission’s Rules of Practice and Procedure.  </w:t>
      </w:r>
      <w:r w:rsidR="00233152">
        <w:t>O</w:t>
      </w:r>
      <w:r w:rsidRPr="006E1C84">
        <w:t xml:space="preserve">n </w:t>
      </w:r>
      <w:r w:rsidR="00972337">
        <w:t>July 23, 2018 by Bandwidth CLEC, David A. Morken and Bandwidth</w:t>
      </w:r>
      <w:r w:rsidR="00233152">
        <w:t xml:space="preserve"> jointly filed c</w:t>
      </w:r>
      <w:r w:rsidR="00233152" w:rsidRPr="006E1C84">
        <w:t>omments</w:t>
      </w:r>
      <w:r w:rsidR="00233152">
        <w:t xml:space="preserve"> on the proposed decision.</w:t>
      </w:r>
      <w:r w:rsidRPr="006E1C84">
        <w:t xml:space="preserve"> </w:t>
      </w:r>
      <w:r>
        <w:t xml:space="preserve"> </w:t>
      </w:r>
      <w:r w:rsidR="00972337">
        <w:t>No r</w:t>
      </w:r>
      <w:r w:rsidRPr="006E1C84">
        <w:t>eply comments were filed</w:t>
      </w:r>
      <w:r w:rsidR="004F658F">
        <w:t>.</w:t>
      </w:r>
    </w:p>
    <w:p w:rsidR="00A7355C" w:rsidRDefault="00A7355C" w:rsidP="00ED45AC">
      <w:pPr>
        <w:spacing w:line="360" w:lineRule="auto"/>
        <w:ind w:firstLine="720"/>
      </w:pPr>
      <w:r>
        <w:t xml:space="preserve">We have reviewed the comments.  </w:t>
      </w:r>
      <w:r w:rsidR="00A41631">
        <w:t xml:space="preserve">Some of the </w:t>
      </w:r>
      <w:r w:rsidR="00593D55">
        <w:t>arguments in the comments</w:t>
      </w:r>
      <w:r>
        <w:t xml:space="preserve"> essentially reiterate arguments considered and rejected in the proposed decision, and we accord them no weight.  </w:t>
      </w:r>
      <w:r w:rsidR="00A41631">
        <w:t xml:space="preserve">However, the comments point out that in several instances, the proposed decision refers to “transfer of authority,” when the </w:t>
      </w:r>
      <w:r w:rsidR="00053DCC">
        <w:t xml:space="preserve">language should </w:t>
      </w:r>
      <w:r w:rsidR="000E6F01">
        <w:t>more appropriately refer</w:t>
      </w:r>
      <w:r w:rsidR="00053DCC">
        <w:t xml:space="preserve"> to </w:t>
      </w:r>
      <w:r w:rsidR="000E6F01">
        <w:t xml:space="preserve">a </w:t>
      </w:r>
      <w:r w:rsidR="00053DCC">
        <w:t>“transfer of control.”  The proposed decision has been updated to reflect th</w:t>
      </w:r>
      <w:r w:rsidR="00E13277">
        <w:t>is</w:t>
      </w:r>
      <w:r w:rsidR="00053DCC">
        <w:t xml:space="preserve"> change.</w:t>
      </w:r>
    </w:p>
    <w:p w:rsidR="00691B98" w:rsidRDefault="00691B98" w:rsidP="00ED45AC">
      <w:pPr>
        <w:spacing w:line="360" w:lineRule="auto"/>
        <w:ind w:firstLine="720"/>
      </w:pPr>
      <w:r>
        <w:t xml:space="preserve">The comments </w:t>
      </w:r>
      <w:r w:rsidR="003806B1">
        <w:t xml:space="preserve">also </w:t>
      </w:r>
      <w:r>
        <w:t>argue that this decision violates Section 1708 because parties were not afforded adequate due process</w:t>
      </w:r>
      <w:r w:rsidR="003B7DEB">
        <w:t xml:space="preserve">.  However, </w:t>
      </w:r>
      <w:r w:rsidR="0036545B">
        <w:t>the parties were provided adequate notice by an order to show cause</w:t>
      </w:r>
      <w:r w:rsidR="009B408D">
        <w:t xml:space="preserve">, </w:t>
      </w:r>
      <w:r w:rsidR="0089032C">
        <w:t>which was subsequ</w:t>
      </w:r>
      <w:r w:rsidR="002E69EA">
        <w:t>e</w:t>
      </w:r>
      <w:r w:rsidR="0089032C">
        <w:t>nt</w:t>
      </w:r>
      <w:r w:rsidR="002E69EA">
        <w:t>l</w:t>
      </w:r>
      <w:r w:rsidR="0089032C">
        <w:t xml:space="preserve">y discussed </w:t>
      </w:r>
      <w:r w:rsidR="009B408D">
        <w:t xml:space="preserve">during a status conference, and </w:t>
      </w:r>
      <w:r w:rsidR="009C6DDA">
        <w:t xml:space="preserve">in </w:t>
      </w:r>
      <w:r w:rsidR="009B408D">
        <w:t>a subsequent ruling</w:t>
      </w:r>
      <w:r w:rsidR="0036545B">
        <w:t>.</w:t>
      </w:r>
      <w:r w:rsidR="00A53FBF">
        <w:t xml:space="preserve">  </w:t>
      </w:r>
      <w:r w:rsidR="0083298F">
        <w:t xml:space="preserve">Both at the status conference and in the ALJ </w:t>
      </w:r>
      <w:r w:rsidR="003B56D4">
        <w:t>R</w:t>
      </w:r>
      <w:r w:rsidR="0083298F">
        <w:t xml:space="preserve">uling, parties were notified that </w:t>
      </w:r>
      <w:r w:rsidR="00A34B3A">
        <w:t xml:space="preserve">Bandwidth CLEC’s license may be revoked.  </w:t>
      </w:r>
      <w:r w:rsidR="00A53FBF">
        <w:t xml:space="preserve">There were no </w:t>
      </w:r>
      <w:r w:rsidR="006E4B82">
        <w:t>issues of material fact in</w:t>
      </w:r>
      <w:r w:rsidR="00A53FBF">
        <w:t xml:space="preserve"> dispute requiring an evidentiary hearing. </w:t>
      </w:r>
      <w:r w:rsidR="0036545B">
        <w:t xml:space="preserve"> </w:t>
      </w:r>
      <w:r w:rsidR="00A53FBF">
        <w:t>Parties</w:t>
      </w:r>
      <w:r w:rsidR="0036545B">
        <w:t xml:space="preserve"> were afford</w:t>
      </w:r>
      <w:r w:rsidR="009B408D">
        <w:t xml:space="preserve">ed an opportunity to be </w:t>
      </w:r>
      <w:r w:rsidR="009B408D">
        <w:lastRenderedPageBreak/>
        <w:t xml:space="preserve">heard </w:t>
      </w:r>
      <w:r w:rsidR="006E4B82">
        <w:t>by</w:t>
      </w:r>
      <w:r w:rsidR="009B408D">
        <w:t xml:space="preserve"> filing responses to the order to show cause</w:t>
      </w:r>
      <w:r w:rsidR="00C44C52">
        <w:t>, th</w:t>
      </w:r>
      <w:r w:rsidR="003B56D4">
        <w:t>rough the</w:t>
      </w:r>
      <w:r w:rsidR="00C44C52">
        <w:t xml:space="preserve"> discussion at the status conference</w:t>
      </w:r>
      <w:r w:rsidR="009B408D">
        <w:t xml:space="preserve"> and </w:t>
      </w:r>
      <w:r w:rsidR="003B56D4">
        <w:t xml:space="preserve">by filing responses to </w:t>
      </w:r>
      <w:r w:rsidR="009B408D">
        <w:t>the ALJ</w:t>
      </w:r>
      <w:r w:rsidR="00C63C1F">
        <w:t xml:space="preserve"> R</w:t>
      </w:r>
      <w:r w:rsidR="009B408D">
        <w:t xml:space="preserve">uling. </w:t>
      </w:r>
      <w:r w:rsidR="0036545B">
        <w:t xml:space="preserve"> </w:t>
      </w:r>
    </w:p>
    <w:p w:rsidR="004E3CC9" w:rsidRPr="006E1C84" w:rsidRDefault="003B7DEB" w:rsidP="00ED45AC">
      <w:pPr>
        <w:spacing w:line="360" w:lineRule="auto"/>
        <w:ind w:firstLine="720"/>
      </w:pPr>
      <w:r>
        <w:t>Finally</w:t>
      </w:r>
      <w:r w:rsidR="004E3CC9">
        <w:t xml:space="preserve">, </w:t>
      </w:r>
      <w:r w:rsidR="00292089" w:rsidRPr="00292089">
        <w:t>in comments the parties argue in various ways that the Commission should approve Bandwidth CLEC’s application to transfer control to David A. Morken, and that Bandwidth CLEC’s license should not be revoked.  The record shows Bandwidth operated Bandwidth CLEC’s wholesale telecommunications services as well as Bandwidth’s VoIP services.  Bandwidth should be allowed to operate in California if it obtains a CPCN.  The proposed decision is revised to allow Bandwidth to continue to operate in California if it applies for a CPCN within 90 days of the date of this decision</w:t>
      </w:r>
      <w:r w:rsidR="004E3CC9">
        <w:t xml:space="preserve">.  </w:t>
      </w:r>
    </w:p>
    <w:p w:rsidR="0030267A" w:rsidRPr="00456C7F" w:rsidRDefault="006171A4" w:rsidP="00921D93">
      <w:pPr>
        <w:pStyle w:val="Heading1"/>
      </w:pPr>
      <w:bookmarkStart w:id="22" w:name="_Toc520204968"/>
      <w:r>
        <w:t>7.</w:t>
      </w:r>
      <w:r w:rsidR="0030267A">
        <w:t xml:space="preserve"> Request to File Under Seal</w:t>
      </w:r>
      <w:bookmarkEnd w:id="22"/>
    </w:p>
    <w:p w:rsidR="0030267A" w:rsidRDefault="0030267A" w:rsidP="00921D93">
      <w:pPr>
        <w:spacing w:line="360" w:lineRule="auto"/>
        <w:ind w:firstLine="720"/>
      </w:pPr>
      <w:r>
        <w:t xml:space="preserve">Pursuant to Rule 11.4 of the Commission’s Rules of Practice and Procedure, </w:t>
      </w:r>
      <w:r w:rsidR="00467FE3">
        <w:t>Bandwidth CLEC</w:t>
      </w:r>
      <w:r>
        <w:t xml:space="preserve"> filed a motion for leave to file Exhibit </w:t>
      </w:r>
      <w:r w:rsidR="00467FE3">
        <w:t>C</w:t>
      </w:r>
      <w:r>
        <w:t xml:space="preserve"> to the application as confidential materials under seal. </w:t>
      </w:r>
      <w:r w:rsidR="003E2951">
        <w:t xml:space="preserve"> Bandwidth CLEC</w:t>
      </w:r>
      <w:r>
        <w:t xml:space="preserve"> represents that the information is sensitive, and disclosure could place </w:t>
      </w:r>
      <w:r w:rsidR="003E2951">
        <w:t>Bandwidth CLEC</w:t>
      </w:r>
      <w:r>
        <w:t xml:space="preserve"> at an unfair business disadvantage.</w:t>
      </w:r>
      <w:r w:rsidR="001F0185">
        <w:t xml:space="preserve"> </w:t>
      </w:r>
      <w:r>
        <w:t xml:space="preserve"> We have granted similar requests in the past and do so here.</w:t>
      </w:r>
    </w:p>
    <w:p w:rsidR="005A60C9" w:rsidRDefault="0030267A">
      <w:pPr>
        <w:pStyle w:val="Heading1"/>
      </w:pPr>
      <w:bookmarkStart w:id="23" w:name="_Toc520204969"/>
      <w:r>
        <w:t xml:space="preserve">8. </w:t>
      </w:r>
      <w:r w:rsidR="005A60C9">
        <w:t>Assignment of Proceeding</w:t>
      </w:r>
      <w:bookmarkEnd w:id="23"/>
    </w:p>
    <w:p w:rsidR="005A60C9" w:rsidRDefault="007671E0">
      <w:pPr>
        <w:pStyle w:val="standard"/>
      </w:pPr>
      <w:r>
        <w:t>Liane M. Randolph</w:t>
      </w:r>
      <w:r w:rsidR="005A60C9">
        <w:t xml:space="preserve"> is</w:t>
      </w:r>
      <w:r w:rsidR="00FA5F2D">
        <w:t xml:space="preserve"> the assigned Commissioner and Zita Kline</w:t>
      </w:r>
      <w:r w:rsidR="005A60C9">
        <w:t xml:space="preserve"> is the assigned A</w:t>
      </w:r>
      <w:r w:rsidR="00DF2623">
        <w:t>LJ</w:t>
      </w:r>
      <w:r w:rsidR="005A60C9">
        <w:t xml:space="preserve"> in this proceeding.</w:t>
      </w:r>
    </w:p>
    <w:p w:rsidR="005A60C9" w:rsidRDefault="005A60C9">
      <w:pPr>
        <w:pStyle w:val="dummy"/>
      </w:pPr>
      <w:bookmarkStart w:id="24" w:name="_Toc520204970"/>
      <w:r>
        <w:t>Findings of Fact</w:t>
      </w:r>
      <w:bookmarkEnd w:id="24"/>
    </w:p>
    <w:p w:rsidR="005D69A4" w:rsidRDefault="00ED26E0">
      <w:pPr>
        <w:pStyle w:val="num1"/>
        <w:numPr>
          <w:ilvl w:val="0"/>
          <w:numId w:val="9"/>
        </w:numPr>
      </w:pPr>
      <w:r>
        <w:t xml:space="preserve">Bandwidth CLEC </w:t>
      </w:r>
      <w:r w:rsidR="00C437B5">
        <w:t>represented</w:t>
      </w:r>
      <w:r w:rsidR="00E5237A">
        <w:t xml:space="preserve"> Bandwidth</w:t>
      </w:r>
      <w:r w:rsidR="00921372">
        <w:t>’s officers and director</w:t>
      </w:r>
      <w:r w:rsidR="00C437B5">
        <w:t>s as</w:t>
      </w:r>
      <w:r w:rsidR="00DE037E">
        <w:t xml:space="preserve"> officers and directors of Bandwidth CLEC</w:t>
      </w:r>
      <w:r w:rsidR="002A6DFF">
        <w:t xml:space="preserve"> in A.</w:t>
      </w:r>
      <w:r w:rsidR="005A7655">
        <w:t>0</w:t>
      </w:r>
      <w:r w:rsidR="002A6DFF">
        <w:t>7-03-020</w:t>
      </w:r>
      <w:r w:rsidR="00DE037E">
        <w:t>.</w:t>
      </w:r>
      <w:r w:rsidR="00921372">
        <w:t xml:space="preserve"> </w:t>
      </w:r>
    </w:p>
    <w:p w:rsidR="000D1FF6" w:rsidRDefault="00AD302F" w:rsidP="002F45EA">
      <w:pPr>
        <w:pStyle w:val="num1"/>
        <w:numPr>
          <w:ilvl w:val="0"/>
          <w:numId w:val="9"/>
        </w:numPr>
      </w:pPr>
      <w:r>
        <w:t>Bandwidth CLEC failed to</w:t>
      </w:r>
      <w:r w:rsidR="00527547">
        <w:t xml:space="preserve"> exercise</w:t>
      </w:r>
      <w:r w:rsidR="00333122">
        <w:t xml:space="preserve"> operational control of its telecommunications services </w:t>
      </w:r>
      <w:r w:rsidR="00A2034D">
        <w:t>within one year of the grant of authority to operate under a CPCN pursuant to D.07-09-035.</w:t>
      </w:r>
    </w:p>
    <w:p w:rsidR="006D6472" w:rsidRDefault="0042268E">
      <w:pPr>
        <w:pStyle w:val="num1"/>
        <w:numPr>
          <w:ilvl w:val="0"/>
          <w:numId w:val="9"/>
        </w:numPr>
      </w:pPr>
      <w:r>
        <w:lastRenderedPageBreak/>
        <w:t>Bandwidth CLEC failed to</w:t>
      </w:r>
      <w:r w:rsidR="006D6472">
        <w:t xml:space="preserve"> </w:t>
      </w:r>
      <w:r w:rsidR="00333122">
        <w:t xml:space="preserve">exercise </w:t>
      </w:r>
      <w:r w:rsidR="00D518CE">
        <w:t>managerial</w:t>
      </w:r>
      <w:r w:rsidR="00BF1C10">
        <w:t xml:space="preserve"> control of</w:t>
      </w:r>
      <w:r w:rsidR="00333122">
        <w:t xml:space="preserve"> it</w:t>
      </w:r>
      <w:r w:rsidR="008069AB">
        <w:t>s</w:t>
      </w:r>
      <w:r w:rsidR="00333122">
        <w:t xml:space="preserve"> telecommunications services </w:t>
      </w:r>
      <w:r w:rsidR="00C73ADF">
        <w:t>within one year of the grant of authority to operate under a CPCN pursuant to</w:t>
      </w:r>
      <w:r w:rsidR="00333122">
        <w:t xml:space="preserve"> D</w:t>
      </w:r>
      <w:r w:rsidR="00F939F3">
        <w:t>.07-09-035</w:t>
      </w:r>
      <w:r w:rsidR="00BF1C10">
        <w:t xml:space="preserve">. </w:t>
      </w:r>
    </w:p>
    <w:p w:rsidR="003E3BD6" w:rsidRDefault="006A1C99" w:rsidP="003E3BD6">
      <w:pPr>
        <w:pStyle w:val="num1"/>
        <w:numPr>
          <w:ilvl w:val="0"/>
          <w:numId w:val="9"/>
        </w:numPr>
      </w:pPr>
      <w:r>
        <w:t>Bandwidth</w:t>
      </w:r>
      <w:r w:rsidR="00BF1C10">
        <w:t xml:space="preserve"> exercised </w:t>
      </w:r>
      <w:r w:rsidR="008E430E">
        <w:t>managerial and operation</w:t>
      </w:r>
      <w:r>
        <w:t>al</w:t>
      </w:r>
      <w:r w:rsidR="008E430E">
        <w:t xml:space="preserve"> control</w:t>
      </w:r>
      <w:r w:rsidR="00741CCF">
        <w:t xml:space="preserve"> of</w:t>
      </w:r>
      <w:r w:rsidR="00BF1C10">
        <w:t xml:space="preserve"> telecommunications services </w:t>
      </w:r>
      <w:r w:rsidR="008C0897">
        <w:t xml:space="preserve">under </w:t>
      </w:r>
      <w:r w:rsidR="006A784C">
        <w:t>Bandwidth</w:t>
      </w:r>
      <w:r w:rsidR="00D36A2E">
        <w:t xml:space="preserve"> CLEC</w:t>
      </w:r>
      <w:r w:rsidR="008C0897">
        <w:t>’s CPCN</w:t>
      </w:r>
      <w:r w:rsidR="0080182F">
        <w:t xml:space="preserve"> from 2007 to the present</w:t>
      </w:r>
      <w:r w:rsidR="00D36A2E">
        <w:t>.</w:t>
      </w:r>
    </w:p>
    <w:p w:rsidR="004D6318" w:rsidRDefault="00F715EF">
      <w:pPr>
        <w:pStyle w:val="num1"/>
        <w:numPr>
          <w:ilvl w:val="0"/>
          <w:numId w:val="9"/>
        </w:numPr>
      </w:pPr>
      <w:r>
        <w:t>The Joint Parties</w:t>
      </w:r>
      <w:r w:rsidR="004D6318">
        <w:t xml:space="preserve"> </w:t>
      </w:r>
      <w:r w:rsidR="00082348">
        <w:t>provided sufficient evidence of intent to create managerial control</w:t>
      </w:r>
      <w:r w:rsidR="00CB36B6">
        <w:t xml:space="preserve"> of Bandwidth CLEC by its own management,</w:t>
      </w:r>
      <w:r w:rsidR="00082348">
        <w:t xml:space="preserve"> but </w:t>
      </w:r>
      <w:r w:rsidR="004D6318">
        <w:t>did not provide sufficient evidence of intent to cease operation</w:t>
      </w:r>
      <w:r>
        <w:t xml:space="preserve">al control </w:t>
      </w:r>
      <w:r w:rsidR="006105BA">
        <w:t>of telecommunications servic</w:t>
      </w:r>
      <w:r w:rsidR="00945977">
        <w:t xml:space="preserve">es </w:t>
      </w:r>
      <w:r w:rsidR="0055643F">
        <w:t>by Bandwidth</w:t>
      </w:r>
      <w:r w:rsidR="00CB36B6">
        <w:t>,</w:t>
      </w:r>
      <w:r w:rsidR="00945977">
        <w:t xml:space="preserve"> to support a grant of authority for Bandwidth CLEC to operate </w:t>
      </w:r>
      <w:r w:rsidR="00694D78">
        <w:t>under its CPCN on a prospective basis</w:t>
      </w:r>
      <w:r w:rsidR="00E301CD">
        <w:t>.</w:t>
      </w:r>
    </w:p>
    <w:p w:rsidR="00D87BEB" w:rsidRDefault="00D87BEB" w:rsidP="00D87BEB">
      <w:pPr>
        <w:pStyle w:val="num1"/>
        <w:numPr>
          <w:ilvl w:val="0"/>
          <w:numId w:val="9"/>
        </w:numPr>
      </w:pPr>
      <w:r>
        <w:t>Bandwidth CLEC’s management qualifications are required to determine Bandwidth CLEC’s qualifications to operate as a public utility providing telecommunications services in the state of California.</w:t>
      </w:r>
    </w:p>
    <w:p w:rsidR="0033154B" w:rsidRDefault="0033154B" w:rsidP="0033154B">
      <w:pPr>
        <w:pStyle w:val="num1"/>
        <w:numPr>
          <w:ilvl w:val="0"/>
          <w:numId w:val="9"/>
        </w:numPr>
      </w:pPr>
      <w:r>
        <w:t xml:space="preserve">The failure to seek prior authorization for the transfer of control of Bandwidth CLEC to Bandwidth meets </w:t>
      </w:r>
      <w:r w:rsidR="00CC0A23">
        <w:t xml:space="preserve">the </w:t>
      </w:r>
      <w:r>
        <w:t>criteria for imposition of a</w:t>
      </w:r>
      <w:r w:rsidR="00551A0C">
        <w:t xml:space="preserve"> fine under Pub. Util. Code § </w:t>
      </w:r>
      <w:r>
        <w:t>2107.</w:t>
      </w:r>
    </w:p>
    <w:p w:rsidR="00BF0C4A" w:rsidRDefault="006C2512" w:rsidP="00921D93">
      <w:pPr>
        <w:pStyle w:val="num1"/>
        <w:numPr>
          <w:ilvl w:val="0"/>
          <w:numId w:val="9"/>
        </w:numPr>
      </w:pPr>
      <w:r>
        <w:t>The failure of Bandwidth CLEC to be candid with regard to its management meets the criteria for imposition of</w:t>
      </w:r>
      <w:r w:rsidR="008A040D">
        <w:t xml:space="preserve"> a fine under Pub. Util. Code § </w:t>
      </w:r>
      <w:r>
        <w:t>2107.</w:t>
      </w:r>
    </w:p>
    <w:p w:rsidR="00BF0C4A" w:rsidRDefault="00BF0C4A" w:rsidP="00921D93">
      <w:pPr>
        <w:pStyle w:val="Default"/>
        <w:numPr>
          <w:ilvl w:val="0"/>
          <w:numId w:val="9"/>
        </w:numPr>
        <w:spacing w:line="360" w:lineRule="auto"/>
      </w:pPr>
      <w:r w:rsidRPr="008A040D">
        <w:rPr>
          <w:sz w:val="26"/>
          <w:szCs w:val="26"/>
        </w:rPr>
        <w:t xml:space="preserve">Pursuant to Rule 11.4, Bandwidth CLEC filed </w:t>
      </w:r>
      <w:r w:rsidR="004B449E" w:rsidRPr="008A040D">
        <w:rPr>
          <w:sz w:val="26"/>
          <w:szCs w:val="26"/>
        </w:rPr>
        <w:t xml:space="preserve">a </w:t>
      </w:r>
      <w:r w:rsidRPr="008A040D">
        <w:rPr>
          <w:sz w:val="26"/>
          <w:szCs w:val="26"/>
        </w:rPr>
        <w:t xml:space="preserve">motion for leave to file confidential materials under seal, including </w:t>
      </w:r>
      <w:r w:rsidR="004865EC" w:rsidRPr="008A040D">
        <w:rPr>
          <w:sz w:val="26"/>
          <w:szCs w:val="26"/>
        </w:rPr>
        <w:t xml:space="preserve">audited </w:t>
      </w:r>
      <w:r w:rsidRPr="008A040D">
        <w:rPr>
          <w:sz w:val="26"/>
          <w:szCs w:val="26"/>
        </w:rPr>
        <w:t xml:space="preserve">financial information for Bandwidth. </w:t>
      </w:r>
    </w:p>
    <w:p w:rsidR="005A60C9" w:rsidRDefault="005A60C9">
      <w:pPr>
        <w:pStyle w:val="dummy"/>
      </w:pPr>
      <w:bookmarkStart w:id="25" w:name="_Toc520204971"/>
      <w:r>
        <w:t>Conclusions of Law</w:t>
      </w:r>
      <w:bookmarkEnd w:id="25"/>
    </w:p>
    <w:p w:rsidR="00F94776" w:rsidRDefault="00F94776" w:rsidP="002F7157">
      <w:pPr>
        <w:pStyle w:val="num1"/>
        <w:numPr>
          <w:ilvl w:val="0"/>
          <w:numId w:val="10"/>
        </w:numPr>
      </w:pPr>
      <w:r>
        <w:t>Pub. Util. Code § 854(a)</w:t>
      </w:r>
      <w:r w:rsidR="00FF4F4C">
        <w:t xml:space="preserve"> requires Commission authorization of any transfer of control of a public utility.</w:t>
      </w:r>
    </w:p>
    <w:p w:rsidR="002F7157" w:rsidRDefault="004F3930" w:rsidP="002F7157">
      <w:pPr>
        <w:pStyle w:val="num1"/>
        <w:numPr>
          <w:ilvl w:val="0"/>
          <w:numId w:val="10"/>
        </w:numPr>
      </w:pPr>
      <w:r>
        <w:lastRenderedPageBreak/>
        <w:t xml:space="preserve">Any transfer of control of a public utility without prior Commission authorization is void under </w:t>
      </w:r>
      <w:r w:rsidR="002F7157">
        <w:t>Pub. Util. Code</w:t>
      </w:r>
      <w:r>
        <w:t xml:space="preserve"> § 854(a)</w:t>
      </w:r>
      <w:r w:rsidR="002F7157">
        <w:t>.</w:t>
      </w:r>
    </w:p>
    <w:p w:rsidR="002C351F" w:rsidRDefault="002C351F" w:rsidP="009D097F">
      <w:pPr>
        <w:pStyle w:val="num1"/>
        <w:numPr>
          <w:ilvl w:val="0"/>
          <w:numId w:val="10"/>
        </w:numPr>
      </w:pPr>
      <w:r>
        <w:t xml:space="preserve">The Commission has a policy disfavoring </w:t>
      </w:r>
      <w:r w:rsidRPr="002C351F">
        <w:rPr>
          <w:i/>
        </w:rPr>
        <w:t>nunc pro tunc</w:t>
      </w:r>
      <w:r>
        <w:t xml:space="preserve"> approvals of </w:t>
      </w:r>
      <w:r w:rsidR="00B2080B">
        <w:t>the transfer of control of a public utility.</w:t>
      </w:r>
      <w:r w:rsidR="00785E8C">
        <w:t xml:space="preserve"> </w:t>
      </w:r>
      <w:r w:rsidR="00BC7331">
        <w:t xml:space="preserve"> </w:t>
      </w:r>
      <w:r w:rsidR="00CA3F03">
        <w:t xml:space="preserve">Joint </w:t>
      </w:r>
      <w:r w:rsidR="00BC7331">
        <w:t>Applicants have not shown sufficient reason to depart from the policy.</w:t>
      </w:r>
    </w:p>
    <w:p w:rsidR="00022B5F" w:rsidRDefault="00022B5F" w:rsidP="00022B5F">
      <w:pPr>
        <w:pStyle w:val="num1"/>
        <w:numPr>
          <w:ilvl w:val="0"/>
          <w:numId w:val="10"/>
        </w:numPr>
      </w:pPr>
      <w:r>
        <w:t xml:space="preserve">The public interest will not be served by a transfer of </w:t>
      </w:r>
      <w:r w:rsidR="00A41631">
        <w:t>control</w:t>
      </w:r>
      <w:r>
        <w:t xml:space="preserve"> from Bandwidth CLEC to David A. Morken.  </w:t>
      </w:r>
    </w:p>
    <w:p w:rsidR="009F10A9" w:rsidRDefault="009F10A9">
      <w:pPr>
        <w:pStyle w:val="num1"/>
        <w:numPr>
          <w:ilvl w:val="0"/>
          <w:numId w:val="10"/>
        </w:numPr>
      </w:pPr>
      <w:r>
        <w:t>Bandwidth CLEC violated Pub. Util. Code § 854(a) by failing to seek prior authorization from the Commission before allowing Bandwidth direct operational and managerial control of Bandwidth CLEC.</w:t>
      </w:r>
    </w:p>
    <w:p w:rsidR="00E74888" w:rsidRDefault="004D49AB">
      <w:pPr>
        <w:pStyle w:val="num1"/>
        <w:numPr>
          <w:ilvl w:val="0"/>
          <w:numId w:val="10"/>
        </w:numPr>
      </w:pPr>
      <w:r>
        <w:t>Bandwidth CLEC violated</w:t>
      </w:r>
      <w:r w:rsidR="00E74888">
        <w:t xml:space="preserve"> Rule 1.1 </w:t>
      </w:r>
      <w:r>
        <w:t xml:space="preserve">of the Commission’s Rules of Practice and Procedure </w:t>
      </w:r>
      <w:r w:rsidR="00E74888">
        <w:t>by failing to be candid with regard to its management of Bandwidth CLEC in A</w:t>
      </w:r>
      <w:r w:rsidR="00DF2623">
        <w:t>.</w:t>
      </w:r>
      <w:r w:rsidR="00FC0B82">
        <w:t>0</w:t>
      </w:r>
      <w:r w:rsidR="00E74888">
        <w:t>7-03-020.</w:t>
      </w:r>
    </w:p>
    <w:p w:rsidR="00476A33" w:rsidRDefault="00476A33">
      <w:pPr>
        <w:pStyle w:val="num1"/>
        <w:numPr>
          <w:ilvl w:val="0"/>
          <w:numId w:val="10"/>
        </w:numPr>
      </w:pPr>
      <w:r>
        <w:t xml:space="preserve">Under D.98-12-075, the Commission will consider </w:t>
      </w:r>
      <w:r w:rsidR="00453EA2">
        <w:t xml:space="preserve">the following criteria for determining the amount of a fine: </w:t>
      </w:r>
      <w:r w:rsidR="008A040D">
        <w:t xml:space="preserve"> </w:t>
      </w:r>
      <w:r w:rsidR="00453EA2">
        <w:t>(i) the severity of the offense</w:t>
      </w:r>
      <w:r w:rsidR="00DF2623">
        <w:t>;</w:t>
      </w:r>
      <w:r w:rsidR="00453EA2">
        <w:t xml:space="preserve"> (ii) the conduct of the utility</w:t>
      </w:r>
      <w:r w:rsidR="00DF2623">
        <w:t>;</w:t>
      </w:r>
      <w:r w:rsidR="00453EA2">
        <w:t xml:space="preserve"> (iii) the financial resources of the utility, (iv) th</w:t>
      </w:r>
      <w:r w:rsidR="00DF2623">
        <w:t>e totality of the circumstances;</w:t>
      </w:r>
      <w:r w:rsidR="00453EA2">
        <w:t xml:space="preserve"> and (v)</w:t>
      </w:r>
      <w:r w:rsidR="00283652">
        <w:t xml:space="preserve"> </w:t>
      </w:r>
      <w:r w:rsidR="00886B22">
        <w:t>the role of precedent.</w:t>
      </w:r>
    </w:p>
    <w:p w:rsidR="006904C0" w:rsidRDefault="006904C0">
      <w:pPr>
        <w:pStyle w:val="num1"/>
        <w:numPr>
          <w:ilvl w:val="0"/>
          <w:numId w:val="10"/>
        </w:numPr>
      </w:pPr>
      <w:r>
        <w:t>Pub. Util. Code § 2107 requires the Commission to impose a penalty for the violation of</w:t>
      </w:r>
      <w:r w:rsidR="00A41134">
        <w:t xml:space="preserve"> Pub. Util. Code </w:t>
      </w:r>
      <w:r>
        <w:t xml:space="preserve">§ 854(a) </w:t>
      </w:r>
      <w:r w:rsidR="00B53112">
        <w:t>and the violation of Rule 1.1</w:t>
      </w:r>
      <w:r w:rsidR="00623B53">
        <w:t>,</w:t>
      </w:r>
      <w:r w:rsidR="00B53112">
        <w:t xml:space="preserve"> </w:t>
      </w:r>
      <w:r>
        <w:t>and the penalty of $5,000 meets the criteria under D.98-12-075 for imposition of a penalty.</w:t>
      </w:r>
    </w:p>
    <w:p w:rsidR="00554C0F" w:rsidRDefault="004A1BA8" w:rsidP="00554C0F">
      <w:pPr>
        <w:pStyle w:val="num1"/>
        <w:numPr>
          <w:ilvl w:val="0"/>
          <w:numId w:val="10"/>
        </w:numPr>
      </w:pPr>
      <w:r>
        <w:t xml:space="preserve">Bandwidth CLEC’s CPCN failed to </w:t>
      </w:r>
      <w:r w:rsidR="00834B3C">
        <w:t>meet the requirements</w:t>
      </w:r>
      <w:r>
        <w:t xml:space="preserve"> under the Commission’s gran</w:t>
      </w:r>
      <w:r w:rsidR="00C419C9">
        <w:t>t of authority to operate a CPCN</w:t>
      </w:r>
      <w:r>
        <w:t xml:space="preserve"> pursuant to D.07-09-035.</w:t>
      </w:r>
    </w:p>
    <w:p w:rsidR="00554C0F" w:rsidRPr="004865EC" w:rsidRDefault="00554C0F" w:rsidP="00914E81">
      <w:pPr>
        <w:pStyle w:val="num1"/>
        <w:numPr>
          <w:ilvl w:val="0"/>
          <w:numId w:val="10"/>
        </w:numPr>
        <w:ind w:firstLine="180"/>
      </w:pPr>
      <w:r>
        <w:rPr>
          <w:szCs w:val="26"/>
        </w:rPr>
        <w:t>Bandwidth CLEC</w:t>
      </w:r>
      <w:r w:rsidRPr="00456C7F">
        <w:rPr>
          <w:szCs w:val="26"/>
        </w:rPr>
        <w:t xml:space="preserve">’s motion to file under seal its Exhibit </w:t>
      </w:r>
      <w:r w:rsidR="00AE2C0A">
        <w:rPr>
          <w:szCs w:val="26"/>
        </w:rPr>
        <w:t>C</w:t>
      </w:r>
      <w:r w:rsidRPr="00456C7F">
        <w:rPr>
          <w:szCs w:val="26"/>
        </w:rPr>
        <w:t xml:space="preserve"> to the application, should be granted for three years. </w:t>
      </w:r>
    </w:p>
    <w:p w:rsidR="00DF20FF" w:rsidRDefault="00DF20FF" w:rsidP="006171A4">
      <w:pPr>
        <w:pStyle w:val="num1"/>
        <w:numPr>
          <w:ilvl w:val="0"/>
          <w:numId w:val="10"/>
        </w:numPr>
        <w:ind w:firstLine="180"/>
      </w:pPr>
      <w:r>
        <w:t>This proceeding should be closed.</w:t>
      </w:r>
    </w:p>
    <w:p w:rsidR="009E7DAD" w:rsidRDefault="009E7DAD" w:rsidP="006171A4">
      <w:pPr>
        <w:pStyle w:val="mainex"/>
        <w:keepNext w:val="0"/>
      </w:pPr>
    </w:p>
    <w:p w:rsidR="005A60C9" w:rsidRDefault="005A60C9" w:rsidP="009A4B6A">
      <w:pPr>
        <w:pStyle w:val="mainex"/>
      </w:pPr>
      <w:bookmarkStart w:id="26" w:name="_Toc520204972"/>
      <w:r>
        <w:lastRenderedPageBreak/>
        <w:t>ORDER</w:t>
      </w:r>
      <w:bookmarkEnd w:id="26"/>
    </w:p>
    <w:p w:rsidR="005A60C9" w:rsidRDefault="005A60C9" w:rsidP="009A4B6A">
      <w:pPr>
        <w:pStyle w:val="mainex"/>
      </w:pPr>
    </w:p>
    <w:p w:rsidR="005A60C9" w:rsidRDefault="005A60C9" w:rsidP="009A4B6A">
      <w:pPr>
        <w:pStyle w:val="standard"/>
        <w:keepNext/>
      </w:pPr>
      <w:r>
        <w:rPr>
          <w:b/>
        </w:rPr>
        <w:t>IT IS ORDERED</w:t>
      </w:r>
      <w:r>
        <w:t xml:space="preserve"> that:</w:t>
      </w:r>
    </w:p>
    <w:p w:rsidR="00620CEB" w:rsidRDefault="00620CEB" w:rsidP="009A4B6A">
      <w:pPr>
        <w:pStyle w:val="num1"/>
        <w:keepNext/>
        <w:numPr>
          <w:ilvl w:val="0"/>
          <w:numId w:val="8"/>
        </w:numPr>
      </w:pPr>
      <w:r>
        <w:t>Application 17-09-007</w:t>
      </w:r>
      <w:r w:rsidR="00957DDB">
        <w:t xml:space="preserve"> requesting transfer of </w:t>
      </w:r>
      <w:r w:rsidR="00A41631">
        <w:t>control</w:t>
      </w:r>
      <w:r w:rsidR="00957DDB">
        <w:t xml:space="preserve"> from Bandwidth.com CLEC</w:t>
      </w:r>
      <w:r w:rsidR="00DF0DA5">
        <w:t>,</w:t>
      </w:r>
      <w:r w:rsidR="00957DDB">
        <w:t xml:space="preserve"> LLC to David A. Morken is</w:t>
      </w:r>
      <w:r>
        <w:t xml:space="preserve"> denied</w:t>
      </w:r>
      <w:r w:rsidR="00957DDB">
        <w:t xml:space="preserve"> </w:t>
      </w:r>
      <w:r w:rsidR="00716035">
        <w:t>for failure of Bandwidth.com CLEC</w:t>
      </w:r>
      <w:r w:rsidR="00DF0DA5">
        <w:t>,</w:t>
      </w:r>
      <w:r w:rsidR="00716035">
        <w:t xml:space="preserve"> LLC to meet the requirements of Decision </w:t>
      </w:r>
      <w:r w:rsidR="00FC0B82">
        <w:t>07-09</w:t>
      </w:r>
      <w:r w:rsidR="00D141C9">
        <w:t>-0</w:t>
      </w:r>
      <w:r w:rsidR="00FC0B82">
        <w:t>35</w:t>
      </w:r>
      <w:r w:rsidR="00915875">
        <w:t>.</w:t>
      </w:r>
    </w:p>
    <w:p w:rsidR="005A60C9" w:rsidRDefault="005F3393" w:rsidP="006171A4">
      <w:pPr>
        <w:pStyle w:val="num1"/>
        <w:numPr>
          <w:ilvl w:val="0"/>
          <w:numId w:val="8"/>
        </w:numPr>
      </w:pPr>
      <w:r>
        <w:t>Bandwidth</w:t>
      </w:r>
      <w:r w:rsidR="001B2D1B">
        <w:t>.com</w:t>
      </w:r>
      <w:r>
        <w:t xml:space="preserve"> CLEC</w:t>
      </w:r>
      <w:r w:rsidR="00EB1CB9">
        <w:t>,</w:t>
      </w:r>
      <w:r w:rsidR="00DA5F3E">
        <w:t xml:space="preserve"> LLC’s</w:t>
      </w:r>
      <w:r>
        <w:t xml:space="preserve"> certificate of public convenience and necessity</w:t>
      </w:r>
      <w:r w:rsidR="003F2A51">
        <w:t xml:space="preserve"> (CPCN)</w:t>
      </w:r>
      <w:r w:rsidR="009D047F">
        <w:t xml:space="preserve"> (U</w:t>
      </w:r>
      <w:r w:rsidR="00A22564">
        <w:noBreakHyphen/>
      </w:r>
      <w:r w:rsidR="008C2001">
        <w:t>7038C</w:t>
      </w:r>
      <w:r w:rsidR="009D047F">
        <w:t>)</w:t>
      </w:r>
      <w:r w:rsidR="00980035">
        <w:t xml:space="preserve"> shall be</w:t>
      </w:r>
      <w:r w:rsidR="000F4770">
        <w:t xml:space="preserve"> revoked, effective as of </w:t>
      </w:r>
      <w:r w:rsidR="003F2A51">
        <w:t xml:space="preserve">ninety days of </w:t>
      </w:r>
      <w:r w:rsidR="000F4770">
        <w:t>the date of this order</w:t>
      </w:r>
      <w:r>
        <w:t xml:space="preserve">. </w:t>
      </w:r>
      <w:r w:rsidR="003F2A51">
        <w:t xml:space="preserve"> If Bandwidth, Incorporated applies for a CPCN to operate in a substantially similar manner as the CPCN granted to Bandwidth.com CLEC, LLC in Decision 07-09-035, then Bandwidth.com CLEC, LLC’s CPCN (U-7038-C) shall remain effective during the pendency of Bandwidth Incorporated’s application.</w:t>
      </w:r>
    </w:p>
    <w:p w:rsidR="00DA5F3E" w:rsidRDefault="007C0CF5" w:rsidP="006171A4">
      <w:pPr>
        <w:pStyle w:val="num1"/>
        <w:numPr>
          <w:ilvl w:val="0"/>
          <w:numId w:val="8"/>
        </w:numPr>
      </w:pPr>
      <w:r>
        <w:t>Bandwidth</w:t>
      </w:r>
      <w:r w:rsidR="001B2D1B">
        <w:t>.com</w:t>
      </w:r>
      <w:r>
        <w:t xml:space="preserve"> CLEC</w:t>
      </w:r>
      <w:r w:rsidR="00EB1CB9">
        <w:t>, LLC</w:t>
      </w:r>
      <w:r w:rsidR="005A79C4">
        <w:t xml:space="preserve"> and </w:t>
      </w:r>
      <w:r w:rsidR="00980035">
        <w:t xml:space="preserve">Bandwidth Incorporated shall </w:t>
      </w:r>
      <w:r w:rsidR="002303DF">
        <w:t xml:space="preserve">jointly </w:t>
      </w:r>
      <w:r w:rsidR="00430877">
        <w:t>pay a fine</w:t>
      </w:r>
      <w:r w:rsidR="005A79C4">
        <w:t xml:space="preserve"> in the amount of</w:t>
      </w:r>
      <w:r>
        <w:t xml:space="preserve"> $5,000</w:t>
      </w:r>
      <w:r w:rsidR="005A79C4">
        <w:t xml:space="preserve"> for violating Public Utilities Code Section 854(a).  </w:t>
      </w:r>
      <w:r w:rsidR="00DA6B4C">
        <w:t>Bandwidth.com CLEC, LLC and Bandwidth Incorporat</w:t>
      </w:r>
      <w:r w:rsidR="00551A0C">
        <w:t>ed shall pay the fine within 30 </w:t>
      </w:r>
      <w:r w:rsidR="00DA6B4C">
        <w:t xml:space="preserve">days from the effective date of this order by tendering </w:t>
      </w:r>
      <w:r w:rsidR="00BA49C7">
        <w:t>to the Fiscal Office of the California Public Utilities Commission a check in the amount of the $5,000 made payable to the State of Californ</w:t>
      </w:r>
      <w:r w:rsidR="00250B15">
        <w:t>ia General Fund; and shall file proof of payment at the Commission’s Docket Office within 40 days of payment.</w:t>
      </w:r>
    </w:p>
    <w:p w:rsidR="003F2A51" w:rsidRDefault="003F2A51" w:rsidP="003F2A51">
      <w:pPr>
        <w:pStyle w:val="num1"/>
        <w:keepNext/>
        <w:keepLines/>
        <w:numPr>
          <w:ilvl w:val="0"/>
          <w:numId w:val="8"/>
        </w:numPr>
      </w:pPr>
      <w:r>
        <w:t>The pending motion, dated June 4, 2018, to hold a status conference is denied.</w:t>
      </w:r>
    </w:p>
    <w:p w:rsidR="00393827" w:rsidRPr="00456C7F" w:rsidRDefault="001B45A7" w:rsidP="00162058">
      <w:pPr>
        <w:pStyle w:val="Default"/>
        <w:numPr>
          <w:ilvl w:val="0"/>
          <w:numId w:val="8"/>
        </w:numPr>
        <w:spacing w:line="360" w:lineRule="auto"/>
        <w:ind w:firstLine="360"/>
      </w:pPr>
      <w:r>
        <w:rPr>
          <w:sz w:val="26"/>
          <w:szCs w:val="26"/>
        </w:rPr>
        <w:t>Bandwidth.com CLEC, LLC</w:t>
      </w:r>
      <w:r w:rsidR="00393827" w:rsidRPr="00921D93">
        <w:rPr>
          <w:sz w:val="26"/>
          <w:szCs w:val="26"/>
        </w:rPr>
        <w:t xml:space="preserve">’s motion to file under seal its Exhibit </w:t>
      </w:r>
      <w:r>
        <w:rPr>
          <w:sz w:val="26"/>
          <w:szCs w:val="26"/>
        </w:rPr>
        <w:t>C</w:t>
      </w:r>
      <w:r w:rsidR="00393827" w:rsidRPr="00921D93">
        <w:rPr>
          <w:sz w:val="26"/>
          <w:szCs w:val="26"/>
        </w:rPr>
        <w:t xml:space="preserve"> is granted for a period of three years after the date of this decision. </w:t>
      </w:r>
      <w:r w:rsidR="00FF47B2">
        <w:rPr>
          <w:sz w:val="26"/>
          <w:szCs w:val="26"/>
        </w:rPr>
        <w:t xml:space="preserve"> </w:t>
      </w:r>
      <w:r w:rsidR="00393827" w:rsidRPr="00921D93">
        <w:rPr>
          <w:sz w:val="26"/>
          <w:szCs w:val="26"/>
        </w:rPr>
        <w:t>During this three</w:t>
      </w:r>
      <w:r w:rsidR="00AE5BFB">
        <w:rPr>
          <w:sz w:val="26"/>
          <w:szCs w:val="26"/>
        </w:rPr>
        <w:t>-</w:t>
      </w:r>
      <w:r w:rsidR="00393827" w:rsidRPr="00921D93">
        <w:rPr>
          <w:sz w:val="26"/>
          <w:szCs w:val="26"/>
        </w:rPr>
        <w:t>year period, this information shall not be publicly disclosed except on further Commission order or Administrative Law Judge ruling.</w:t>
      </w:r>
      <w:r w:rsidR="00AE5BFB">
        <w:rPr>
          <w:sz w:val="26"/>
          <w:szCs w:val="26"/>
        </w:rPr>
        <w:t xml:space="preserve"> </w:t>
      </w:r>
      <w:r w:rsidR="00393827" w:rsidRPr="00921D93">
        <w:rPr>
          <w:sz w:val="26"/>
          <w:szCs w:val="26"/>
        </w:rPr>
        <w:t xml:space="preserve"> If </w:t>
      </w:r>
      <w:r w:rsidR="00AE5BFB">
        <w:rPr>
          <w:sz w:val="26"/>
          <w:szCs w:val="26"/>
        </w:rPr>
        <w:t>Bandwidth.com CLEC, LLC</w:t>
      </w:r>
      <w:r w:rsidR="00393827" w:rsidRPr="00921D93">
        <w:rPr>
          <w:sz w:val="26"/>
          <w:szCs w:val="26"/>
        </w:rPr>
        <w:t xml:space="preserve"> believes that it is necessary for this information to </w:t>
      </w:r>
      <w:r w:rsidR="00393827" w:rsidRPr="00921D93">
        <w:rPr>
          <w:sz w:val="26"/>
          <w:szCs w:val="26"/>
        </w:rPr>
        <w:lastRenderedPageBreak/>
        <w:t xml:space="preserve">remain under seal for longer than three years, </w:t>
      </w:r>
      <w:r w:rsidR="00E43B56">
        <w:rPr>
          <w:sz w:val="26"/>
          <w:szCs w:val="26"/>
        </w:rPr>
        <w:t>Bandwidth.com CLEC,</w:t>
      </w:r>
      <w:r w:rsidR="00393827" w:rsidRPr="00921D93">
        <w:rPr>
          <w:sz w:val="26"/>
          <w:szCs w:val="26"/>
        </w:rPr>
        <w:t xml:space="preserve"> LLC may file a new motion showing good cause for extending this order by no later than 30 days before the expiration of this order. </w:t>
      </w:r>
    </w:p>
    <w:p w:rsidR="00DA420B" w:rsidRDefault="00DA420B">
      <w:pPr>
        <w:pStyle w:val="num1"/>
        <w:keepNext/>
        <w:keepLines/>
        <w:numPr>
          <w:ilvl w:val="0"/>
          <w:numId w:val="8"/>
        </w:numPr>
      </w:pPr>
      <w:r>
        <w:t>Application 17-09-007 is closed.</w:t>
      </w:r>
    </w:p>
    <w:p w:rsidR="005A60C9" w:rsidRDefault="005A60C9">
      <w:pPr>
        <w:pStyle w:val="standard"/>
      </w:pPr>
      <w:r>
        <w:t>This order is effective today.</w:t>
      </w:r>
    </w:p>
    <w:p w:rsidR="005A60C9" w:rsidRDefault="005A60C9">
      <w:pPr>
        <w:pStyle w:val="standard"/>
      </w:pPr>
      <w:r>
        <w:t xml:space="preserve">Dated </w:t>
      </w:r>
      <w:r>
        <w:rPr>
          <w:u w:val="single"/>
        </w:rPr>
        <w:tab/>
      </w:r>
      <w:r>
        <w:rPr>
          <w:u w:val="single"/>
        </w:rPr>
        <w:tab/>
      </w:r>
      <w:r>
        <w:rPr>
          <w:u w:val="single"/>
        </w:rPr>
        <w:tab/>
      </w:r>
      <w:r>
        <w:rPr>
          <w:u w:val="single"/>
        </w:rPr>
        <w:tab/>
      </w:r>
      <w:r>
        <w:rPr>
          <w:u w:val="single"/>
        </w:rPr>
        <w:tab/>
      </w:r>
      <w:r>
        <w:t xml:space="preserve">, at </w:t>
      </w:r>
      <w:r w:rsidR="00304D11">
        <w:t>Fresno</w:t>
      </w:r>
      <w:r>
        <w:t>, California.</w:t>
      </w:r>
    </w:p>
    <w:sectPr w:rsidR="005A60C9" w:rsidSect="004E3370">
      <w:headerReference w:type="default" r:id="rId18"/>
      <w:footerReference w:type="default" r:id="rId19"/>
      <w:headerReference w:type="first" r:id="rId20"/>
      <w:footerReference w:type="first" r:id="rId21"/>
      <w:pgSz w:w="12240" w:h="15840" w:code="1"/>
      <w:pgMar w:top="1152" w:right="1440" w:bottom="1440" w:left="1440" w:header="720" w:footer="720"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EE2" w:rsidRDefault="00AC7EE2">
      <w:r>
        <w:separator/>
      </w:r>
    </w:p>
  </w:endnote>
  <w:endnote w:type="continuationSeparator" w:id="0">
    <w:p w:rsidR="00AC7EE2" w:rsidRDefault="00AC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34" w:rsidRDefault="00A779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34" w:rsidRDefault="00A779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AC" w:rsidRDefault="00A77934" w:rsidP="00904791">
    <w:pPr>
      <w:pStyle w:val="Footer"/>
      <w:tabs>
        <w:tab w:val="clear" w:pos="4320"/>
        <w:tab w:val="center" w:pos="4680"/>
      </w:tabs>
      <w:jc w:val="left"/>
    </w:pPr>
    <w:r>
      <w:rPr>
        <w:rFonts w:ascii="Tahoma" w:hAnsi="Tahoma" w:cs="Tahoma"/>
        <w:sz w:val="17"/>
        <w:szCs w:val="17"/>
      </w:rPr>
      <w:t>248029631</w:t>
    </w:r>
    <w:r w:rsidR="00904791">
      <w:rPr>
        <w:sz w:val="16"/>
        <w:szCs w:val="16"/>
      </w:rPr>
      <w:tab/>
    </w:r>
    <w:r w:rsidR="00ED45AC">
      <w:t>-</w:t>
    </w:r>
    <w:sdt>
      <w:sdtPr>
        <w:id w:val="368116645"/>
        <w:docPartObj>
          <w:docPartGallery w:val="Page Numbers (Bottom of Page)"/>
          <w:docPartUnique/>
        </w:docPartObj>
      </w:sdtPr>
      <w:sdtEndPr>
        <w:rPr>
          <w:noProof/>
        </w:rPr>
      </w:sdtEndPr>
      <w:sdtContent>
        <w:r w:rsidR="00ED45AC">
          <w:fldChar w:fldCharType="begin"/>
        </w:r>
        <w:r w:rsidR="00ED45AC">
          <w:instrText xml:space="preserve"> PAGE   \* MERGEFORMAT </w:instrText>
        </w:r>
        <w:r w:rsidR="00ED45AC">
          <w:fldChar w:fldCharType="separate"/>
        </w:r>
        <w:r w:rsidR="00005BDE">
          <w:rPr>
            <w:noProof/>
          </w:rPr>
          <w:t>1</w:t>
        </w:r>
        <w:r w:rsidR="00ED45AC">
          <w:rPr>
            <w:noProof/>
          </w:rPr>
          <w:fldChar w:fldCharType="end"/>
        </w:r>
        <w:r w:rsidR="00ED45AC">
          <w:rPr>
            <w:noProof/>
          </w:rPr>
          <w:t>-</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AC" w:rsidRDefault="00ED45AC">
    <w:pPr>
      <w:pStyle w:val="Footer"/>
    </w:pPr>
    <w:r>
      <w:t xml:space="preserve">- </w:t>
    </w:r>
    <w:r>
      <w:rPr>
        <w:rStyle w:val="PageNumber"/>
      </w:rPr>
      <w:fldChar w:fldCharType="begin"/>
    </w:r>
    <w:r>
      <w:rPr>
        <w:rStyle w:val="PageNumber"/>
      </w:rPr>
      <w:instrText xml:space="preserve"> PAGE </w:instrText>
    </w:r>
    <w:r>
      <w:rPr>
        <w:rStyle w:val="PageNumber"/>
      </w:rPr>
      <w:fldChar w:fldCharType="separate"/>
    </w:r>
    <w:r w:rsidR="00005BDE">
      <w:rPr>
        <w:rStyle w:val="PageNumber"/>
        <w:noProof/>
      </w:rPr>
      <w:t>i</w:t>
    </w:r>
    <w:r>
      <w:rPr>
        <w:rStyle w:val="PageNumber"/>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AC" w:rsidRDefault="00ED45AC">
    <w:pPr>
      <w:pStyle w:val="Footer"/>
      <w:tabs>
        <w:tab w:val="clear" w:pos="4320"/>
        <w:tab w:val="center" w:pos="4680"/>
      </w:tabs>
      <w:rPr>
        <w:rStyle w:val="PageNumber"/>
      </w:rP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005BDE">
      <w:rPr>
        <w:rStyle w:val="PageNumber"/>
        <w:noProof/>
      </w:rPr>
      <w:t>29</w:t>
    </w:r>
    <w:r>
      <w:rPr>
        <w:rStyle w:val="PageNumber"/>
      </w:rPr>
      <w:fldChar w:fldCharType="end"/>
    </w:r>
    <w:r>
      <w:rPr>
        <w:rStyle w:val="PageNumber"/>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AC" w:rsidRDefault="00ED45AC">
    <w:pPr>
      <w:pStyle w:val="Footer"/>
      <w:tabs>
        <w:tab w:val="clear" w:pos="4320"/>
        <w:tab w:val="center" w:pos="4680"/>
      </w:tabs>
      <w:jc w:val="left"/>
      <w:rPr>
        <w:rStyle w:val="PageNumber"/>
        <w:szCs w:val="26"/>
      </w:rPr>
    </w:pPr>
    <w:r>
      <w:rPr>
        <w:rFonts w:ascii="Tahoma" w:hAnsi="Tahoma" w:cs="Tahoma"/>
        <w:sz w:val="17"/>
        <w:szCs w:val="17"/>
      </w:rPr>
      <w:t>215052353</w:t>
    </w:r>
    <w:r>
      <w:rPr>
        <w:rStyle w:val="PageNumber"/>
        <w:sz w:val="16"/>
        <w:szCs w:val="16"/>
      </w:rPr>
      <w:t xml:space="preserve"> </w:t>
    </w:r>
    <w:r>
      <w:rPr>
        <w:rStyle w:val="PageNumber"/>
        <w:sz w:val="24"/>
        <w:szCs w:val="24"/>
      </w:rPr>
      <w:tab/>
    </w:r>
    <w:r>
      <w:rPr>
        <w:rStyle w:val="PageNumber"/>
        <w:szCs w:val="26"/>
      </w:rPr>
      <w:t xml:space="preserve">- </w:t>
    </w:r>
    <w:r>
      <w:rPr>
        <w:rStyle w:val="PageNumber"/>
        <w:szCs w:val="26"/>
      </w:rPr>
      <w:fldChar w:fldCharType="begin"/>
    </w:r>
    <w:r>
      <w:rPr>
        <w:rStyle w:val="PageNumber"/>
        <w:szCs w:val="26"/>
      </w:rPr>
      <w:instrText xml:space="preserve"> PAGE </w:instrText>
    </w:r>
    <w:r>
      <w:rPr>
        <w:rStyle w:val="PageNumber"/>
        <w:szCs w:val="26"/>
      </w:rPr>
      <w:fldChar w:fldCharType="separate"/>
    </w:r>
    <w:r w:rsidR="004E3370">
      <w:rPr>
        <w:rStyle w:val="PageNumber"/>
        <w:noProof/>
        <w:szCs w:val="26"/>
      </w:rPr>
      <w:t>2</w:t>
    </w:r>
    <w:r>
      <w:rPr>
        <w:rStyle w:val="PageNumber"/>
        <w:szCs w:val="26"/>
      </w:rPr>
      <w:fldChar w:fldCharType="end"/>
    </w:r>
    <w:r>
      <w:rPr>
        <w:rStyle w:val="PageNumber"/>
        <w:szCs w:val="2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EE2" w:rsidRDefault="00AC7EE2">
      <w:r>
        <w:separator/>
      </w:r>
    </w:p>
  </w:footnote>
  <w:footnote w:type="continuationSeparator" w:id="0">
    <w:p w:rsidR="00AC7EE2" w:rsidRDefault="00AC7EE2">
      <w:r>
        <w:continuationSeparator/>
      </w:r>
    </w:p>
  </w:footnote>
  <w:footnote w:type="continuationNotice" w:id="1">
    <w:p w:rsidR="00AC7EE2" w:rsidRDefault="00AC7EE2">
      <w:pPr>
        <w:rPr>
          <w:sz w:val="22"/>
        </w:rPr>
      </w:pPr>
    </w:p>
    <w:p w:rsidR="00AC7EE2" w:rsidRDefault="00AC7EE2">
      <w:pPr>
        <w:jc w:val="right"/>
        <w:rPr>
          <w:sz w:val="22"/>
        </w:rPr>
      </w:pPr>
      <w:r>
        <w:rPr>
          <w:i/>
          <w:sz w:val="22"/>
        </w:rPr>
        <w:t>Footnote continued on next page</w:t>
      </w:r>
    </w:p>
  </w:footnote>
  <w:footnote w:id="2">
    <w:p w:rsidR="00ED45AC" w:rsidRPr="009D27CC" w:rsidRDefault="00ED45AC" w:rsidP="009D27CC">
      <w:pPr>
        <w:pStyle w:val="FootnoteText"/>
        <w:spacing w:after="120"/>
        <w:rPr>
          <w:sz w:val="22"/>
          <w:szCs w:val="22"/>
        </w:rPr>
      </w:pPr>
      <w:r w:rsidRPr="009D27CC">
        <w:rPr>
          <w:rStyle w:val="FootnoteReference"/>
          <w:sz w:val="22"/>
          <w:szCs w:val="22"/>
        </w:rPr>
        <w:footnoteRef/>
      </w:r>
      <w:r w:rsidRPr="009D27CC">
        <w:rPr>
          <w:sz w:val="22"/>
          <w:szCs w:val="22"/>
        </w:rPr>
        <w:t xml:space="preserve">  </w:t>
      </w:r>
      <w:r w:rsidRPr="009D27CC">
        <w:rPr>
          <w:rFonts w:eastAsia="Book Antiqua" w:cs="Book Antiqua"/>
          <w:sz w:val="22"/>
          <w:szCs w:val="22"/>
        </w:rPr>
        <w:t xml:space="preserve">On September 15, 2017, Bandwidth.com Incorporated changed its legal name to Bandwidth, Incorporated. </w:t>
      </w:r>
      <w:r w:rsidR="008A7429">
        <w:rPr>
          <w:rFonts w:eastAsia="Book Antiqua" w:cs="Book Antiqua"/>
          <w:sz w:val="22"/>
          <w:szCs w:val="22"/>
        </w:rPr>
        <w:t xml:space="preserve"> </w:t>
      </w:r>
      <w:r w:rsidRPr="009D27CC">
        <w:rPr>
          <w:rFonts w:eastAsia="Book Antiqua" w:cs="Book Antiqua"/>
          <w:sz w:val="22"/>
          <w:szCs w:val="22"/>
        </w:rPr>
        <w:t>(</w:t>
      </w:r>
      <w:r w:rsidRPr="009D27CC">
        <w:rPr>
          <w:sz w:val="22"/>
          <w:szCs w:val="22"/>
        </w:rPr>
        <w:t xml:space="preserve">Response to </w:t>
      </w:r>
      <w:r w:rsidR="005531E6">
        <w:rPr>
          <w:sz w:val="22"/>
          <w:szCs w:val="22"/>
        </w:rPr>
        <w:t>Administrative Law Judge (</w:t>
      </w:r>
      <w:r w:rsidRPr="009D27CC">
        <w:rPr>
          <w:sz w:val="22"/>
          <w:szCs w:val="22"/>
        </w:rPr>
        <w:t>ALJ</w:t>
      </w:r>
      <w:r w:rsidR="005531E6">
        <w:rPr>
          <w:sz w:val="22"/>
          <w:szCs w:val="22"/>
        </w:rPr>
        <w:t>)</w:t>
      </w:r>
      <w:r w:rsidRPr="009D27CC">
        <w:rPr>
          <w:sz w:val="22"/>
          <w:szCs w:val="22"/>
        </w:rPr>
        <w:t xml:space="preserve"> Inquiry at 1.)</w:t>
      </w:r>
    </w:p>
  </w:footnote>
  <w:footnote w:id="3">
    <w:p w:rsidR="00ED45AC" w:rsidRPr="009D27CC" w:rsidRDefault="00ED45AC" w:rsidP="009D27CC">
      <w:pPr>
        <w:pStyle w:val="FootnoteText"/>
        <w:spacing w:after="120"/>
        <w:rPr>
          <w:sz w:val="22"/>
          <w:szCs w:val="22"/>
        </w:rPr>
      </w:pPr>
      <w:r w:rsidRPr="009D27CC">
        <w:rPr>
          <w:rStyle w:val="FootnoteReference"/>
          <w:sz w:val="22"/>
          <w:szCs w:val="22"/>
        </w:rPr>
        <w:footnoteRef/>
      </w:r>
      <w:r w:rsidRPr="009D27CC">
        <w:rPr>
          <w:sz w:val="22"/>
          <w:szCs w:val="22"/>
        </w:rPr>
        <w:t xml:space="preserve">  Response to Administrative Law Judge Ruling (Apr. 19, 2018) at 5 fn. 17.</w:t>
      </w:r>
    </w:p>
  </w:footnote>
  <w:footnote w:id="4">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Response to Administrative Law Judge Inquiry at 2-3.</w:t>
      </w:r>
    </w:p>
  </w:footnote>
  <w:footnote w:id="5">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w:t>
      </w:r>
      <w:r w:rsidRPr="007F2BFB">
        <w:rPr>
          <w:i/>
          <w:sz w:val="22"/>
          <w:szCs w:val="22"/>
        </w:rPr>
        <w:t>Id</w:t>
      </w:r>
      <w:r w:rsidRPr="007F2BFB">
        <w:rPr>
          <w:sz w:val="22"/>
          <w:szCs w:val="22"/>
        </w:rPr>
        <w:t>.</w:t>
      </w:r>
    </w:p>
  </w:footnote>
  <w:footnote w:id="6">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Prehearing Conference RT 4:17-20.</w:t>
      </w:r>
    </w:p>
  </w:footnote>
  <w:footnote w:id="7">
    <w:p w:rsidR="00ED45AC" w:rsidRPr="007F2BFB" w:rsidRDefault="00ED45AC" w:rsidP="007F2BFB">
      <w:pPr>
        <w:pStyle w:val="FootnoteText"/>
        <w:spacing w:after="120"/>
        <w:rPr>
          <w:sz w:val="22"/>
          <w:szCs w:val="22"/>
        </w:rPr>
      </w:pPr>
      <w:r>
        <w:rPr>
          <w:rStyle w:val="FootnoteReference"/>
        </w:rPr>
        <w:footnoteRef/>
      </w:r>
      <w:r>
        <w:t xml:space="preserve">  </w:t>
      </w:r>
      <w:r w:rsidRPr="007F2BFB">
        <w:rPr>
          <w:rFonts w:eastAsia="Book Antiqua" w:cs="Book Antiqua"/>
          <w:sz w:val="22"/>
          <w:szCs w:val="22"/>
        </w:rPr>
        <w:t>Parties to this proceeding include Bandwidth CLEC, Bandwidth and David A. Morken; hereinafter Joint Parties.</w:t>
      </w:r>
    </w:p>
  </w:footnote>
  <w:footnote w:id="8">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ALJ’s Order to Show Cause and Ruling Requiring the Joint Applicants to Amend the Application.</w:t>
      </w:r>
    </w:p>
  </w:footnote>
  <w:footnote w:id="9">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w:t>
      </w:r>
      <w:r w:rsidRPr="007F2BFB">
        <w:rPr>
          <w:i/>
          <w:sz w:val="22"/>
          <w:szCs w:val="22"/>
        </w:rPr>
        <w:t>Id</w:t>
      </w:r>
      <w:r w:rsidRPr="007F2BFB">
        <w:rPr>
          <w:sz w:val="22"/>
          <w:szCs w:val="22"/>
        </w:rPr>
        <w:t>.</w:t>
      </w:r>
    </w:p>
  </w:footnote>
  <w:footnote w:id="10">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ALJ’s Ruling Setting Status Conference and Suspending Dea</w:t>
      </w:r>
      <w:r w:rsidR="008A040D">
        <w:rPr>
          <w:sz w:val="22"/>
          <w:szCs w:val="22"/>
        </w:rPr>
        <w:t>dline to Amend Application at 2</w:t>
      </w:r>
      <w:r w:rsidR="008A040D">
        <w:rPr>
          <w:sz w:val="22"/>
          <w:szCs w:val="22"/>
        </w:rPr>
        <w:noBreakHyphen/>
      </w:r>
      <w:r w:rsidRPr="007F2BFB">
        <w:rPr>
          <w:sz w:val="22"/>
          <w:szCs w:val="22"/>
        </w:rPr>
        <w:t xml:space="preserve">3. </w:t>
      </w:r>
    </w:p>
  </w:footnote>
  <w:footnote w:id="11">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Status Conference RT 21:8-17.</w:t>
      </w:r>
    </w:p>
  </w:footnote>
  <w:footnote w:id="12">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Status Conference RT 21:19-24.</w:t>
      </w:r>
    </w:p>
  </w:footnote>
  <w:footnote w:id="13">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ALJ Ruling.</w:t>
      </w:r>
    </w:p>
  </w:footnote>
  <w:footnote w:id="14">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Response to ALJ Ruling. </w:t>
      </w:r>
    </w:p>
  </w:footnote>
  <w:footnote w:id="15">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w:t>
      </w:r>
      <w:r w:rsidRPr="007F2BFB">
        <w:rPr>
          <w:rFonts w:eastAsia="Arial" w:cs="Arial"/>
          <w:color w:val="000000"/>
          <w:sz w:val="22"/>
          <w:szCs w:val="22"/>
        </w:rPr>
        <w:t xml:space="preserve">D.08-12-021 </w:t>
      </w:r>
      <w:r w:rsidRPr="007F2BFB">
        <w:rPr>
          <w:rFonts w:eastAsia="Arial" w:cs="Arial"/>
          <w:i/>
          <w:color w:val="000000"/>
          <w:sz w:val="22"/>
          <w:szCs w:val="22"/>
        </w:rPr>
        <w:t>citing</w:t>
      </w:r>
      <w:r w:rsidRPr="007F2BFB">
        <w:rPr>
          <w:rFonts w:eastAsia="Arial" w:cs="Arial"/>
          <w:color w:val="000000"/>
          <w:sz w:val="22"/>
          <w:szCs w:val="22"/>
        </w:rPr>
        <w:t xml:space="preserve"> D.07-10-001.</w:t>
      </w:r>
    </w:p>
  </w:footnote>
  <w:footnote w:id="16">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w:t>
      </w:r>
      <w:r w:rsidRPr="007F2BFB">
        <w:rPr>
          <w:rFonts w:eastAsia="Arial" w:cs="Arial"/>
          <w:color w:val="000000"/>
          <w:sz w:val="22"/>
          <w:szCs w:val="22"/>
        </w:rPr>
        <w:t xml:space="preserve">D.08-12-021, </w:t>
      </w:r>
      <w:r w:rsidRPr="007F2BFB">
        <w:rPr>
          <w:rFonts w:eastAsia="Arial" w:cs="Arial"/>
          <w:i/>
          <w:color w:val="000000"/>
          <w:sz w:val="22"/>
          <w:szCs w:val="22"/>
        </w:rPr>
        <w:t>citing</w:t>
      </w:r>
      <w:r w:rsidRPr="007F2BFB">
        <w:rPr>
          <w:rFonts w:eastAsia="Arial" w:cs="Arial"/>
          <w:color w:val="000000"/>
          <w:sz w:val="22"/>
          <w:szCs w:val="22"/>
        </w:rPr>
        <w:t xml:space="preserve"> D.86-02-059 (</w:t>
      </w:r>
      <w:r w:rsidRPr="007F2BFB">
        <w:rPr>
          <w:rFonts w:eastAsia="Arial" w:cs="Arial"/>
          <w:i/>
          <w:color w:val="000000"/>
          <w:sz w:val="22"/>
          <w:szCs w:val="22"/>
        </w:rPr>
        <w:t xml:space="preserve">In Re </w:t>
      </w:r>
      <w:r w:rsidRPr="007F2BFB">
        <w:rPr>
          <w:rFonts w:eastAsia="Arial" w:cs="Arial"/>
          <w:color w:val="000000"/>
          <w:sz w:val="22"/>
          <w:szCs w:val="22"/>
        </w:rPr>
        <w:t xml:space="preserve">Pacific Telesis Group), D.86-12-090 (BellSouth Corp. </w:t>
      </w:r>
      <w:r>
        <w:rPr>
          <w:rFonts w:eastAsia="Arial" w:cs="Arial"/>
          <w:color w:val="000000"/>
          <w:sz w:val="22"/>
          <w:szCs w:val="22"/>
        </w:rPr>
        <w:br/>
      </w:r>
      <w:r w:rsidRPr="007F2BFB">
        <w:rPr>
          <w:rFonts w:eastAsia="Arial" w:cs="Arial"/>
          <w:color w:val="000000"/>
          <w:sz w:val="22"/>
          <w:szCs w:val="22"/>
        </w:rPr>
        <w:t xml:space="preserve">and Mobile Communications Corp.), D.98-12-056 (MM Holdings Corp.), and 0.96-02-061 </w:t>
      </w:r>
      <w:r>
        <w:rPr>
          <w:rFonts w:eastAsia="Arial" w:cs="Arial"/>
          <w:color w:val="000000"/>
          <w:sz w:val="22"/>
          <w:szCs w:val="22"/>
        </w:rPr>
        <w:br/>
      </w:r>
      <w:r w:rsidRPr="007F2BFB">
        <w:rPr>
          <w:rFonts w:eastAsia="Arial" w:cs="Arial"/>
          <w:color w:val="000000"/>
          <w:sz w:val="22"/>
          <w:szCs w:val="22"/>
        </w:rPr>
        <w:t>(San Francisco Thermal.)</w:t>
      </w:r>
    </w:p>
  </w:footnote>
  <w:footnote w:id="17">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w:t>
      </w:r>
      <w:r w:rsidRPr="007F2BFB">
        <w:rPr>
          <w:rFonts w:eastAsia="Arial" w:cs="Arial"/>
          <w:color w:val="000000"/>
          <w:sz w:val="22"/>
          <w:szCs w:val="22"/>
        </w:rPr>
        <w:t xml:space="preserve">D.08-12-021, </w:t>
      </w:r>
      <w:r w:rsidRPr="007F2BFB">
        <w:rPr>
          <w:rFonts w:eastAsia="Arial" w:cs="Arial"/>
          <w:i/>
          <w:color w:val="000000"/>
          <w:sz w:val="22"/>
          <w:szCs w:val="22"/>
        </w:rPr>
        <w:t>citing</w:t>
      </w:r>
      <w:r w:rsidRPr="007F2BFB">
        <w:rPr>
          <w:rFonts w:eastAsia="Arial" w:cs="Arial"/>
          <w:color w:val="000000"/>
          <w:sz w:val="22"/>
          <w:szCs w:val="22"/>
        </w:rPr>
        <w:t xml:space="preserve"> D.93-11-063 (</w:t>
      </w:r>
      <w:r w:rsidRPr="007F2BFB">
        <w:rPr>
          <w:rFonts w:eastAsia="Arial" w:cs="Arial"/>
          <w:i/>
          <w:color w:val="000000"/>
          <w:sz w:val="22"/>
          <w:szCs w:val="22"/>
        </w:rPr>
        <w:t xml:space="preserve">In Re </w:t>
      </w:r>
      <w:r w:rsidRPr="007F2BFB">
        <w:rPr>
          <w:rFonts w:eastAsia="Arial" w:cs="Arial"/>
          <w:color w:val="000000"/>
          <w:sz w:val="22"/>
          <w:szCs w:val="22"/>
        </w:rPr>
        <w:t xml:space="preserve">Paging Network of San Francisco), 0.96-02-061 </w:t>
      </w:r>
      <w:r>
        <w:rPr>
          <w:rFonts w:eastAsia="Arial" w:cs="Arial"/>
          <w:color w:val="000000"/>
          <w:sz w:val="22"/>
          <w:szCs w:val="22"/>
        </w:rPr>
        <w:br/>
      </w:r>
      <w:r w:rsidRPr="007F2BFB">
        <w:rPr>
          <w:rFonts w:eastAsia="Arial" w:cs="Arial"/>
          <w:color w:val="000000"/>
          <w:sz w:val="22"/>
          <w:szCs w:val="22"/>
        </w:rPr>
        <w:t>(San Francisco Thermal).</w:t>
      </w:r>
    </w:p>
  </w:footnote>
  <w:footnote w:id="18">
    <w:p w:rsidR="00ED45AC" w:rsidRPr="007F2BFB" w:rsidRDefault="00ED45AC" w:rsidP="007F2BFB">
      <w:pPr>
        <w:pStyle w:val="FootnoteText"/>
        <w:spacing w:after="120"/>
        <w:rPr>
          <w:sz w:val="22"/>
          <w:szCs w:val="22"/>
        </w:rPr>
      </w:pPr>
      <w:r w:rsidRPr="007F2BFB">
        <w:rPr>
          <w:rStyle w:val="FootnoteReference"/>
          <w:sz w:val="22"/>
          <w:szCs w:val="22"/>
        </w:rPr>
        <w:footnoteRef/>
      </w:r>
      <w:r w:rsidRPr="007F2BFB">
        <w:rPr>
          <w:sz w:val="22"/>
          <w:szCs w:val="22"/>
        </w:rPr>
        <w:t xml:space="preserve">  </w:t>
      </w:r>
      <w:r w:rsidRPr="007F2BFB">
        <w:rPr>
          <w:rFonts w:eastAsia="Arial" w:cs="Arial"/>
          <w:color w:val="000000"/>
          <w:sz w:val="22"/>
          <w:szCs w:val="22"/>
        </w:rPr>
        <w:t xml:space="preserve">D.08-12-021, </w:t>
      </w:r>
      <w:r w:rsidRPr="007F2BFB">
        <w:rPr>
          <w:rFonts w:eastAsia="Arial" w:cs="Arial"/>
          <w:i/>
          <w:color w:val="000000"/>
          <w:sz w:val="22"/>
          <w:szCs w:val="22"/>
        </w:rPr>
        <w:t>citing 0.94-01-025 (In Re San Jose Water Company), D.90363 (WUI Inc. v. Continental Tel. Corp.)</w:t>
      </w:r>
    </w:p>
  </w:footnote>
  <w:footnote w:id="19">
    <w:p w:rsidR="00EF7874" w:rsidRPr="009A4B6A" w:rsidRDefault="00EF7874" w:rsidP="009A4B6A">
      <w:pPr>
        <w:pStyle w:val="FootnoteText"/>
        <w:spacing w:after="120"/>
        <w:rPr>
          <w:sz w:val="22"/>
          <w:szCs w:val="22"/>
        </w:rPr>
      </w:pPr>
      <w:r w:rsidRPr="009A4B6A">
        <w:rPr>
          <w:rStyle w:val="FootnoteReference"/>
          <w:sz w:val="22"/>
          <w:szCs w:val="22"/>
        </w:rPr>
        <w:footnoteRef/>
      </w:r>
      <w:r w:rsidRPr="009A4B6A">
        <w:rPr>
          <w:sz w:val="22"/>
          <w:szCs w:val="22"/>
        </w:rPr>
        <w:t xml:space="preserve"> </w:t>
      </w:r>
      <w:r w:rsidR="009A4B6A" w:rsidRPr="009A4B6A">
        <w:rPr>
          <w:sz w:val="22"/>
          <w:szCs w:val="22"/>
        </w:rPr>
        <w:t xml:space="preserve"> </w:t>
      </w:r>
      <w:r w:rsidRPr="009A4B6A">
        <w:rPr>
          <w:rFonts w:eastAsia="Arial" w:cs="Arial"/>
          <w:color w:val="000000"/>
          <w:sz w:val="22"/>
          <w:szCs w:val="22"/>
        </w:rPr>
        <w:t xml:space="preserve">D.08-12-021, </w:t>
      </w:r>
      <w:r w:rsidRPr="009A4B6A">
        <w:rPr>
          <w:rFonts w:eastAsia="Arial" w:cs="Arial"/>
          <w:i/>
          <w:color w:val="000000"/>
          <w:sz w:val="22"/>
          <w:szCs w:val="22"/>
        </w:rPr>
        <w:t>citing</w:t>
      </w:r>
      <w:r w:rsidRPr="009A4B6A">
        <w:rPr>
          <w:rFonts w:eastAsia="Arial" w:cs="Arial"/>
          <w:color w:val="000000"/>
          <w:sz w:val="22"/>
          <w:szCs w:val="22"/>
        </w:rPr>
        <w:t xml:space="preserve"> D.03-06-099.</w:t>
      </w:r>
    </w:p>
  </w:footnote>
  <w:footnote w:id="20">
    <w:p w:rsidR="00EF7874" w:rsidRPr="009A4B6A" w:rsidRDefault="00EF7874" w:rsidP="009A4B6A">
      <w:pPr>
        <w:pStyle w:val="FootnoteText"/>
        <w:spacing w:after="120"/>
        <w:rPr>
          <w:sz w:val="22"/>
          <w:szCs w:val="22"/>
        </w:rPr>
      </w:pPr>
      <w:r w:rsidRPr="009A4B6A">
        <w:rPr>
          <w:rStyle w:val="FootnoteReference"/>
          <w:sz w:val="22"/>
          <w:szCs w:val="22"/>
        </w:rPr>
        <w:footnoteRef/>
      </w:r>
      <w:r w:rsidR="009A4B6A" w:rsidRPr="009A4B6A">
        <w:rPr>
          <w:sz w:val="22"/>
          <w:szCs w:val="22"/>
        </w:rPr>
        <w:t xml:space="preserve"> </w:t>
      </w:r>
      <w:r w:rsidRPr="009A4B6A">
        <w:rPr>
          <w:sz w:val="22"/>
          <w:szCs w:val="22"/>
        </w:rPr>
        <w:t xml:space="preserve"> </w:t>
      </w:r>
      <w:r w:rsidRPr="009A4B6A">
        <w:rPr>
          <w:rFonts w:eastAsia="Arial" w:cs="Arial"/>
          <w:i/>
          <w:color w:val="000000"/>
          <w:sz w:val="22"/>
          <w:szCs w:val="22"/>
        </w:rPr>
        <w:t>Ibid</w:t>
      </w:r>
      <w:r w:rsidRPr="009A4B6A">
        <w:rPr>
          <w:rFonts w:eastAsia="Arial" w:cs="Arial"/>
          <w:color w:val="000000"/>
          <w:sz w:val="22"/>
          <w:szCs w:val="22"/>
        </w:rPr>
        <w:t>.</w:t>
      </w:r>
    </w:p>
  </w:footnote>
  <w:footnote w:id="21">
    <w:p w:rsidR="00EF7874" w:rsidRPr="009A4B6A" w:rsidRDefault="00EF7874" w:rsidP="009A4B6A">
      <w:pPr>
        <w:pStyle w:val="FootnoteText"/>
        <w:spacing w:after="120"/>
        <w:rPr>
          <w:sz w:val="22"/>
          <w:szCs w:val="22"/>
        </w:rPr>
      </w:pPr>
      <w:r w:rsidRPr="009A4B6A">
        <w:rPr>
          <w:rStyle w:val="FootnoteReference"/>
          <w:sz w:val="22"/>
          <w:szCs w:val="22"/>
        </w:rPr>
        <w:footnoteRef/>
      </w:r>
      <w:r w:rsidRPr="009A4B6A">
        <w:rPr>
          <w:sz w:val="22"/>
          <w:szCs w:val="22"/>
        </w:rPr>
        <w:t xml:space="preserve"> </w:t>
      </w:r>
      <w:r w:rsidR="009A4B6A" w:rsidRPr="009A4B6A">
        <w:rPr>
          <w:sz w:val="22"/>
          <w:szCs w:val="22"/>
        </w:rPr>
        <w:t xml:space="preserve"> </w:t>
      </w:r>
      <w:r w:rsidRPr="009A4B6A">
        <w:rPr>
          <w:rFonts w:eastAsia="Arial" w:cs="Arial"/>
          <w:color w:val="000000"/>
          <w:sz w:val="22"/>
          <w:szCs w:val="22"/>
        </w:rPr>
        <w:t xml:space="preserve">D.08-12-021, </w:t>
      </w:r>
      <w:r w:rsidRPr="009A4B6A">
        <w:rPr>
          <w:rFonts w:eastAsia="Arial" w:cs="Arial"/>
          <w:i/>
          <w:color w:val="000000"/>
          <w:sz w:val="22"/>
          <w:szCs w:val="22"/>
        </w:rPr>
        <w:t>citing</w:t>
      </w:r>
      <w:r w:rsidRPr="009A4B6A">
        <w:rPr>
          <w:rFonts w:eastAsia="Arial" w:cs="Arial"/>
          <w:color w:val="000000"/>
          <w:sz w:val="22"/>
          <w:szCs w:val="22"/>
        </w:rPr>
        <w:t xml:space="preserve"> D.07-05-061.</w:t>
      </w:r>
    </w:p>
  </w:footnote>
  <w:footnote w:id="22">
    <w:p w:rsidR="00EF7874" w:rsidRPr="009A4B6A" w:rsidRDefault="00EF7874" w:rsidP="009A4B6A">
      <w:pPr>
        <w:pStyle w:val="FootnoteText"/>
        <w:spacing w:after="120"/>
        <w:rPr>
          <w:sz w:val="22"/>
          <w:szCs w:val="22"/>
        </w:rPr>
      </w:pPr>
      <w:r w:rsidRPr="009A4B6A">
        <w:rPr>
          <w:rStyle w:val="FootnoteReference"/>
          <w:sz w:val="22"/>
          <w:szCs w:val="22"/>
        </w:rPr>
        <w:footnoteRef/>
      </w:r>
      <w:r w:rsidRPr="009A4B6A">
        <w:rPr>
          <w:sz w:val="22"/>
          <w:szCs w:val="22"/>
        </w:rPr>
        <w:t xml:space="preserve"> </w:t>
      </w:r>
      <w:r w:rsidR="009A4B6A">
        <w:rPr>
          <w:sz w:val="22"/>
          <w:szCs w:val="22"/>
        </w:rPr>
        <w:t xml:space="preserve"> </w:t>
      </w:r>
      <w:r w:rsidRPr="009A4B6A">
        <w:rPr>
          <w:rFonts w:eastAsia="Arial" w:cs="Arial"/>
          <w:color w:val="000000"/>
          <w:sz w:val="22"/>
          <w:szCs w:val="22"/>
        </w:rPr>
        <w:t xml:space="preserve">D.08-12-021, </w:t>
      </w:r>
      <w:r w:rsidRPr="009A4B6A">
        <w:rPr>
          <w:rFonts w:eastAsia="Arial" w:cs="Arial"/>
          <w:i/>
          <w:color w:val="000000"/>
          <w:sz w:val="22"/>
          <w:szCs w:val="22"/>
        </w:rPr>
        <w:t>citing D.90363 (WUI, Inc. v. Continental Tel. Corp (1979)), 1294-01-025</w:t>
      </w:r>
      <w:r w:rsidRPr="009A4B6A">
        <w:rPr>
          <w:rFonts w:eastAsia="Arial" w:cs="Arial"/>
          <w:color w:val="000000"/>
          <w:sz w:val="22"/>
          <w:szCs w:val="22"/>
        </w:rPr>
        <w:t xml:space="preserve"> (San Jose Water Company and SJW Corp.).</w:t>
      </w:r>
    </w:p>
  </w:footnote>
  <w:footnote w:id="23">
    <w:p w:rsidR="00EF7874" w:rsidRPr="009A4B6A" w:rsidRDefault="00EF7874" w:rsidP="009A4B6A">
      <w:pPr>
        <w:pStyle w:val="FootnoteText"/>
        <w:spacing w:after="120"/>
        <w:rPr>
          <w:sz w:val="22"/>
          <w:szCs w:val="22"/>
        </w:rPr>
      </w:pPr>
      <w:r w:rsidRPr="009A4B6A">
        <w:rPr>
          <w:rStyle w:val="FootnoteReference"/>
          <w:sz w:val="22"/>
          <w:szCs w:val="22"/>
        </w:rPr>
        <w:footnoteRef/>
      </w:r>
      <w:r w:rsidRPr="009A4B6A">
        <w:rPr>
          <w:sz w:val="22"/>
          <w:szCs w:val="22"/>
        </w:rPr>
        <w:t xml:space="preserve"> </w:t>
      </w:r>
      <w:r w:rsidR="009A4B6A">
        <w:rPr>
          <w:sz w:val="22"/>
          <w:szCs w:val="22"/>
        </w:rPr>
        <w:t xml:space="preserve"> </w:t>
      </w:r>
      <w:r w:rsidRPr="009A4B6A">
        <w:rPr>
          <w:rFonts w:eastAsia="Arial" w:cs="Arial"/>
          <w:color w:val="000000"/>
          <w:sz w:val="22"/>
          <w:szCs w:val="22"/>
        </w:rPr>
        <w:t xml:space="preserve">D.08-12-021, </w:t>
      </w:r>
      <w:r w:rsidRPr="009A4B6A">
        <w:rPr>
          <w:rFonts w:eastAsia="Arial" w:cs="Arial"/>
          <w:i/>
          <w:color w:val="000000"/>
          <w:sz w:val="22"/>
          <w:szCs w:val="22"/>
        </w:rPr>
        <w:t>citing</w:t>
      </w:r>
      <w:r w:rsidRPr="009A4B6A">
        <w:rPr>
          <w:rFonts w:eastAsia="Arial" w:cs="Arial"/>
          <w:color w:val="000000"/>
          <w:sz w:val="22"/>
          <w:szCs w:val="22"/>
        </w:rPr>
        <w:t xml:space="preserve"> D.07-05-061 at fn. 28.</w:t>
      </w:r>
    </w:p>
  </w:footnote>
  <w:footnote w:id="24">
    <w:p w:rsidR="00EF7874" w:rsidRDefault="00EF7874" w:rsidP="009A4B6A">
      <w:pPr>
        <w:pStyle w:val="FootnoteText"/>
        <w:spacing w:after="120"/>
      </w:pPr>
      <w:r w:rsidRPr="009A4B6A">
        <w:rPr>
          <w:rStyle w:val="FootnoteReference"/>
          <w:sz w:val="22"/>
          <w:szCs w:val="22"/>
        </w:rPr>
        <w:footnoteRef/>
      </w:r>
      <w:r w:rsidR="009A4B6A">
        <w:rPr>
          <w:sz w:val="22"/>
          <w:szCs w:val="22"/>
        </w:rPr>
        <w:t xml:space="preserve"> </w:t>
      </w:r>
      <w:r w:rsidRPr="009A4B6A">
        <w:rPr>
          <w:sz w:val="22"/>
          <w:szCs w:val="22"/>
        </w:rPr>
        <w:t xml:space="preserve"> Response to Order to Show Cause, Exhibit 1 at 2.</w:t>
      </w:r>
    </w:p>
  </w:footnote>
  <w:footnote w:id="25">
    <w:p w:rsidR="00ED45AC" w:rsidRPr="007244FB" w:rsidRDefault="00ED45AC" w:rsidP="007244FB">
      <w:pPr>
        <w:pStyle w:val="FootnoteText"/>
        <w:spacing w:after="120"/>
        <w:rPr>
          <w:sz w:val="22"/>
          <w:szCs w:val="22"/>
        </w:rPr>
      </w:pPr>
      <w:r w:rsidRPr="007244FB">
        <w:rPr>
          <w:rStyle w:val="FootnoteReference"/>
          <w:sz w:val="22"/>
          <w:szCs w:val="22"/>
        </w:rPr>
        <w:footnoteRef/>
      </w:r>
      <w:r w:rsidRPr="007244FB">
        <w:rPr>
          <w:sz w:val="22"/>
          <w:szCs w:val="22"/>
        </w:rPr>
        <w:t xml:space="preserve">  Response to Order to Show Cause, Exhibit 1 at 1 (emphasis added).</w:t>
      </w:r>
    </w:p>
  </w:footnote>
  <w:footnote w:id="26">
    <w:p w:rsidR="00ED45AC" w:rsidRPr="007244FB" w:rsidRDefault="00ED45AC" w:rsidP="007244FB">
      <w:pPr>
        <w:pStyle w:val="FootnoteText"/>
        <w:spacing w:after="120"/>
        <w:rPr>
          <w:sz w:val="22"/>
          <w:szCs w:val="22"/>
        </w:rPr>
      </w:pPr>
      <w:r w:rsidRPr="007244FB">
        <w:rPr>
          <w:rStyle w:val="FootnoteReference"/>
          <w:sz w:val="22"/>
          <w:szCs w:val="22"/>
        </w:rPr>
        <w:footnoteRef/>
      </w:r>
      <w:r w:rsidRPr="007244FB">
        <w:rPr>
          <w:sz w:val="22"/>
          <w:szCs w:val="22"/>
        </w:rPr>
        <w:t xml:space="preserve">  Response to ALJ Ruling at 1.</w:t>
      </w:r>
    </w:p>
  </w:footnote>
  <w:footnote w:id="27">
    <w:p w:rsidR="00ED45AC" w:rsidRPr="007244FB" w:rsidRDefault="00ED45AC" w:rsidP="00835E29">
      <w:pPr>
        <w:pStyle w:val="FootnoteText"/>
        <w:spacing w:after="120"/>
        <w:rPr>
          <w:sz w:val="22"/>
          <w:szCs w:val="22"/>
        </w:rPr>
      </w:pPr>
      <w:r w:rsidRPr="007244FB">
        <w:rPr>
          <w:rStyle w:val="FootnoteReference"/>
          <w:sz w:val="22"/>
          <w:szCs w:val="22"/>
        </w:rPr>
        <w:footnoteRef/>
      </w:r>
      <w:r w:rsidRPr="007244FB">
        <w:rPr>
          <w:sz w:val="22"/>
          <w:szCs w:val="22"/>
        </w:rPr>
        <w:t xml:space="preserve">  </w:t>
      </w:r>
      <w:r w:rsidRPr="007244FB">
        <w:rPr>
          <w:rFonts w:eastAsia="Arial" w:cs="Arial"/>
          <w:i/>
          <w:color w:val="000000"/>
          <w:sz w:val="22"/>
          <w:szCs w:val="22"/>
        </w:rPr>
        <w:t xml:space="preserve">See, e.g., </w:t>
      </w:r>
      <w:r w:rsidRPr="007244FB">
        <w:rPr>
          <w:sz w:val="22"/>
          <w:szCs w:val="22"/>
        </w:rPr>
        <w:t>D.05-08-005.</w:t>
      </w:r>
    </w:p>
  </w:footnote>
  <w:footnote w:id="28">
    <w:p w:rsidR="00ED45AC" w:rsidRPr="007244FB" w:rsidRDefault="00ED45AC" w:rsidP="00835E29">
      <w:pPr>
        <w:pStyle w:val="FootnoteText"/>
        <w:spacing w:after="120"/>
        <w:rPr>
          <w:sz w:val="22"/>
          <w:szCs w:val="22"/>
        </w:rPr>
      </w:pPr>
      <w:r w:rsidRPr="007244FB">
        <w:rPr>
          <w:rStyle w:val="FootnoteReference"/>
          <w:sz w:val="22"/>
          <w:szCs w:val="22"/>
        </w:rPr>
        <w:footnoteRef/>
      </w:r>
      <w:r w:rsidRPr="007244FB">
        <w:rPr>
          <w:sz w:val="22"/>
          <w:szCs w:val="22"/>
        </w:rPr>
        <w:t xml:space="preserve">  </w:t>
      </w:r>
      <w:r w:rsidR="005A7655">
        <w:rPr>
          <w:sz w:val="22"/>
          <w:szCs w:val="22"/>
        </w:rPr>
        <w:t>I</w:t>
      </w:r>
      <w:r w:rsidRPr="007244FB">
        <w:rPr>
          <w:sz w:val="22"/>
          <w:szCs w:val="22"/>
        </w:rPr>
        <w:t>nitially</w:t>
      </w:r>
      <w:r w:rsidR="00D41820">
        <w:rPr>
          <w:sz w:val="22"/>
          <w:szCs w:val="22"/>
        </w:rPr>
        <w:t>,</w:t>
      </w:r>
      <w:r w:rsidRPr="007244FB">
        <w:rPr>
          <w:sz w:val="22"/>
          <w:szCs w:val="22"/>
        </w:rPr>
        <w:t xml:space="preserve"> the </w:t>
      </w:r>
      <w:r w:rsidR="005A7655">
        <w:rPr>
          <w:sz w:val="22"/>
          <w:szCs w:val="22"/>
        </w:rPr>
        <w:t>assigned ALJ</w:t>
      </w:r>
      <w:r w:rsidRPr="007244FB">
        <w:rPr>
          <w:sz w:val="22"/>
          <w:szCs w:val="22"/>
        </w:rPr>
        <w:t xml:space="preserve"> </w:t>
      </w:r>
      <w:r w:rsidR="005A7655">
        <w:rPr>
          <w:sz w:val="22"/>
          <w:szCs w:val="22"/>
        </w:rPr>
        <w:t>offered</w:t>
      </w:r>
      <w:r w:rsidRPr="007244FB">
        <w:rPr>
          <w:sz w:val="22"/>
          <w:szCs w:val="22"/>
        </w:rPr>
        <w:t xml:space="preserve"> to cure </w:t>
      </w:r>
      <w:r w:rsidR="005A7655">
        <w:rPr>
          <w:sz w:val="22"/>
          <w:szCs w:val="22"/>
        </w:rPr>
        <w:t xml:space="preserve">Bandwidth CLEC’s failure to transfer direct </w:t>
      </w:r>
      <w:r w:rsidR="00FB4811">
        <w:rPr>
          <w:sz w:val="22"/>
          <w:szCs w:val="22"/>
        </w:rPr>
        <w:t>managerial</w:t>
      </w:r>
      <w:r w:rsidR="005A7655">
        <w:rPr>
          <w:sz w:val="22"/>
          <w:szCs w:val="22"/>
        </w:rPr>
        <w:t xml:space="preserve"> control of Bandwidth CLEC to Bandwidth and subsequently to David A. Morken</w:t>
      </w:r>
      <w:r w:rsidRPr="007244FB">
        <w:rPr>
          <w:sz w:val="22"/>
          <w:szCs w:val="22"/>
        </w:rPr>
        <w:t xml:space="preserve"> through two transfers, as reflected in the scoping memo and the Order to Show Cause.  Only upon more information obtained from the Response to the Order to Show Cause did it become evident that the two transfers were not available as a cure in this proceeding.  </w:t>
      </w:r>
    </w:p>
  </w:footnote>
  <w:footnote w:id="29">
    <w:p w:rsidR="00ED45AC" w:rsidRPr="007244FB" w:rsidRDefault="00ED45AC" w:rsidP="00835E29">
      <w:pPr>
        <w:pStyle w:val="FootnoteText"/>
        <w:spacing w:after="120"/>
        <w:rPr>
          <w:sz w:val="22"/>
          <w:szCs w:val="22"/>
        </w:rPr>
      </w:pPr>
      <w:r w:rsidRPr="007244FB">
        <w:rPr>
          <w:rStyle w:val="FootnoteReference"/>
          <w:sz w:val="22"/>
          <w:szCs w:val="22"/>
        </w:rPr>
        <w:footnoteRef/>
      </w:r>
      <w:r w:rsidRPr="007244FB">
        <w:rPr>
          <w:sz w:val="22"/>
          <w:szCs w:val="22"/>
        </w:rPr>
        <w:t xml:space="preserve">  </w:t>
      </w:r>
      <w:r w:rsidRPr="007244FB">
        <w:rPr>
          <w:i/>
          <w:sz w:val="22"/>
          <w:szCs w:val="22"/>
        </w:rPr>
        <w:t>See, e.g.</w:t>
      </w:r>
      <w:r w:rsidRPr="007244FB">
        <w:rPr>
          <w:sz w:val="22"/>
          <w:szCs w:val="22"/>
        </w:rPr>
        <w:t>, D.15-05-007, D.15-05-002, D.14-06-004, D.10-03-008,</w:t>
      </w:r>
      <w:r w:rsidR="00F67F4E">
        <w:rPr>
          <w:sz w:val="22"/>
          <w:szCs w:val="22"/>
        </w:rPr>
        <w:t xml:space="preserve"> D.09-06-024, D.05-08-006, D.05</w:t>
      </w:r>
      <w:r w:rsidR="00F67F4E">
        <w:rPr>
          <w:sz w:val="22"/>
          <w:szCs w:val="22"/>
        </w:rPr>
        <w:noBreakHyphen/>
      </w:r>
      <w:r w:rsidR="009A4B6A">
        <w:rPr>
          <w:sz w:val="22"/>
          <w:szCs w:val="22"/>
        </w:rPr>
        <w:t>06</w:t>
      </w:r>
      <w:r w:rsidR="009A4B6A">
        <w:rPr>
          <w:sz w:val="22"/>
          <w:szCs w:val="22"/>
        </w:rPr>
        <w:noBreakHyphen/>
      </w:r>
      <w:r w:rsidRPr="007244FB">
        <w:rPr>
          <w:sz w:val="22"/>
          <w:szCs w:val="22"/>
        </w:rPr>
        <w:t>012, D.05-08-006, and D.04-09-023.</w:t>
      </w:r>
    </w:p>
  </w:footnote>
  <w:footnote w:id="30">
    <w:p w:rsidR="00ED45AC" w:rsidRPr="00835E29" w:rsidRDefault="00ED45AC" w:rsidP="00835E29">
      <w:pPr>
        <w:pStyle w:val="standard"/>
        <w:spacing w:after="120" w:line="240" w:lineRule="auto"/>
        <w:ind w:firstLine="0"/>
        <w:rPr>
          <w:sz w:val="22"/>
          <w:szCs w:val="22"/>
        </w:rPr>
      </w:pPr>
      <w:r w:rsidRPr="00835E29">
        <w:rPr>
          <w:rStyle w:val="FootnoteReference"/>
          <w:sz w:val="22"/>
          <w:szCs w:val="22"/>
        </w:rPr>
        <w:footnoteRef/>
      </w:r>
      <w:r w:rsidRPr="00835E29">
        <w:rPr>
          <w:sz w:val="22"/>
          <w:szCs w:val="22"/>
        </w:rPr>
        <w:t xml:space="preserve">  D.07-09-035, Order Paragraph 1 (“A certificate of public convenience and necessity is granted to Bandwidth.com CLEC, LLC (Applicant) to operate as a limited-facilities based and resale provider of competitive local exchange services, and interexchange services, subject to the terms and conditions set below.</w:t>
      </w:r>
      <w:r w:rsidR="00C743B8">
        <w:rPr>
          <w:sz w:val="22"/>
          <w:szCs w:val="22"/>
        </w:rPr>
        <w:t>”</w:t>
      </w:r>
      <w:r w:rsidRPr="00835E29">
        <w:rPr>
          <w:sz w:val="22"/>
          <w:szCs w:val="22"/>
        </w:rPr>
        <w:t>)</w:t>
      </w:r>
    </w:p>
  </w:footnote>
  <w:footnote w:id="31">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ALJ’s Order to Show Cause and Ruling Requiring the Joint Applicants to Amend the Application at 4.</w:t>
      </w:r>
    </w:p>
  </w:footnote>
  <w:footnote w:id="32">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Response to Order to Show Cause. </w:t>
      </w:r>
    </w:p>
  </w:footnote>
  <w:footnote w:id="33">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ALJ Ruling at 2-3.</w:t>
      </w:r>
    </w:p>
  </w:footnote>
  <w:footnote w:id="34">
    <w:p w:rsidR="00ED45AC" w:rsidRPr="00835E29" w:rsidRDefault="00ED45AC" w:rsidP="00EF7874">
      <w:pPr>
        <w:pStyle w:val="FootnoteText"/>
        <w:spacing w:after="120"/>
        <w:rPr>
          <w:sz w:val="22"/>
          <w:szCs w:val="22"/>
        </w:rPr>
      </w:pPr>
      <w:r w:rsidRPr="00835E29">
        <w:rPr>
          <w:rStyle w:val="FootnoteReference"/>
          <w:sz w:val="22"/>
          <w:szCs w:val="22"/>
        </w:rPr>
        <w:footnoteRef/>
      </w:r>
      <w:r w:rsidRPr="00835E29">
        <w:rPr>
          <w:sz w:val="22"/>
          <w:szCs w:val="22"/>
        </w:rPr>
        <w:t xml:space="preserve">  Response to ALJ Ruling at 5, (</w:t>
      </w:r>
      <w:r w:rsidR="00F67F4E">
        <w:rPr>
          <w:sz w:val="22"/>
          <w:szCs w:val="22"/>
        </w:rPr>
        <w:t>“</w:t>
      </w:r>
      <w:r w:rsidRPr="00835E29">
        <w:rPr>
          <w:sz w:val="22"/>
          <w:szCs w:val="22"/>
        </w:rPr>
        <w:t xml:space="preserve">[] Bandwidth reiterates that it does not and has not provided intrastate wireline telecommunications services in the state of California without a CPCN.  Nor does Bandwidth Inc. ‘operate [] [Bandwidth CLEC’s] telecommunications services.’  Therefore, Bandwidth Inc. need take no action to ‘cease’ providing intrastate wireline telecommunications services in the state of California.”)   </w:t>
      </w:r>
    </w:p>
  </w:footnote>
  <w:footnote w:id="35">
    <w:p w:rsidR="00ED45AC" w:rsidRPr="00835E29" w:rsidRDefault="00ED45AC" w:rsidP="00EF7874">
      <w:pPr>
        <w:pStyle w:val="FootnoteText"/>
        <w:spacing w:after="120"/>
        <w:rPr>
          <w:sz w:val="22"/>
          <w:szCs w:val="22"/>
        </w:rPr>
      </w:pPr>
      <w:r w:rsidRPr="00835E29">
        <w:rPr>
          <w:rStyle w:val="FootnoteReference"/>
          <w:sz w:val="22"/>
          <w:szCs w:val="22"/>
        </w:rPr>
        <w:footnoteRef/>
      </w:r>
      <w:r w:rsidRPr="00835E29">
        <w:rPr>
          <w:sz w:val="22"/>
          <w:szCs w:val="22"/>
        </w:rPr>
        <w:t xml:space="preserve">  Response to ALJ Ruling at 5, (“As stated in the OSC Response, Bandwidth CLEC and Bandwidth Inc. are separate and distinguishable legal entities that offer different services . . .  Bandwidth Inc. provides interconnected VoIP and other information</w:t>
      </w:r>
      <w:r>
        <w:t xml:space="preserve"> </w:t>
      </w:r>
      <w:r w:rsidRPr="00835E29">
        <w:rPr>
          <w:sz w:val="22"/>
          <w:szCs w:val="22"/>
        </w:rPr>
        <w:t>services in California as</w:t>
      </w:r>
      <w:r>
        <w:t xml:space="preserve"> </w:t>
      </w:r>
      <w:r w:rsidRPr="00835E29">
        <w:rPr>
          <w:sz w:val="22"/>
          <w:szCs w:val="22"/>
        </w:rPr>
        <w:t xml:space="preserve">a registered VoIP provider (U-1362) and does not provide intrastate wireline telecommunications services.”)  </w:t>
      </w:r>
    </w:p>
  </w:footnote>
  <w:footnote w:id="36">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w:t>
      </w:r>
      <w:r>
        <w:rPr>
          <w:sz w:val="22"/>
          <w:szCs w:val="22"/>
        </w:rPr>
        <w:t xml:space="preserve"> </w:t>
      </w:r>
      <w:r w:rsidRPr="00835E29">
        <w:rPr>
          <w:i/>
          <w:sz w:val="22"/>
          <w:szCs w:val="22"/>
        </w:rPr>
        <w:t>See</w:t>
      </w:r>
      <w:r w:rsidRPr="00835E29">
        <w:rPr>
          <w:sz w:val="22"/>
          <w:szCs w:val="22"/>
        </w:rPr>
        <w:t xml:space="preserve"> D.04-05-033 (Denying the CPCN application for management team’s prior failure to pay a fine imposed </w:t>
      </w:r>
      <w:r w:rsidR="003976C6">
        <w:rPr>
          <w:sz w:val="22"/>
          <w:szCs w:val="22"/>
        </w:rPr>
        <w:t>by</w:t>
      </w:r>
      <w:r w:rsidRPr="00835E29">
        <w:rPr>
          <w:sz w:val="22"/>
          <w:szCs w:val="22"/>
        </w:rPr>
        <w:t xml:space="preserve"> the Pennsylvania Public Utilities Commission). </w:t>
      </w:r>
    </w:p>
  </w:footnote>
  <w:footnote w:id="37">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D.95-12-056 at Appendix C, Rule 4.A. </w:t>
      </w:r>
    </w:p>
  </w:footnote>
  <w:footnote w:id="38">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A.</w:t>
      </w:r>
      <w:r w:rsidR="005A7655">
        <w:rPr>
          <w:sz w:val="22"/>
          <w:szCs w:val="22"/>
        </w:rPr>
        <w:t>0</w:t>
      </w:r>
      <w:r w:rsidRPr="00835E29">
        <w:rPr>
          <w:sz w:val="22"/>
          <w:szCs w:val="22"/>
        </w:rPr>
        <w:t xml:space="preserve">7-03-020 at 1. </w:t>
      </w:r>
      <w:r>
        <w:rPr>
          <w:sz w:val="22"/>
          <w:szCs w:val="22"/>
        </w:rPr>
        <w:t xml:space="preserve"> </w:t>
      </w:r>
      <w:r w:rsidRPr="00835E29">
        <w:rPr>
          <w:sz w:val="22"/>
          <w:szCs w:val="22"/>
        </w:rPr>
        <w:t xml:space="preserve">(Bandwidth CLEC LLC identified itself as “Bandwidth” in the Application.) </w:t>
      </w:r>
    </w:p>
  </w:footnote>
  <w:footnote w:id="39">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A.</w:t>
      </w:r>
      <w:r w:rsidR="005A7655">
        <w:rPr>
          <w:sz w:val="22"/>
          <w:szCs w:val="22"/>
        </w:rPr>
        <w:t>0</w:t>
      </w:r>
      <w:r w:rsidRPr="00835E29">
        <w:rPr>
          <w:sz w:val="22"/>
          <w:szCs w:val="22"/>
        </w:rPr>
        <w:t>7-03-020 at 7-8.</w:t>
      </w:r>
    </w:p>
  </w:footnote>
  <w:footnote w:id="40">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D.07-09-035 at 3.</w:t>
      </w:r>
    </w:p>
  </w:footnote>
  <w:footnote w:id="41">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Status Conference, RT 15:10-17:19. </w:t>
      </w:r>
    </w:p>
  </w:footnote>
  <w:footnote w:id="42">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Response to ALJ Ruling at 3-4.</w:t>
      </w:r>
    </w:p>
  </w:footnote>
  <w:footnote w:id="43">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D.07-09-035, Appendix D at 2.</w:t>
      </w:r>
    </w:p>
  </w:footnote>
  <w:footnote w:id="44">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The </w:t>
      </w:r>
      <w:r w:rsidRPr="00835E29">
        <w:rPr>
          <w:i/>
          <w:sz w:val="22"/>
          <w:szCs w:val="22"/>
        </w:rPr>
        <w:t>applicant</w:t>
      </w:r>
      <w:r w:rsidRPr="00835E29">
        <w:rPr>
          <w:sz w:val="22"/>
          <w:szCs w:val="22"/>
        </w:rPr>
        <w:t xml:space="preserve"> seeking authority to provide local exchange must demonstrate that it has the technical and managerial qualifications necessary to provide the proposed services in its service territory. </w:t>
      </w:r>
      <w:r>
        <w:rPr>
          <w:sz w:val="22"/>
          <w:szCs w:val="22"/>
        </w:rPr>
        <w:t xml:space="preserve"> </w:t>
      </w:r>
      <w:r w:rsidRPr="00835E29">
        <w:rPr>
          <w:sz w:val="22"/>
          <w:szCs w:val="22"/>
        </w:rPr>
        <w:t xml:space="preserve">The applicant should provide the following information, but not limited to: </w:t>
      </w:r>
      <w:r w:rsidR="00F67F4E">
        <w:rPr>
          <w:sz w:val="22"/>
          <w:szCs w:val="22"/>
        </w:rPr>
        <w:t xml:space="preserve"> </w:t>
      </w:r>
      <w:r w:rsidRPr="00835E29">
        <w:rPr>
          <w:sz w:val="22"/>
          <w:szCs w:val="22"/>
        </w:rPr>
        <w:t xml:space="preserve">the </w:t>
      </w:r>
      <w:r w:rsidRPr="00835E29">
        <w:rPr>
          <w:i/>
          <w:sz w:val="22"/>
          <w:szCs w:val="22"/>
        </w:rPr>
        <w:t>applicant</w:t>
      </w:r>
      <w:r w:rsidR="00F67F4E">
        <w:rPr>
          <w:i/>
          <w:sz w:val="22"/>
          <w:szCs w:val="22"/>
        </w:rPr>
        <w:t>’</w:t>
      </w:r>
      <w:r w:rsidRPr="00835E29">
        <w:rPr>
          <w:i/>
          <w:sz w:val="22"/>
          <w:szCs w:val="22"/>
        </w:rPr>
        <w:t xml:space="preserve">s </w:t>
      </w:r>
      <w:r w:rsidRPr="00835E29">
        <w:rPr>
          <w:sz w:val="22"/>
          <w:szCs w:val="22"/>
        </w:rPr>
        <w:t xml:space="preserve">key management and technical personnel, resumes and biographies of the key management and technical person that reflects that the applicant possess significant technical and managerial expertise for operating a telecommunications company, consistent with Commission Requirements. </w:t>
      </w:r>
      <w:r w:rsidR="00F67F4E">
        <w:rPr>
          <w:sz w:val="22"/>
          <w:szCs w:val="22"/>
        </w:rPr>
        <w:t xml:space="preserve"> </w:t>
      </w:r>
      <w:r w:rsidRPr="00835E29">
        <w:rPr>
          <w:sz w:val="22"/>
          <w:szCs w:val="22"/>
        </w:rPr>
        <w:t>D.13-05-035, Attachment A at 7 (emphasis added).</w:t>
      </w:r>
    </w:p>
  </w:footnote>
  <w:footnote w:id="45">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D.93-03-073, 48 CPUC2d 543 (Admonishment in response to party’s “oblique and ambiguously worded” reference). </w:t>
      </w:r>
    </w:p>
  </w:footnote>
  <w:footnote w:id="46">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w:t>
      </w:r>
      <w:r w:rsidRPr="00835E29">
        <w:rPr>
          <w:i/>
          <w:sz w:val="22"/>
          <w:szCs w:val="22"/>
        </w:rPr>
        <w:t>See</w:t>
      </w:r>
      <w:r w:rsidRPr="00835E29">
        <w:rPr>
          <w:sz w:val="22"/>
          <w:szCs w:val="22"/>
        </w:rPr>
        <w:t xml:space="preserve"> D.98-12-075. </w:t>
      </w:r>
    </w:p>
  </w:footnote>
  <w:footnote w:id="47">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D.98-12-075.</w:t>
      </w:r>
    </w:p>
  </w:footnote>
  <w:footnote w:id="48">
    <w:p w:rsidR="00ED45AC" w:rsidRPr="00835E29" w:rsidRDefault="00ED45AC" w:rsidP="00835E29">
      <w:pPr>
        <w:pStyle w:val="FootnoteText"/>
        <w:spacing w:after="120"/>
        <w:rPr>
          <w:sz w:val="22"/>
          <w:szCs w:val="22"/>
        </w:rPr>
      </w:pPr>
      <w:r w:rsidRPr="00835E29">
        <w:rPr>
          <w:rStyle w:val="FootnoteReference"/>
          <w:sz w:val="22"/>
          <w:szCs w:val="22"/>
        </w:rPr>
        <w:footnoteRef/>
      </w:r>
      <w:r w:rsidRPr="00835E29">
        <w:rPr>
          <w:sz w:val="22"/>
          <w:szCs w:val="22"/>
        </w:rPr>
        <w:t xml:space="preserve">  </w:t>
      </w:r>
      <w:r w:rsidRPr="00835E29">
        <w:rPr>
          <w:i/>
          <w:sz w:val="22"/>
          <w:szCs w:val="22"/>
        </w:rPr>
        <w:t>Id</w:t>
      </w:r>
      <w:r w:rsidRPr="00835E29">
        <w:rPr>
          <w:sz w:val="22"/>
          <w:szCs w:val="22"/>
        </w:rPr>
        <w:t xml:space="preserve">. </w:t>
      </w:r>
    </w:p>
  </w:footnote>
  <w:footnote w:id="49">
    <w:p w:rsidR="00777D2B" w:rsidRPr="00F67F4E" w:rsidRDefault="00777D2B" w:rsidP="00250436">
      <w:pPr>
        <w:pStyle w:val="FootnoteText"/>
        <w:spacing w:after="120"/>
        <w:rPr>
          <w:sz w:val="22"/>
          <w:szCs w:val="22"/>
        </w:rPr>
      </w:pPr>
      <w:r w:rsidRPr="00F67F4E">
        <w:rPr>
          <w:rStyle w:val="FootnoteReference"/>
          <w:sz w:val="22"/>
          <w:szCs w:val="22"/>
        </w:rPr>
        <w:footnoteRef/>
      </w:r>
      <w:r w:rsidR="00F67F4E" w:rsidRPr="00F67F4E">
        <w:rPr>
          <w:sz w:val="22"/>
          <w:szCs w:val="22"/>
        </w:rPr>
        <w:t xml:space="preserve"> </w:t>
      </w:r>
      <w:r w:rsidRPr="00F67F4E">
        <w:rPr>
          <w:sz w:val="22"/>
          <w:szCs w:val="22"/>
        </w:rPr>
        <w:t xml:space="preserve"> </w:t>
      </w:r>
      <w:r w:rsidRPr="00F67F4E">
        <w:rPr>
          <w:i/>
          <w:sz w:val="22"/>
          <w:szCs w:val="22"/>
        </w:rPr>
        <w:t xml:space="preserve">See </w:t>
      </w:r>
      <w:r w:rsidRPr="00F67F4E">
        <w:rPr>
          <w:sz w:val="22"/>
          <w:szCs w:val="22"/>
        </w:rPr>
        <w:t xml:space="preserve">D.10-03-008 at 8; D.09-06-024 at 8-9; D.07-05-003 at 6; D.05-08-006 at 7; </w:t>
      </w:r>
      <w:r w:rsidR="00A425A5" w:rsidRPr="00F67F4E">
        <w:rPr>
          <w:sz w:val="22"/>
          <w:szCs w:val="22"/>
        </w:rPr>
        <w:t xml:space="preserve">and </w:t>
      </w:r>
      <w:r w:rsidR="009144A8" w:rsidRPr="00F67F4E">
        <w:rPr>
          <w:sz w:val="22"/>
          <w:szCs w:val="22"/>
        </w:rPr>
        <w:br/>
      </w:r>
      <w:r w:rsidRPr="00F67F4E">
        <w:rPr>
          <w:sz w:val="22"/>
          <w:szCs w:val="22"/>
        </w:rPr>
        <w:t xml:space="preserve">D.04-09-023 </w:t>
      </w:r>
      <w:r w:rsidR="00D731E3" w:rsidRPr="00F67F4E">
        <w:rPr>
          <w:sz w:val="22"/>
          <w:szCs w:val="22"/>
        </w:rPr>
        <w:t>at 6.</w:t>
      </w:r>
    </w:p>
  </w:footnote>
  <w:footnote w:id="50">
    <w:p w:rsidR="00ED45AC" w:rsidRPr="006171A4" w:rsidRDefault="00ED45AC" w:rsidP="006171A4">
      <w:pPr>
        <w:pStyle w:val="FootnoteText"/>
        <w:spacing w:after="120"/>
        <w:rPr>
          <w:sz w:val="22"/>
          <w:szCs w:val="22"/>
        </w:rPr>
      </w:pPr>
      <w:r w:rsidRPr="006171A4">
        <w:rPr>
          <w:rStyle w:val="FootnoteReference"/>
          <w:sz w:val="22"/>
          <w:szCs w:val="22"/>
        </w:rPr>
        <w:footnoteRef/>
      </w:r>
      <w:r w:rsidRPr="006171A4">
        <w:rPr>
          <w:sz w:val="22"/>
          <w:szCs w:val="22"/>
        </w:rPr>
        <w:t xml:space="preserve">  D.95-07-054, Appendix A, Public Policy Objective D.</w:t>
      </w:r>
    </w:p>
  </w:footnote>
  <w:footnote w:id="51">
    <w:p w:rsidR="00ED45AC" w:rsidRPr="006171A4" w:rsidRDefault="00ED45AC" w:rsidP="006171A4">
      <w:pPr>
        <w:pStyle w:val="FootnoteText"/>
        <w:spacing w:after="60"/>
        <w:rPr>
          <w:sz w:val="22"/>
          <w:szCs w:val="22"/>
        </w:rPr>
      </w:pPr>
      <w:r w:rsidRPr="006171A4">
        <w:rPr>
          <w:rStyle w:val="FootnoteReference"/>
          <w:sz w:val="22"/>
          <w:szCs w:val="22"/>
        </w:rPr>
        <w:footnoteRef/>
      </w:r>
      <w:r w:rsidRPr="006171A4">
        <w:rPr>
          <w:sz w:val="22"/>
          <w:szCs w:val="22"/>
        </w:rPr>
        <w:t xml:space="preserve">  D.98-12-075.</w:t>
      </w:r>
    </w:p>
  </w:footnote>
  <w:footnote w:id="52">
    <w:p w:rsidR="00ED45AC" w:rsidRPr="006171A4" w:rsidRDefault="00ED45AC" w:rsidP="006171A4">
      <w:pPr>
        <w:pStyle w:val="FootnoteText"/>
        <w:spacing w:after="60"/>
        <w:rPr>
          <w:sz w:val="22"/>
          <w:szCs w:val="22"/>
        </w:rPr>
      </w:pPr>
      <w:r w:rsidRPr="006171A4">
        <w:rPr>
          <w:rStyle w:val="FootnoteReference"/>
          <w:sz w:val="22"/>
          <w:szCs w:val="22"/>
        </w:rPr>
        <w:footnoteRef/>
      </w:r>
      <w:r w:rsidRPr="006171A4">
        <w:rPr>
          <w:sz w:val="22"/>
          <w:szCs w:val="22"/>
        </w:rPr>
        <w:t xml:space="preserve">  D.98-12-075.</w:t>
      </w:r>
    </w:p>
  </w:footnote>
  <w:footnote w:id="53">
    <w:p w:rsidR="00ED45AC" w:rsidRPr="006171A4" w:rsidRDefault="00ED45AC" w:rsidP="006171A4">
      <w:pPr>
        <w:pStyle w:val="FootnoteText"/>
        <w:spacing w:after="120"/>
        <w:rPr>
          <w:sz w:val="22"/>
          <w:szCs w:val="22"/>
        </w:rPr>
      </w:pPr>
      <w:r w:rsidRPr="006171A4">
        <w:rPr>
          <w:rStyle w:val="FootnoteReference"/>
          <w:sz w:val="22"/>
          <w:szCs w:val="22"/>
        </w:rPr>
        <w:footnoteRef/>
      </w:r>
      <w:r w:rsidRPr="006171A4">
        <w:rPr>
          <w:sz w:val="22"/>
          <w:szCs w:val="22"/>
        </w:rPr>
        <w:t xml:space="preserve">  D.03-08-058 </w:t>
      </w:r>
      <w:r w:rsidRPr="006171A4">
        <w:rPr>
          <w:i/>
          <w:sz w:val="22"/>
          <w:szCs w:val="22"/>
        </w:rPr>
        <w:t xml:space="preserve">citing </w:t>
      </w:r>
      <w:r w:rsidRPr="006171A4">
        <w:rPr>
          <w:sz w:val="22"/>
          <w:szCs w:val="22"/>
        </w:rPr>
        <w:t xml:space="preserve">D.00-09-033, D.00-04-014, D.99-12-039, D.99-11-010, D.99-10-007, </w:t>
      </w:r>
      <w:r>
        <w:rPr>
          <w:sz w:val="22"/>
          <w:szCs w:val="22"/>
        </w:rPr>
        <w:br/>
      </w:r>
      <w:r w:rsidRPr="006171A4">
        <w:rPr>
          <w:sz w:val="22"/>
          <w:szCs w:val="22"/>
        </w:rPr>
        <w:t xml:space="preserve">D.99-06-016, D.99-03-030, D.97-12-072, D.97-09-097, D.96-05-067, D.95-07-051, D.95-05-009, </w:t>
      </w:r>
      <w:r>
        <w:rPr>
          <w:sz w:val="22"/>
          <w:szCs w:val="22"/>
        </w:rPr>
        <w:br/>
      </w:r>
      <w:r w:rsidRPr="006171A4">
        <w:rPr>
          <w:sz w:val="22"/>
          <w:szCs w:val="22"/>
        </w:rPr>
        <w:t xml:space="preserve">D.94-12-062, D.94-05-030, D.93-07-009, D.89-06-024, D.89-02-004, D.87-03-048, D.86-02-005, </w:t>
      </w:r>
      <w:r>
        <w:rPr>
          <w:sz w:val="22"/>
          <w:szCs w:val="22"/>
        </w:rPr>
        <w:br/>
      </w:r>
      <w:r w:rsidRPr="006171A4">
        <w:rPr>
          <w:sz w:val="22"/>
          <w:szCs w:val="22"/>
        </w:rPr>
        <w:t>D.85-10-017, D.84-07-077, D.84-06-087, D.83-05-018, and D.93673.</w:t>
      </w:r>
    </w:p>
  </w:footnote>
  <w:footnote w:id="54">
    <w:p w:rsidR="00ED45AC" w:rsidRPr="006171A4" w:rsidRDefault="00ED45AC" w:rsidP="006171A4">
      <w:pPr>
        <w:pStyle w:val="FootnoteText"/>
        <w:spacing w:after="120"/>
        <w:rPr>
          <w:sz w:val="22"/>
          <w:szCs w:val="22"/>
        </w:rPr>
      </w:pPr>
      <w:r w:rsidRPr="006171A4">
        <w:rPr>
          <w:rStyle w:val="FootnoteReference"/>
          <w:sz w:val="22"/>
          <w:szCs w:val="22"/>
        </w:rPr>
        <w:footnoteRef/>
      </w:r>
      <w:r w:rsidRPr="006171A4">
        <w:rPr>
          <w:sz w:val="22"/>
          <w:szCs w:val="22"/>
        </w:rPr>
        <w:t xml:space="preserve">  </w:t>
      </w:r>
      <w:r w:rsidRPr="006171A4">
        <w:rPr>
          <w:rFonts w:cs="Arial"/>
          <w:color w:val="000000"/>
          <w:sz w:val="22"/>
          <w:szCs w:val="22"/>
        </w:rPr>
        <w:t>D.05-06-012.</w:t>
      </w:r>
    </w:p>
  </w:footnote>
  <w:footnote w:id="55">
    <w:p w:rsidR="00ED45AC" w:rsidRPr="006171A4" w:rsidRDefault="00ED45AC" w:rsidP="006171A4">
      <w:pPr>
        <w:pStyle w:val="FootnoteText"/>
        <w:spacing w:after="120"/>
        <w:rPr>
          <w:sz w:val="22"/>
          <w:szCs w:val="22"/>
        </w:rPr>
      </w:pPr>
      <w:r w:rsidRPr="006171A4">
        <w:rPr>
          <w:rStyle w:val="FootnoteReference"/>
          <w:sz w:val="22"/>
          <w:szCs w:val="22"/>
        </w:rPr>
        <w:footnoteRef/>
      </w:r>
      <w:r w:rsidRPr="006171A4">
        <w:rPr>
          <w:sz w:val="22"/>
          <w:szCs w:val="22"/>
        </w:rPr>
        <w:t xml:space="preserve">  </w:t>
      </w:r>
      <w:r w:rsidRPr="006171A4">
        <w:rPr>
          <w:rFonts w:cs="Arial"/>
          <w:color w:val="000000"/>
          <w:sz w:val="22"/>
          <w:szCs w:val="22"/>
        </w:rPr>
        <w:t>D.16-05-002.</w:t>
      </w:r>
    </w:p>
  </w:footnote>
  <w:footnote w:id="56">
    <w:p w:rsidR="00ED45AC" w:rsidRPr="006171A4" w:rsidRDefault="00ED45AC" w:rsidP="006171A4">
      <w:pPr>
        <w:pStyle w:val="FootnoteText"/>
        <w:spacing w:after="120"/>
        <w:rPr>
          <w:sz w:val="22"/>
          <w:szCs w:val="22"/>
        </w:rPr>
      </w:pPr>
      <w:r w:rsidRPr="006171A4">
        <w:rPr>
          <w:rStyle w:val="FootnoteReference"/>
          <w:sz w:val="22"/>
          <w:szCs w:val="22"/>
        </w:rPr>
        <w:footnoteRef/>
      </w:r>
      <w:r w:rsidRPr="006171A4">
        <w:rPr>
          <w:sz w:val="22"/>
          <w:szCs w:val="22"/>
        </w:rPr>
        <w:t xml:space="preserve">  </w:t>
      </w:r>
      <w:r w:rsidRPr="006171A4">
        <w:rPr>
          <w:rFonts w:cs="Arial"/>
          <w:color w:val="000000"/>
          <w:sz w:val="22"/>
          <w:szCs w:val="22"/>
        </w:rPr>
        <w:t>D.06-01-023, D.16-12-002.</w:t>
      </w:r>
    </w:p>
  </w:footnote>
  <w:footnote w:id="57">
    <w:p w:rsidR="00ED45AC" w:rsidRPr="006171A4" w:rsidRDefault="00ED45AC" w:rsidP="006171A4">
      <w:pPr>
        <w:pStyle w:val="FootnoteText"/>
        <w:spacing w:after="120"/>
        <w:rPr>
          <w:sz w:val="22"/>
          <w:szCs w:val="22"/>
        </w:rPr>
      </w:pPr>
      <w:r w:rsidRPr="006171A4">
        <w:rPr>
          <w:rStyle w:val="FootnoteReference"/>
          <w:sz w:val="22"/>
          <w:szCs w:val="22"/>
        </w:rPr>
        <w:footnoteRef/>
      </w:r>
      <w:r w:rsidRPr="006171A4">
        <w:rPr>
          <w:sz w:val="22"/>
          <w:szCs w:val="22"/>
        </w:rPr>
        <w:t xml:space="preserve">  </w:t>
      </w:r>
      <w:r w:rsidRPr="006171A4">
        <w:rPr>
          <w:rFonts w:cs="Arial"/>
          <w:color w:val="000000"/>
          <w:sz w:val="22"/>
          <w:szCs w:val="22"/>
        </w:rPr>
        <w:t>D.16-04-018.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34" w:rsidRDefault="00A779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34" w:rsidRDefault="00A779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34" w:rsidRDefault="00A7793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AC" w:rsidRDefault="00ED45AC" w:rsidP="00ED45AC">
    <w:pPr>
      <w:pStyle w:val="Header"/>
      <w:rPr>
        <w:b/>
      </w:rPr>
    </w:pPr>
    <w:r>
      <w:t>A.16-09-003  ALJ/SCR/ek4</w:t>
    </w:r>
    <w:r>
      <w:tab/>
    </w:r>
    <w:r>
      <w:tab/>
    </w:r>
    <w:r>
      <w:rPr>
        <w:b/>
      </w:rPr>
      <w:t>PROPOSED DECISION</w:t>
    </w:r>
  </w:p>
  <w:p w:rsidR="00ED45AC" w:rsidRDefault="00ED45AC" w:rsidP="00ED45AC">
    <w:pPr>
      <w:pStyle w:val="Header"/>
      <w:rPr>
        <w:b/>
      </w:rPr>
    </w:pPr>
  </w:p>
  <w:p w:rsidR="00ED45AC" w:rsidRDefault="00ED45A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AC" w:rsidRDefault="00ED45AC" w:rsidP="004E3370">
    <w:pPr>
      <w:pStyle w:val="Header"/>
      <w:tabs>
        <w:tab w:val="clear" w:pos="8640"/>
        <w:tab w:val="right" w:pos="9360"/>
      </w:tabs>
      <w:rPr>
        <w:b/>
      </w:rPr>
    </w:pPr>
    <w:r>
      <w:t>A.1</w:t>
    </w:r>
    <w:r w:rsidR="004E3370">
      <w:t>7-09-007  ALJ/ZK1</w:t>
    </w:r>
    <w:r>
      <w:t>/ek4</w:t>
    </w:r>
    <w:r w:rsidR="00AD6BE7">
      <w:t>/lil</w:t>
    </w:r>
    <w:r w:rsidR="003B0D30">
      <w:t>/mph</w:t>
    </w:r>
    <w:r>
      <w:tab/>
    </w:r>
    <w:r>
      <w:tab/>
    </w:r>
    <w:r>
      <w:rPr>
        <w:b/>
      </w:rPr>
      <w:t>PROPOSED DECISION</w:t>
    </w:r>
    <w:r w:rsidR="008A040D">
      <w:rPr>
        <w:b/>
      </w:rPr>
      <w:t xml:space="preserve">  (Rev. </w:t>
    </w:r>
    <w:r w:rsidR="00851991">
      <w:rPr>
        <w:b/>
      </w:rPr>
      <w:t>1</w:t>
    </w:r>
    <w:r w:rsidR="008A040D">
      <w:rPr>
        <w:b/>
      </w:rPr>
      <w:t>)</w:t>
    </w:r>
  </w:p>
  <w:p w:rsidR="00ED45AC" w:rsidRDefault="00ED45AC" w:rsidP="00904791">
    <w:pPr>
      <w:pStyle w:val="Header"/>
      <w:rPr>
        <w:b/>
      </w:rPr>
    </w:pPr>
  </w:p>
  <w:p w:rsidR="00ED45AC" w:rsidRPr="006E1170" w:rsidRDefault="00ED45AC" w:rsidP="00ED45AC">
    <w:pPr>
      <w:ind w:firstLine="720"/>
      <w:jc w:val="center"/>
      <w:outlineLvl w:val="0"/>
      <w:rPr>
        <w:b/>
      </w:rPr>
    </w:pPr>
    <w:r w:rsidRPr="006E1170">
      <w:rPr>
        <w:b/>
      </w:rPr>
      <w:t>TABLE OF CONTENTS</w:t>
    </w:r>
  </w:p>
  <w:p w:rsidR="00ED45AC" w:rsidRPr="006E1170" w:rsidRDefault="00ED45AC" w:rsidP="00ED45AC">
    <w:pPr>
      <w:tabs>
        <w:tab w:val="right" w:pos="9180"/>
      </w:tabs>
      <w:rPr>
        <w:b/>
      </w:rPr>
    </w:pPr>
    <w:r w:rsidRPr="006E1170">
      <w:rPr>
        <w:b/>
      </w:rPr>
      <w:t>Title</w:t>
    </w:r>
    <w:r w:rsidRPr="006E1170">
      <w:rPr>
        <w:b/>
      </w:rPr>
      <w:tab/>
      <w:t>Page</w:t>
    </w:r>
  </w:p>
  <w:p w:rsidR="00ED45AC" w:rsidRPr="001A01C4" w:rsidRDefault="00ED45AC" w:rsidP="00ED45AC">
    <w:pPr>
      <w:pStyle w:val="Header"/>
    </w:pPr>
  </w:p>
  <w:p w:rsidR="00ED45AC" w:rsidRDefault="00ED45A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AC" w:rsidRDefault="00ED45AC" w:rsidP="00D5136B">
    <w:pPr>
      <w:pStyle w:val="Header"/>
      <w:tabs>
        <w:tab w:val="clear" w:pos="8640"/>
        <w:tab w:val="right" w:pos="9360"/>
      </w:tabs>
    </w:pPr>
    <w:r>
      <w:t>A.17-09-007  ALJ/ZK1/ek4</w:t>
    </w:r>
    <w:r w:rsidR="00AD6BE7">
      <w:t>/lil</w:t>
    </w:r>
    <w:r w:rsidR="000D4DBF">
      <w:t>/mph</w:t>
    </w:r>
    <w:r>
      <w:tab/>
    </w:r>
    <w:r>
      <w:tab/>
    </w:r>
    <w:r>
      <w:rPr>
        <w:rFonts w:ascii="Helvetica" w:hAnsi="Helvetica"/>
        <w:b/>
        <w:sz w:val="32"/>
        <w:szCs w:val="32"/>
      </w:rPr>
      <w:t>PROPOSED DECISION</w:t>
    </w:r>
    <w:r w:rsidR="008A040D">
      <w:rPr>
        <w:rFonts w:ascii="Helvetica" w:hAnsi="Helvetica"/>
        <w:b/>
        <w:sz w:val="32"/>
        <w:szCs w:val="32"/>
      </w:rPr>
      <w:t xml:space="preserve">  (Rev. 1)</w:t>
    </w:r>
  </w:p>
  <w:p w:rsidR="00ED45AC" w:rsidRDefault="00ED45AC" w:rsidP="00731B58">
    <w:pPr>
      <w:pStyle w:val="Header"/>
    </w:pPr>
  </w:p>
  <w:p w:rsidR="00ED45AC" w:rsidRDefault="00ED45AC" w:rsidP="00731B5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5AC" w:rsidRDefault="00ED45AC">
    <w:pPr>
      <w:pStyle w:val="Header"/>
    </w:pPr>
  </w:p>
  <w:p w:rsidR="00ED45AC" w:rsidRDefault="00ED45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C4C"/>
    <w:multiLevelType w:val="hybridMultilevel"/>
    <w:tmpl w:val="739A51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13B381E"/>
    <w:multiLevelType w:val="singleLevel"/>
    <w:tmpl w:val="2FB6A734"/>
    <w:lvl w:ilvl="0">
      <w:start w:val="1"/>
      <w:numFmt w:val="decimal"/>
      <w:lvlText w:val="%1."/>
      <w:legacy w:legacy="1" w:legacySpace="144" w:legacyIndent="0"/>
      <w:lvlJc w:val="left"/>
    </w:lvl>
  </w:abstractNum>
  <w:abstractNum w:abstractNumId="2">
    <w:nsid w:val="1AC37371"/>
    <w:multiLevelType w:val="hybridMultilevel"/>
    <w:tmpl w:val="9B9C3C86"/>
    <w:lvl w:ilvl="0" w:tplc="820A5104">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23A5285"/>
    <w:multiLevelType w:val="singleLevel"/>
    <w:tmpl w:val="00000000"/>
    <w:lvl w:ilvl="0">
      <w:start w:val="1"/>
      <w:numFmt w:val="decimal"/>
      <w:lvlText w:val="%1."/>
      <w:legacy w:legacy="1" w:legacySpace="144" w:legacyIndent="0"/>
      <w:lvlJc w:val="left"/>
    </w:lvl>
  </w:abstractNum>
  <w:abstractNum w:abstractNumId="4">
    <w:nsid w:val="2AA70E5B"/>
    <w:multiLevelType w:val="hybridMultilevel"/>
    <w:tmpl w:val="0242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D46003"/>
    <w:multiLevelType w:val="singleLevel"/>
    <w:tmpl w:val="2FB6A734"/>
    <w:lvl w:ilvl="0">
      <w:start w:val="1"/>
      <w:numFmt w:val="decimal"/>
      <w:lvlText w:val="%1."/>
      <w:legacy w:legacy="1" w:legacySpace="144" w:legacyIndent="0"/>
      <w:lvlJc w:val="left"/>
    </w:lvl>
  </w:abstractNum>
  <w:abstractNum w:abstractNumId="6">
    <w:nsid w:val="32A94478"/>
    <w:multiLevelType w:val="hybridMultilevel"/>
    <w:tmpl w:val="259425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521AAD"/>
    <w:multiLevelType w:val="multilevel"/>
    <w:tmpl w:val="B43E3DB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396F1A1D"/>
    <w:multiLevelType w:val="singleLevel"/>
    <w:tmpl w:val="739A51AE"/>
    <w:lvl w:ilvl="0">
      <w:start w:val="1"/>
      <w:numFmt w:val="decimal"/>
      <w:lvlText w:val="%1."/>
      <w:legacy w:legacy="1" w:legacySpace="144" w:legacyIndent="0"/>
      <w:lvlJc w:val="left"/>
    </w:lvl>
  </w:abstractNum>
  <w:abstractNum w:abstractNumId="9">
    <w:nsid w:val="3BE913FA"/>
    <w:multiLevelType w:val="multilevel"/>
    <w:tmpl w:val="3F4247C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A20053E"/>
    <w:multiLevelType w:val="hybridMultilevel"/>
    <w:tmpl w:val="A9C2FF6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1">
    <w:nsid w:val="4A223F63"/>
    <w:multiLevelType w:val="multilevel"/>
    <w:tmpl w:val="DF509F6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55DB70D1"/>
    <w:multiLevelType w:val="singleLevel"/>
    <w:tmpl w:val="739A51AE"/>
    <w:lvl w:ilvl="0">
      <w:start w:val="1"/>
      <w:numFmt w:val="decimal"/>
      <w:lvlText w:val="%1."/>
      <w:legacy w:legacy="1" w:legacySpace="144" w:legacyIndent="0"/>
      <w:lvlJc w:val="left"/>
    </w:lvl>
  </w:abstractNum>
  <w:abstractNum w:abstractNumId="13">
    <w:nsid w:val="57D9700C"/>
    <w:multiLevelType w:val="singleLevel"/>
    <w:tmpl w:val="739A51AE"/>
    <w:lvl w:ilvl="0">
      <w:start w:val="1"/>
      <w:numFmt w:val="decimal"/>
      <w:lvlText w:val="%1."/>
      <w:legacy w:legacy="1" w:legacySpace="144" w:legacyIndent="0"/>
      <w:lvlJc w:val="left"/>
    </w:lvl>
  </w:abstractNum>
  <w:abstractNum w:abstractNumId="14">
    <w:nsid w:val="58673877"/>
    <w:multiLevelType w:val="singleLevel"/>
    <w:tmpl w:val="739A51AE"/>
    <w:lvl w:ilvl="0">
      <w:start w:val="1"/>
      <w:numFmt w:val="decimal"/>
      <w:lvlText w:val="%1."/>
      <w:legacy w:legacy="1" w:legacySpace="144" w:legacyIndent="0"/>
      <w:lvlJc w:val="left"/>
    </w:lvl>
  </w:abstractNum>
  <w:abstractNum w:abstractNumId="15">
    <w:nsid w:val="696A55A5"/>
    <w:multiLevelType w:val="hybridMultilevel"/>
    <w:tmpl w:val="0242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5523C"/>
    <w:multiLevelType w:val="hybridMultilevel"/>
    <w:tmpl w:val="242C2444"/>
    <w:lvl w:ilvl="0" w:tplc="04090001">
      <w:start w:val="1"/>
      <w:numFmt w:val="bullet"/>
      <w:lvlText w:val=""/>
      <w:lvlJc w:val="left"/>
      <w:pPr>
        <w:ind w:left="1020" w:hanging="60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73027511"/>
    <w:multiLevelType w:val="hybridMultilevel"/>
    <w:tmpl w:val="C2165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1C30FD"/>
    <w:multiLevelType w:val="singleLevel"/>
    <w:tmpl w:val="2FB6A734"/>
    <w:lvl w:ilvl="0">
      <w:start w:val="1"/>
      <w:numFmt w:val="decimal"/>
      <w:lvlText w:val="%1."/>
      <w:legacy w:legacy="1" w:legacySpace="144" w:legacyIndent="0"/>
      <w:lvlJc w:val="left"/>
    </w:lvl>
  </w:abstractNum>
  <w:num w:numId="1">
    <w:abstractNumId w:val="5"/>
  </w:num>
  <w:num w:numId="2">
    <w:abstractNumId w:val="1"/>
  </w:num>
  <w:num w:numId="3">
    <w:abstractNumId w:val="18"/>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3"/>
  </w:num>
  <w:num w:numId="8">
    <w:abstractNumId w:val="14"/>
  </w:num>
  <w:num w:numId="9">
    <w:abstractNumId w:val="12"/>
  </w:num>
  <w:num w:numId="10">
    <w:abstractNumId w:val="8"/>
  </w:num>
  <w:num w:numId="11">
    <w:abstractNumId w:val="9"/>
  </w:num>
  <w:num w:numId="12">
    <w:abstractNumId w:val="7"/>
  </w:num>
  <w:num w:numId="13">
    <w:abstractNumId w:val="11"/>
  </w:num>
  <w:num w:numId="14">
    <w:abstractNumId w:val="17"/>
  </w:num>
  <w:num w:numId="15">
    <w:abstractNumId w:val="6"/>
  </w:num>
  <w:num w:numId="16">
    <w:abstractNumId w:val="0"/>
  </w:num>
  <w:num w:numId="17">
    <w:abstractNumId w:val="10"/>
  </w:num>
  <w:num w:numId="18">
    <w:abstractNumId w:val="16"/>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58"/>
    <w:rsid w:val="000000D9"/>
    <w:rsid w:val="00001508"/>
    <w:rsid w:val="00001C26"/>
    <w:rsid w:val="00001DBD"/>
    <w:rsid w:val="00002696"/>
    <w:rsid w:val="00003BEA"/>
    <w:rsid w:val="00004522"/>
    <w:rsid w:val="00004846"/>
    <w:rsid w:val="00005540"/>
    <w:rsid w:val="00005BDE"/>
    <w:rsid w:val="0000618B"/>
    <w:rsid w:val="0000624D"/>
    <w:rsid w:val="0000629C"/>
    <w:rsid w:val="0000715B"/>
    <w:rsid w:val="0001006D"/>
    <w:rsid w:val="000100C5"/>
    <w:rsid w:val="000112ED"/>
    <w:rsid w:val="00011571"/>
    <w:rsid w:val="00011FC1"/>
    <w:rsid w:val="000120B8"/>
    <w:rsid w:val="000126EA"/>
    <w:rsid w:val="00012755"/>
    <w:rsid w:val="00012DA9"/>
    <w:rsid w:val="0001302B"/>
    <w:rsid w:val="000138FA"/>
    <w:rsid w:val="00013BE6"/>
    <w:rsid w:val="00013BF6"/>
    <w:rsid w:val="00014E52"/>
    <w:rsid w:val="000151D3"/>
    <w:rsid w:val="000151E9"/>
    <w:rsid w:val="00015656"/>
    <w:rsid w:val="0001566F"/>
    <w:rsid w:val="00015E6F"/>
    <w:rsid w:val="000163FB"/>
    <w:rsid w:val="00016593"/>
    <w:rsid w:val="0001704A"/>
    <w:rsid w:val="0001766F"/>
    <w:rsid w:val="000179B2"/>
    <w:rsid w:val="00017B17"/>
    <w:rsid w:val="00017CB3"/>
    <w:rsid w:val="0002029B"/>
    <w:rsid w:val="000206BC"/>
    <w:rsid w:val="00020BC3"/>
    <w:rsid w:val="00020C7C"/>
    <w:rsid w:val="00020D87"/>
    <w:rsid w:val="000214C0"/>
    <w:rsid w:val="000214DE"/>
    <w:rsid w:val="000218BC"/>
    <w:rsid w:val="00021EE7"/>
    <w:rsid w:val="00022201"/>
    <w:rsid w:val="00022A6E"/>
    <w:rsid w:val="00022A9D"/>
    <w:rsid w:val="00022B5F"/>
    <w:rsid w:val="00023474"/>
    <w:rsid w:val="0002353A"/>
    <w:rsid w:val="00023ECD"/>
    <w:rsid w:val="00024ADA"/>
    <w:rsid w:val="00024F5C"/>
    <w:rsid w:val="0002512F"/>
    <w:rsid w:val="00025620"/>
    <w:rsid w:val="0002684B"/>
    <w:rsid w:val="00027047"/>
    <w:rsid w:val="00027462"/>
    <w:rsid w:val="000277A1"/>
    <w:rsid w:val="00027C13"/>
    <w:rsid w:val="00027D5B"/>
    <w:rsid w:val="00027EC7"/>
    <w:rsid w:val="00030058"/>
    <w:rsid w:val="0003025B"/>
    <w:rsid w:val="000302F8"/>
    <w:rsid w:val="00030344"/>
    <w:rsid w:val="00031717"/>
    <w:rsid w:val="000319C2"/>
    <w:rsid w:val="00031B31"/>
    <w:rsid w:val="000323BB"/>
    <w:rsid w:val="00032474"/>
    <w:rsid w:val="000330D7"/>
    <w:rsid w:val="00033747"/>
    <w:rsid w:val="00033889"/>
    <w:rsid w:val="0003397D"/>
    <w:rsid w:val="00033BC0"/>
    <w:rsid w:val="00034190"/>
    <w:rsid w:val="00034C32"/>
    <w:rsid w:val="00034D3C"/>
    <w:rsid w:val="00035342"/>
    <w:rsid w:val="000366DF"/>
    <w:rsid w:val="00036A8B"/>
    <w:rsid w:val="0004015F"/>
    <w:rsid w:val="000401E8"/>
    <w:rsid w:val="000404DF"/>
    <w:rsid w:val="00040F9F"/>
    <w:rsid w:val="00040FDB"/>
    <w:rsid w:val="0004157E"/>
    <w:rsid w:val="000419BC"/>
    <w:rsid w:val="00041B02"/>
    <w:rsid w:val="000423F4"/>
    <w:rsid w:val="0004304B"/>
    <w:rsid w:val="000431BE"/>
    <w:rsid w:val="0004331D"/>
    <w:rsid w:val="00044928"/>
    <w:rsid w:val="00044AAE"/>
    <w:rsid w:val="000453F4"/>
    <w:rsid w:val="0004617C"/>
    <w:rsid w:val="000462B3"/>
    <w:rsid w:val="0004632A"/>
    <w:rsid w:val="00046904"/>
    <w:rsid w:val="00047841"/>
    <w:rsid w:val="00050486"/>
    <w:rsid w:val="000505BD"/>
    <w:rsid w:val="00050F96"/>
    <w:rsid w:val="00051CF5"/>
    <w:rsid w:val="00051D60"/>
    <w:rsid w:val="000521DD"/>
    <w:rsid w:val="0005245D"/>
    <w:rsid w:val="0005350F"/>
    <w:rsid w:val="00053DCC"/>
    <w:rsid w:val="000551DA"/>
    <w:rsid w:val="000563C6"/>
    <w:rsid w:val="000600F3"/>
    <w:rsid w:val="00060970"/>
    <w:rsid w:val="0006102A"/>
    <w:rsid w:val="00061B60"/>
    <w:rsid w:val="00062212"/>
    <w:rsid w:val="00062304"/>
    <w:rsid w:val="00062C31"/>
    <w:rsid w:val="00062CD8"/>
    <w:rsid w:val="0006316B"/>
    <w:rsid w:val="0006368D"/>
    <w:rsid w:val="0006370F"/>
    <w:rsid w:val="00064317"/>
    <w:rsid w:val="00064A17"/>
    <w:rsid w:val="00064B80"/>
    <w:rsid w:val="00064C47"/>
    <w:rsid w:val="00065141"/>
    <w:rsid w:val="0006619E"/>
    <w:rsid w:val="00067273"/>
    <w:rsid w:val="00067D1B"/>
    <w:rsid w:val="00070B9A"/>
    <w:rsid w:val="0007298F"/>
    <w:rsid w:val="0007311C"/>
    <w:rsid w:val="000743B3"/>
    <w:rsid w:val="000750B1"/>
    <w:rsid w:val="000759EA"/>
    <w:rsid w:val="00076BE6"/>
    <w:rsid w:val="000776CE"/>
    <w:rsid w:val="000779C9"/>
    <w:rsid w:val="00077D16"/>
    <w:rsid w:val="00080020"/>
    <w:rsid w:val="00081123"/>
    <w:rsid w:val="00081B52"/>
    <w:rsid w:val="00081EDC"/>
    <w:rsid w:val="00082348"/>
    <w:rsid w:val="00082D09"/>
    <w:rsid w:val="00082DA8"/>
    <w:rsid w:val="00083329"/>
    <w:rsid w:val="0008389A"/>
    <w:rsid w:val="00083DF8"/>
    <w:rsid w:val="00084355"/>
    <w:rsid w:val="000845DB"/>
    <w:rsid w:val="0008577E"/>
    <w:rsid w:val="0008644D"/>
    <w:rsid w:val="000867AB"/>
    <w:rsid w:val="000878E1"/>
    <w:rsid w:val="0009088C"/>
    <w:rsid w:val="000908E9"/>
    <w:rsid w:val="00091623"/>
    <w:rsid w:val="00091FA0"/>
    <w:rsid w:val="00092670"/>
    <w:rsid w:val="00092C16"/>
    <w:rsid w:val="00092F45"/>
    <w:rsid w:val="00094065"/>
    <w:rsid w:val="00094A4A"/>
    <w:rsid w:val="00094D30"/>
    <w:rsid w:val="00094F0E"/>
    <w:rsid w:val="00095308"/>
    <w:rsid w:val="00095BDB"/>
    <w:rsid w:val="00096162"/>
    <w:rsid w:val="00096205"/>
    <w:rsid w:val="00097444"/>
    <w:rsid w:val="00097909"/>
    <w:rsid w:val="00097BD0"/>
    <w:rsid w:val="00097C46"/>
    <w:rsid w:val="00097E9E"/>
    <w:rsid w:val="000A0A3B"/>
    <w:rsid w:val="000A1182"/>
    <w:rsid w:val="000A15A7"/>
    <w:rsid w:val="000A16FC"/>
    <w:rsid w:val="000A251E"/>
    <w:rsid w:val="000A2925"/>
    <w:rsid w:val="000A2B79"/>
    <w:rsid w:val="000A2BAA"/>
    <w:rsid w:val="000A3052"/>
    <w:rsid w:val="000A3614"/>
    <w:rsid w:val="000A408B"/>
    <w:rsid w:val="000A6856"/>
    <w:rsid w:val="000A79A2"/>
    <w:rsid w:val="000A7AE7"/>
    <w:rsid w:val="000B0C41"/>
    <w:rsid w:val="000B1837"/>
    <w:rsid w:val="000B2185"/>
    <w:rsid w:val="000B3824"/>
    <w:rsid w:val="000B3C25"/>
    <w:rsid w:val="000B3F9D"/>
    <w:rsid w:val="000B41B6"/>
    <w:rsid w:val="000B446E"/>
    <w:rsid w:val="000B4961"/>
    <w:rsid w:val="000B4CAA"/>
    <w:rsid w:val="000B4E51"/>
    <w:rsid w:val="000B50B0"/>
    <w:rsid w:val="000B5376"/>
    <w:rsid w:val="000B56B7"/>
    <w:rsid w:val="000B59B5"/>
    <w:rsid w:val="000B5EB6"/>
    <w:rsid w:val="000B5FE9"/>
    <w:rsid w:val="000B6063"/>
    <w:rsid w:val="000B67F9"/>
    <w:rsid w:val="000C044E"/>
    <w:rsid w:val="000C0AC7"/>
    <w:rsid w:val="000C0E6C"/>
    <w:rsid w:val="000C1906"/>
    <w:rsid w:val="000C193C"/>
    <w:rsid w:val="000C19CC"/>
    <w:rsid w:val="000C200A"/>
    <w:rsid w:val="000C2538"/>
    <w:rsid w:val="000C2849"/>
    <w:rsid w:val="000C3346"/>
    <w:rsid w:val="000C33E2"/>
    <w:rsid w:val="000C4563"/>
    <w:rsid w:val="000C48D4"/>
    <w:rsid w:val="000C4975"/>
    <w:rsid w:val="000C4D8D"/>
    <w:rsid w:val="000C5B13"/>
    <w:rsid w:val="000C5ED8"/>
    <w:rsid w:val="000C71BB"/>
    <w:rsid w:val="000C760F"/>
    <w:rsid w:val="000D01D7"/>
    <w:rsid w:val="000D0381"/>
    <w:rsid w:val="000D1F18"/>
    <w:rsid w:val="000D1FF6"/>
    <w:rsid w:val="000D2AA4"/>
    <w:rsid w:val="000D382E"/>
    <w:rsid w:val="000D3D76"/>
    <w:rsid w:val="000D49D7"/>
    <w:rsid w:val="000D4B2B"/>
    <w:rsid w:val="000D4DBF"/>
    <w:rsid w:val="000D4DE4"/>
    <w:rsid w:val="000D50BD"/>
    <w:rsid w:val="000D57BC"/>
    <w:rsid w:val="000D677F"/>
    <w:rsid w:val="000D67A7"/>
    <w:rsid w:val="000D738F"/>
    <w:rsid w:val="000D77D6"/>
    <w:rsid w:val="000D7B6D"/>
    <w:rsid w:val="000E0808"/>
    <w:rsid w:val="000E0D91"/>
    <w:rsid w:val="000E10E2"/>
    <w:rsid w:val="000E2983"/>
    <w:rsid w:val="000E2FAE"/>
    <w:rsid w:val="000E30EC"/>
    <w:rsid w:val="000E35F1"/>
    <w:rsid w:val="000E38E7"/>
    <w:rsid w:val="000E45D5"/>
    <w:rsid w:val="000E5A4D"/>
    <w:rsid w:val="000E60A5"/>
    <w:rsid w:val="000E6F01"/>
    <w:rsid w:val="000E7124"/>
    <w:rsid w:val="000E71F8"/>
    <w:rsid w:val="000E7BC2"/>
    <w:rsid w:val="000F0288"/>
    <w:rsid w:val="000F17A5"/>
    <w:rsid w:val="000F1F20"/>
    <w:rsid w:val="000F2A23"/>
    <w:rsid w:val="000F327C"/>
    <w:rsid w:val="000F37BA"/>
    <w:rsid w:val="000F3C02"/>
    <w:rsid w:val="000F4770"/>
    <w:rsid w:val="000F495C"/>
    <w:rsid w:val="000F5487"/>
    <w:rsid w:val="000F62B2"/>
    <w:rsid w:val="000F6BB9"/>
    <w:rsid w:val="000F6F92"/>
    <w:rsid w:val="000F715D"/>
    <w:rsid w:val="000F75FE"/>
    <w:rsid w:val="000F7F9C"/>
    <w:rsid w:val="00100686"/>
    <w:rsid w:val="00101867"/>
    <w:rsid w:val="001022F6"/>
    <w:rsid w:val="00103BB8"/>
    <w:rsid w:val="00103E69"/>
    <w:rsid w:val="001042C1"/>
    <w:rsid w:val="00104371"/>
    <w:rsid w:val="00104FCE"/>
    <w:rsid w:val="00105901"/>
    <w:rsid w:val="00105D82"/>
    <w:rsid w:val="00105E53"/>
    <w:rsid w:val="0010734F"/>
    <w:rsid w:val="00107415"/>
    <w:rsid w:val="00107618"/>
    <w:rsid w:val="00110270"/>
    <w:rsid w:val="001105A9"/>
    <w:rsid w:val="00110C4D"/>
    <w:rsid w:val="0011135F"/>
    <w:rsid w:val="00111F28"/>
    <w:rsid w:val="001123EC"/>
    <w:rsid w:val="00113239"/>
    <w:rsid w:val="001138F4"/>
    <w:rsid w:val="001142F4"/>
    <w:rsid w:val="00115FBD"/>
    <w:rsid w:val="001171E7"/>
    <w:rsid w:val="0011792E"/>
    <w:rsid w:val="00117CE0"/>
    <w:rsid w:val="00117E10"/>
    <w:rsid w:val="00117FF5"/>
    <w:rsid w:val="0012275E"/>
    <w:rsid w:val="001238A5"/>
    <w:rsid w:val="0012393A"/>
    <w:rsid w:val="00123A2C"/>
    <w:rsid w:val="00124D8D"/>
    <w:rsid w:val="00125449"/>
    <w:rsid w:val="001254F2"/>
    <w:rsid w:val="001255F6"/>
    <w:rsid w:val="00126EB6"/>
    <w:rsid w:val="0012703D"/>
    <w:rsid w:val="00130B36"/>
    <w:rsid w:val="00130ED4"/>
    <w:rsid w:val="00131732"/>
    <w:rsid w:val="00131E00"/>
    <w:rsid w:val="00132442"/>
    <w:rsid w:val="0013369A"/>
    <w:rsid w:val="0013413D"/>
    <w:rsid w:val="0013490C"/>
    <w:rsid w:val="00134BE1"/>
    <w:rsid w:val="0013586E"/>
    <w:rsid w:val="001358E9"/>
    <w:rsid w:val="00137A8B"/>
    <w:rsid w:val="001414C4"/>
    <w:rsid w:val="001418CD"/>
    <w:rsid w:val="001422CF"/>
    <w:rsid w:val="00142704"/>
    <w:rsid w:val="00143288"/>
    <w:rsid w:val="00143A63"/>
    <w:rsid w:val="001455BF"/>
    <w:rsid w:val="0014625A"/>
    <w:rsid w:val="00146305"/>
    <w:rsid w:val="00146E3C"/>
    <w:rsid w:val="001502AC"/>
    <w:rsid w:val="00150718"/>
    <w:rsid w:val="00150BC3"/>
    <w:rsid w:val="00150BFA"/>
    <w:rsid w:val="00150CA7"/>
    <w:rsid w:val="00151179"/>
    <w:rsid w:val="00151453"/>
    <w:rsid w:val="00151F34"/>
    <w:rsid w:val="00153417"/>
    <w:rsid w:val="00153624"/>
    <w:rsid w:val="001537E2"/>
    <w:rsid w:val="00153C20"/>
    <w:rsid w:val="00153C4E"/>
    <w:rsid w:val="00153D04"/>
    <w:rsid w:val="001541C3"/>
    <w:rsid w:val="00154EEF"/>
    <w:rsid w:val="00155DE5"/>
    <w:rsid w:val="00155F35"/>
    <w:rsid w:val="001569E7"/>
    <w:rsid w:val="00156C45"/>
    <w:rsid w:val="001606F4"/>
    <w:rsid w:val="00160C53"/>
    <w:rsid w:val="00160DF7"/>
    <w:rsid w:val="001611EA"/>
    <w:rsid w:val="00161639"/>
    <w:rsid w:val="00162037"/>
    <w:rsid w:val="00162058"/>
    <w:rsid w:val="0016246A"/>
    <w:rsid w:val="00162741"/>
    <w:rsid w:val="001628DD"/>
    <w:rsid w:val="00162AF7"/>
    <w:rsid w:val="00163032"/>
    <w:rsid w:val="001630C8"/>
    <w:rsid w:val="00163299"/>
    <w:rsid w:val="00163300"/>
    <w:rsid w:val="00163692"/>
    <w:rsid w:val="00163C36"/>
    <w:rsid w:val="00164CEB"/>
    <w:rsid w:val="00164F8D"/>
    <w:rsid w:val="00164FF6"/>
    <w:rsid w:val="00165444"/>
    <w:rsid w:val="0016578E"/>
    <w:rsid w:val="00165A8E"/>
    <w:rsid w:val="00166310"/>
    <w:rsid w:val="00166D3B"/>
    <w:rsid w:val="0016716A"/>
    <w:rsid w:val="0017039A"/>
    <w:rsid w:val="0017160A"/>
    <w:rsid w:val="00171C3E"/>
    <w:rsid w:val="00171F22"/>
    <w:rsid w:val="00172A1E"/>
    <w:rsid w:val="0017311D"/>
    <w:rsid w:val="001731EA"/>
    <w:rsid w:val="001733B8"/>
    <w:rsid w:val="0017371B"/>
    <w:rsid w:val="00173D23"/>
    <w:rsid w:val="001742E9"/>
    <w:rsid w:val="0017431C"/>
    <w:rsid w:val="00174D2F"/>
    <w:rsid w:val="00174FDC"/>
    <w:rsid w:val="001750B0"/>
    <w:rsid w:val="0017653E"/>
    <w:rsid w:val="00177916"/>
    <w:rsid w:val="00180D02"/>
    <w:rsid w:val="00182598"/>
    <w:rsid w:val="001835A8"/>
    <w:rsid w:val="00185828"/>
    <w:rsid w:val="001863C1"/>
    <w:rsid w:val="001870E2"/>
    <w:rsid w:val="001870FB"/>
    <w:rsid w:val="00190338"/>
    <w:rsid w:val="00190D3E"/>
    <w:rsid w:val="001914D6"/>
    <w:rsid w:val="001923B0"/>
    <w:rsid w:val="001932BC"/>
    <w:rsid w:val="001937B2"/>
    <w:rsid w:val="00193900"/>
    <w:rsid w:val="001953A7"/>
    <w:rsid w:val="001954DF"/>
    <w:rsid w:val="0019640F"/>
    <w:rsid w:val="0019670D"/>
    <w:rsid w:val="001967C3"/>
    <w:rsid w:val="001967CB"/>
    <w:rsid w:val="001973DC"/>
    <w:rsid w:val="001A0800"/>
    <w:rsid w:val="001A103C"/>
    <w:rsid w:val="001A108B"/>
    <w:rsid w:val="001A1741"/>
    <w:rsid w:val="001A17BD"/>
    <w:rsid w:val="001A1A11"/>
    <w:rsid w:val="001A1BAC"/>
    <w:rsid w:val="001A200B"/>
    <w:rsid w:val="001A2C4B"/>
    <w:rsid w:val="001A5FD0"/>
    <w:rsid w:val="001A6044"/>
    <w:rsid w:val="001A6A53"/>
    <w:rsid w:val="001A6AB7"/>
    <w:rsid w:val="001B0E39"/>
    <w:rsid w:val="001B1177"/>
    <w:rsid w:val="001B1AF0"/>
    <w:rsid w:val="001B1D2E"/>
    <w:rsid w:val="001B2680"/>
    <w:rsid w:val="001B26AF"/>
    <w:rsid w:val="001B296B"/>
    <w:rsid w:val="001B2D1B"/>
    <w:rsid w:val="001B3026"/>
    <w:rsid w:val="001B45A7"/>
    <w:rsid w:val="001B4759"/>
    <w:rsid w:val="001B518C"/>
    <w:rsid w:val="001B51F9"/>
    <w:rsid w:val="001B6C1A"/>
    <w:rsid w:val="001B7226"/>
    <w:rsid w:val="001C05CF"/>
    <w:rsid w:val="001C17C4"/>
    <w:rsid w:val="001C1ABA"/>
    <w:rsid w:val="001C2668"/>
    <w:rsid w:val="001C26FC"/>
    <w:rsid w:val="001C2D80"/>
    <w:rsid w:val="001C315A"/>
    <w:rsid w:val="001C3373"/>
    <w:rsid w:val="001C398C"/>
    <w:rsid w:val="001C43C2"/>
    <w:rsid w:val="001C45E4"/>
    <w:rsid w:val="001C4EA9"/>
    <w:rsid w:val="001C585D"/>
    <w:rsid w:val="001C5C70"/>
    <w:rsid w:val="001C66C5"/>
    <w:rsid w:val="001C6DDF"/>
    <w:rsid w:val="001C6E9F"/>
    <w:rsid w:val="001C6F11"/>
    <w:rsid w:val="001C72EA"/>
    <w:rsid w:val="001C7E9F"/>
    <w:rsid w:val="001D02E0"/>
    <w:rsid w:val="001D163E"/>
    <w:rsid w:val="001D3077"/>
    <w:rsid w:val="001D3446"/>
    <w:rsid w:val="001D358A"/>
    <w:rsid w:val="001D3E42"/>
    <w:rsid w:val="001D4646"/>
    <w:rsid w:val="001D4735"/>
    <w:rsid w:val="001D47B1"/>
    <w:rsid w:val="001D480F"/>
    <w:rsid w:val="001D5E8D"/>
    <w:rsid w:val="001D68E9"/>
    <w:rsid w:val="001D7120"/>
    <w:rsid w:val="001D725F"/>
    <w:rsid w:val="001E0095"/>
    <w:rsid w:val="001E0AF0"/>
    <w:rsid w:val="001E1B03"/>
    <w:rsid w:val="001E1C35"/>
    <w:rsid w:val="001E23AF"/>
    <w:rsid w:val="001E2913"/>
    <w:rsid w:val="001E2BEA"/>
    <w:rsid w:val="001E3914"/>
    <w:rsid w:val="001E43ED"/>
    <w:rsid w:val="001E5101"/>
    <w:rsid w:val="001E5B37"/>
    <w:rsid w:val="001E6004"/>
    <w:rsid w:val="001E678D"/>
    <w:rsid w:val="001E689F"/>
    <w:rsid w:val="001E78CF"/>
    <w:rsid w:val="001E7E98"/>
    <w:rsid w:val="001F0185"/>
    <w:rsid w:val="001F02FF"/>
    <w:rsid w:val="001F0C53"/>
    <w:rsid w:val="001F0F76"/>
    <w:rsid w:val="001F18C9"/>
    <w:rsid w:val="001F2784"/>
    <w:rsid w:val="001F343A"/>
    <w:rsid w:val="001F349D"/>
    <w:rsid w:val="001F3A72"/>
    <w:rsid w:val="001F403B"/>
    <w:rsid w:val="001F4596"/>
    <w:rsid w:val="001F4EF8"/>
    <w:rsid w:val="001F523F"/>
    <w:rsid w:val="001F5301"/>
    <w:rsid w:val="001F5B88"/>
    <w:rsid w:val="001F5BB4"/>
    <w:rsid w:val="001F5F83"/>
    <w:rsid w:val="001F62FA"/>
    <w:rsid w:val="001F64CD"/>
    <w:rsid w:val="001F73CB"/>
    <w:rsid w:val="002005EB"/>
    <w:rsid w:val="0020091A"/>
    <w:rsid w:val="00200948"/>
    <w:rsid w:val="00200DF9"/>
    <w:rsid w:val="0020180A"/>
    <w:rsid w:val="00201CE5"/>
    <w:rsid w:val="0020234C"/>
    <w:rsid w:val="0020328C"/>
    <w:rsid w:val="00203899"/>
    <w:rsid w:val="002045DE"/>
    <w:rsid w:val="002048FD"/>
    <w:rsid w:val="00204FB8"/>
    <w:rsid w:val="002065C1"/>
    <w:rsid w:val="00206E0E"/>
    <w:rsid w:val="00206EF7"/>
    <w:rsid w:val="00206F94"/>
    <w:rsid w:val="002107E5"/>
    <w:rsid w:val="00210993"/>
    <w:rsid w:val="00210B76"/>
    <w:rsid w:val="00210D87"/>
    <w:rsid w:val="00210ED9"/>
    <w:rsid w:val="002121AA"/>
    <w:rsid w:val="002124C1"/>
    <w:rsid w:val="0021295C"/>
    <w:rsid w:val="00213499"/>
    <w:rsid w:val="00213B68"/>
    <w:rsid w:val="002158E5"/>
    <w:rsid w:val="00215C84"/>
    <w:rsid w:val="00216049"/>
    <w:rsid w:val="002160B6"/>
    <w:rsid w:val="00216E74"/>
    <w:rsid w:val="00217053"/>
    <w:rsid w:val="0021708E"/>
    <w:rsid w:val="00217299"/>
    <w:rsid w:val="00217336"/>
    <w:rsid w:val="00217783"/>
    <w:rsid w:val="00217A14"/>
    <w:rsid w:val="002209E8"/>
    <w:rsid w:val="00222826"/>
    <w:rsid w:val="00223580"/>
    <w:rsid w:val="00224F53"/>
    <w:rsid w:val="0022533E"/>
    <w:rsid w:val="002258D5"/>
    <w:rsid w:val="00226099"/>
    <w:rsid w:val="00226CA3"/>
    <w:rsid w:val="00227B34"/>
    <w:rsid w:val="00227DD0"/>
    <w:rsid w:val="002303DF"/>
    <w:rsid w:val="00230B56"/>
    <w:rsid w:val="0023149E"/>
    <w:rsid w:val="00231C75"/>
    <w:rsid w:val="00231D54"/>
    <w:rsid w:val="00232441"/>
    <w:rsid w:val="00232928"/>
    <w:rsid w:val="00232BCB"/>
    <w:rsid w:val="00233152"/>
    <w:rsid w:val="0023315F"/>
    <w:rsid w:val="0023428A"/>
    <w:rsid w:val="0023447E"/>
    <w:rsid w:val="002347EE"/>
    <w:rsid w:val="00234A3F"/>
    <w:rsid w:val="002356FB"/>
    <w:rsid w:val="00235B96"/>
    <w:rsid w:val="002363FD"/>
    <w:rsid w:val="00237980"/>
    <w:rsid w:val="00237B4F"/>
    <w:rsid w:val="00240A75"/>
    <w:rsid w:val="00240BBA"/>
    <w:rsid w:val="002412E3"/>
    <w:rsid w:val="002413E7"/>
    <w:rsid w:val="00241BBF"/>
    <w:rsid w:val="002422CF"/>
    <w:rsid w:val="002428BE"/>
    <w:rsid w:val="00242964"/>
    <w:rsid w:val="00242C7B"/>
    <w:rsid w:val="00242D73"/>
    <w:rsid w:val="00243563"/>
    <w:rsid w:val="0024402F"/>
    <w:rsid w:val="00244089"/>
    <w:rsid w:val="00244616"/>
    <w:rsid w:val="00245488"/>
    <w:rsid w:val="00245BFD"/>
    <w:rsid w:val="00246A4C"/>
    <w:rsid w:val="00246D9D"/>
    <w:rsid w:val="00247D0C"/>
    <w:rsid w:val="00247E9B"/>
    <w:rsid w:val="00250436"/>
    <w:rsid w:val="00250B15"/>
    <w:rsid w:val="00251863"/>
    <w:rsid w:val="00252D90"/>
    <w:rsid w:val="0025337F"/>
    <w:rsid w:val="00253E6A"/>
    <w:rsid w:val="00254C35"/>
    <w:rsid w:val="00255018"/>
    <w:rsid w:val="00256647"/>
    <w:rsid w:val="00256907"/>
    <w:rsid w:val="00256C1E"/>
    <w:rsid w:val="002570FE"/>
    <w:rsid w:val="00257A43"/>
    <w:rsid w:val="00261FE3"/>
    <w:rsid w:val="00262462"/>
    <w:rsid w:val="00262954"/>
    <w:rsid w:val="00263258"/>
    <w:rsid w:val="0026378B"/>
    <w:rsid w:val="002637DE"/>
    <w:rsid w:val="00264182"/>
    <w:rsid w:val="00264867"/>
    <w:rsid w:val="00264EEA"/>
    <w:rsid w:val="00264F4B"/>
    <w:rsid w:val="00265E60"/>
    <w:rsid w:val="002665E7"/>
    <w:rsid w:val="00267831"/>
    <w:rsid w:val="00267DF3"/>
    <w:rsid w:val="0027113E"/>
    <w:rsid w:val="00271BE3"/>
    <w:rsid w:val="00271F28"/>
    <w:rsid w:val="00272268"/>
    <w:rsid w:val="00273D59"/>
    <w:rsid w:val="00274144"/>
    <w:rsid w:val="0027444E"/>
    <w:rsid w:val="00274DA7"/>
    <w:rsid w:val="00275224"/>
    <w:rsid w:val="00275E9F"/>
    <w:rsid w:val="00276459"/>
    <w:rsid w:val="002767F8"/>
    <w:rsid w:val="00276C70"/>
    <w:rsid w:val="00276DFB"/>
    <w:rsid w:val="002771CC"/>
    <w:rsid w:val="0027745F"/>
    <w:rsid w:val="00277982"/>
    <w:rsid w:val="00277AE1"/>
    <w:rsid w:val="00280105"/>
    <w:rsid w:val="00280FA9"/>
    <w:rsid w:val="00281562"/>
    <w:rsid w:val="00281BF1"/>
    <w:rsid w:val="00282133"/>
    <w:rsid w:val="002831B3"/>
    <w:rsid w:val="00283652"/>
    <w:rsid w:val="002838A4"/>
    <w:rsid w:val="00284985"/>
    <w:rsid w:val="00285308"/>
    <w:rsid w:val="00285704"/>
    <w:rsid w:val="00286049"/>
    <w:rsid w:val="00290708"/>
    <w:rsid w:val="002909D7"/>
    <w:rsid w:val="00290F22"/>
    <w:rsid w:val="00291AE1"/>
    <w:rsid w:val="00291FAC"/>
    <w:rsid w:val="00292029"/>
    <w:rsid w:val="00292089"/>
    <w:rsid w:val="00292654"/>
    <w:rsid w:val="0029296E"/>
    <w:rsid w:val="00292B5B"/>
    <w:rsid w:val="00292CE0"/>
    <w:rsid w:val="00293445"/>
    <w:rsid w:val="00293478"/>
    <w:rsid w:val="002937BB"/>
    <w:rsid w:val="002939F4"/>
    <w:rsid w:val="00293A29"/>
    <w:rsid w:val="00294880"/>
    <w:rsid w:val="00295016"/>
    <w:rsid w:val="00296C1B"/>
    <w:rsid w:val="00297510"/>
    <w:rsid w:val="00297519"/>
    <w:rsid w:val="002977A7"/>
    <w:rsid w:val="00297C17"/>
    <w:rsid w:val="002A1EC8"/>
    <w:rsid w:val="002A26CB"/>
    <w:rsid w:val="002A26E6"/>
    <w:rsid w:val="002A29B6"/>
    <w:rsid w:val="002A3059"/>
    <w:rsid w:val="002A377F"/>
    <w:rsid w:val="002A3F7B"/>
    <w:rsid w:val="002A48E6"/>
    <w:rsid w:val="002A4EA5"/>
    <w:rsid w:val="002A537D"/>
    <w:rsid w:val="002A53F1"/>
    <w:rsid w:val="002A5BB4"/>
    <w:rsid w:val="002A655E"/>
    <w:rsid w:val="002A6581"/>
    <w:rsid w:val="002A66C4"/>
    <w:rsid w:val="002A6AD3"/>
    <w:rsid w:val="002A6DFF"/>
    <w:rsid w:val="002A6FC2"/>
    <w:rsid w:val="002A79C3"/>
    <w:rsid w:val="002B0185"/>
    <w:rsid w:val="002B05FB"/>
    <w:rsid w:val="002B05FC"/>
    <w:rsid w:val="002B0A94"/>
    <w:rsid w:val="002B0ABB"/>
    <w:rsid w:val="002B0F71"/>
    <w:rsid w:val="002B18F8"/>
    <w:rsid w:val="002B1C11"/>
    <w:rsid w:val="002B1D71"/>
    <w:rsid w:val="002B2825"/>
    <w:rsid w:val="002B353B"/>
    <w:rsid w:val="002B4374"/>
    <w:rsid w:val="002B46BF"/>
    <w:rsid w:val="002B6BF4"/>
    <w:rsid w:val="002B7B00"/>
    <w:rsid w:val="002B7DEA"/>
    <w:rsid w:val="002C19BA"/>
    <w:rsid w:val="002C1A6B"/>
    <w:rsid w:val="002C1F04"/>
    <w:rsid w:val="002C2014"/>
    <w:rsid w:val="002C29B1"/>
    <w:rsid w:val="002C2CFE"/>
    <w:rsid w:val="002C351F"/>
    <w:rsid w:val="002C3752"/>
    <w:rsid w:val="002C3A9F"/>
    <w:rsid w:val="002C5026"/>
    <w:rsid w:val="002C648D"/>
    <w:rsid w:val="002C79D6"/>
    <w:rsid w:val="002C7CC9"/>
    <w:rsid w:val="002D06D1"/>
    <w:rsid w:val="002D0B90"/>
    <w:rsid w:val="002D0CC1"/>
    <w:rsid w:val="002D0F4E"/>
    <w:rsid w:val="002D1074"/>
    <w:rsid w:val="002D1488"/>
    <w:rsid w:val="002D1C49"/>
    <w:rsid w:val="002D244B"/>
    <w:rsid w:val="002D2605"/>
    <w:rsid w:val="002D262A"/>
    <w:rsid w:val="002D329D"/>
    <w:rsid w:val="002D4037"/>
    <w:rsid w:val="002D565D"/>
    <w:rsid w:val="002D5724"/>
    <w:rsid w:val="002D5A5C"/>
    <w:rsid w:val="002D6249"/>
    <w:rsid w:val="002D6428"/>
    <w:rsid w:val="002D668B"/>
    <w:rsid w:val="002D67AA"/>
    <w:rsid w:val="002D69DB"/>
    <w:rsid w:val="002D7AC0"/>
    <w:rsid w:val="002E070F"/>
    <w:rsid w:val="002E0C42"/>
    <w:rsid w:val="002E19AE"/>
    <w:rsid w:val="002E19F5"/>
    <w:rsid w:val="002E2051"/>
    <w:rsid w:val="002E28FC"/>
    <w:rsid w:val="002E2B7C"/>
    <w:rsid w:val="002E302D"/>
    <w:rsid w:val="002E3114"/>
    <w:rsid w:val="002E3A90"/>
    <w:rsid w:val="002E3D2F"/>
    <w:rsid w:val="002E4399"/>
    <w:rsid w:val="002E43B3"/>
    <w:rsid w:val="002E4963"/>
    <w:rsid w:val="002E567F"/>
    <w:rsid w:val="002E5960"/>
    <w:rsid w:val="002E605F"/>
    <w:rsid w:val="002E6925"/>
    <w:rsid w:val="002E69EA"/>
    <w:rsid w:val="002E6DCE"/>
    <w:rsid w:val="002E71EE"/>
    <w:rsid w:val="002E7692"/>
    <w:rsid w:val="002E79E7"/>
    <w:rsid w:val="002F018A"/>
    <w:rsid w:val="002F01DF"/>
    <w:rsid w:val="002F067C"/>
    <w:rsid w:val="002F0C1D"/>
    <w:rsid w:val="002F10A8"/>
    <w:rsid w:val="002F130E"/>
    <w:rsid w:val="002F13E4"/>
    <w:rsid w:val="002F1A42"/>
    <w:rsid w:val="002F2EAD"/>
    <w:rsid w:val="002F30DE"/>
    <w:rsid w:val="002F33F5"/>
    <w:rsid w:val="002F3BC0"/>
    <w:rsid w:val="002F409A"/>
    <w:rsid w:val="002F45EA"/>
    <w:rsid w:val="002F4989"/>
    <w:rsid w:val="002F49DC"/>
    <w:rsid w:val="002F565A"/>
    <w:rsid w:val="002F67BF"/>
    <w:rsid w:val="002F691D"/>
    <w:rsid w:val="002F7157"/>
    <w:rsid w:val="002F7442"/>
    <w:rsid w:val="002F75D4"/>
    <w:rsid w:val="002F768F"/>
    <w:rsid w:val="00300C7C"/>
    <w:rsid w:val="00300F20"/>
    <w:rsid w:val="00301376"/>
    <w:rsid w:val="003014E4"/>
    <w:rsid w:val="0030194D"/>
    <w:rsid w:val="003019B5"/>
    <w:rsid w:val="00301D0C"/>
    <w:rsid w:val="003024F6"/>
    <w:rsid w:val="0030267A"/>
    <w:rsid w:val="00302E0D"/>
    <w:rsid w:val="003032B5"/>
    <w:rsid w:val="003035B0"/>
    <w:rsid w:val="003035FD"/>
    <w:rsid w:val="00303B8E"/>
    <w:rsid w:val="003047C9"/>
    <w:rsid w:val="00304D11"/>
    <w:rsid w:val="00304EFC"/>
    <w:rsid w:val="00305724"/>
    <w:rsid w:val="0030575A"/>
    <w:rsid w:val="00306BFE"/>
    <w:rsid w:val="003070B5"/>
    <w:rsid w:val="00307139"/>
    <w:rsid w:val="00307F8A"/>
    <w:rsid w:val="00310703"/>
    <w:rsid w:val="00310CD8"/>
    <w:rsid w:val="00310EC2"/>
    <w:rsid w:val="00310FFD"/>
    <w:rsid w:val="0031202B"/>
    <w:rsid w:val="003124CA"/>
    <w:rsid w:val="00312601"/>
    <w:rsid w:val="003129D0"/>
    <w:rsid w:val="00312ECF"/>
    <w:rsid w:val="00312FBD"/>
    <w:rsid w:val="003130CB"/>
    <w:rsid w:val="00313F78"/>
    <w:rsid w:val="00314307"/>
    <w:rsid w:val="003145AD"/>
    <w:rsid w:val="003145E4"/>
    <w:rsid w:val="00314665"/>
    <w:rsid w:val="003146B0"/>
    <w:rsid w:val="00314BAA"/>
    <w:rsid w:val="00315A07"/>
    <w:rsid w:val="00316ECE"/>
    <w:rsid w:val="00316EED"/>
    <w:rsid w:val="00317258"/>
    <w:rsid w:val="003178D8"/>
    <w:rsid w:val="00317BAC"/>
    <w:rsid w:val="00317C6E"/>
    <w:rsid w:val="00317DF3"/>
    <w:rsid w:val="00320BE3"/>
    <w:rsid w:val="0032186D"/>
    <w:rsid w:val="00321D37"/>
    <w:rsid w:val="00321DDD"/>
    <w:rsid w:val="00321E4B"/>
    <w:rsid w:val="00322152"/>
    <w:rsid w:val="0032235D"/>
    <w:rsid w:val="00322862"/>
    <w:rsid w:val="00322DEE"/>
    <w:rsid w:val="00323016"/>
    <w:rsid w:val="003230E8"/>
    <w:rsid w:val="003237DA"/>
    <w:rsid w:val="00324424"/>
    <w:rsid w:val="0032468F"/>
    <w:rsid w:val="00325316"/>
    <w:rsid w:val="00325B0C"/>
    <w:rsid w:val="00326A6F"/>
    <w:rsid w:val="003278B8"/>
    <w:rsid w:val="00327A3C"/>
    <w:rsid w:val="00327D7D"/>
    <w:rsid w:val="00330F1A"/>
    <w:rsid w:val="0033154B"/>
    <w:rsid w:val="00331BEF"/>
    <w:rsid w:val="00331C0B"/>
    <w:rsid w:val="00331CF4"/>
    <w:rsid w:val="00332887"/>
    <w:rsid w:val="003329BE"/>
    <w:rsid w:val="00333122"/>
    <w:rsid w:val="00334148"/>
    <w:rsid w:val="0033558B"/>
    <w:rsid w:val="00335895"/>
    <w:rsid w:val="003366D4"/>
    <w:rsid w:val="003370D8"/>
    <w:rsid w:val="00337781"/>
    <w:rsid w:val="00337A13"/>
    <w:rsid w:val="00337E94"/>
    <w:rsid w:val="0034023D"/>
    <w:rsid w:val="00341367"/>
    <w:rsid w:val="0034149C"/>
    <w:rsid w:val="00341C10"/>
    <w:rsid w:val="0034239E"/>
    <w:rsid w:val="00342414"/>
    <w:rsid w:val="00342EB2"/>
    <w:rsid w:val="003439A0"/>
    <w:rsid w:val="00343D30"/>
    <w:rsid w:val="003443B7"/>
    <w:rsid w:val="00344706"/>
    <w:rsid w:val="003449E0"/>
    <w:rsid w:val="003452AA"/>
    <w:rsid w:val="00345A8E"/>
    <w:rsid w:val="00345ABB"/>
    <w:rsid w:val="00345CE8"/>
    <w:rsid w:val="00345CF9"/>
    <w:rsid w:val="003469C6"/>
    <w:rsid w:val="00346DD4"/>
    <w:rsid w:val="003477AB"/>
    <w:rsid w:val="00347CDA"/>
    <w:rsid w:val="00350F64"/>
    <w:rsid w:val="003523F0"/>
    <w:rsid w:val="003529F0"/>
    <w:rsid w:val="003536D7"/>
    <w:rsid w:val="00353CC8"/>
    <w:rsid w:val="00353DCB"/>
    <w:rsid w:val="0035421B"/>
    <w:rsid w:val="00354864"/>
    <w:rsid w:val="00354EC2"/>
    <w:rsid w:val="003551E0"/>
    <w:rsid w:val="00355259"/>
    <w:rsid w:val="00355DCE"/>
    <w:rsid w:val="00356165"/>
    <w:rsid w:val="00356B78"/>
    <w:rsid w:val="003570ED"/>
    <w:rsid w:val="00357313"/>
    <w:rsid w:val="00357471"/>
    <w:rsid w:val="003604E9"/>
    <w:rsid w:val="00360E69"/>
    <w:rsid w:val="0036147C"/>
    <w:rsid w:val="00361A67"/>
    <w:rsid w:val="00361D98"/>
    <w:rsid w:val="00362011"/>
    <w:rsid w:val="00362F0C"/>
    <w:rsid w:val="00363AA1"/>
    <w:rsid w:val="0036412C"/>
    <w:rsid w:val="00364275"/>
    <w:rsid w:val="00364351"/>
    <w:rsid w:val="00365162"/>
    <w:rsid w:val="003651D0"/>
    <w:rsid w:val="0036545B"/>
    <w:rsid w:val="00365472"/>
    <w:rsid w:val="00365B8C"/>
    <w:rsid w:val="00365E77"/>
    <w:rsid w:val="00365F45"/>
    <w:rsid w:val="003666EA"/>
    <w:rsid w:val="00366770"/>
    <w:rsid w:val="00366FE4"/>
    <w:rsid w:val="00367505"/>
    <w:rsid w:val="00367B43"/>
    <w:rsid w:val="00367C9D"/>
    <w:rsid w:val="00367ECB"/>
    <w:rsid w:val="00371AD9"/>
    <w:rsid w:val="00372BD1"/>
    <w:rsid w:val="00372C06"/>
    <w:rsid w:val="00373E0F"/>
    <w:rsid w:val="003755C4"/>
    <w:rsid w:val="0037596B"/>
    <w:rsid w:val="00375E5C"/>
    <w:rsid w:val="003768D3"/>
    <w:rsid w:val="003772B1"/>
    <w:rsid w:val="00377847"/>
    <w:rsid w:val="00377B04"/>
    <w:rsid w:val="00380392"/>
    <w:rsid w:val="003806B1"/>
    <w:rsid w:val="00380765"/>
    <w:rsid w:val="003807DF"/>
    <w:rsid w:val="00380A71"/>
    <w:rsid w:val="00381048"/>
    <w:rsid w:val="003817BF"/>
    <w:rsid w:val="00381BAA"/>
    <w:rsid w:val="00381C1B"/>
    <w:rsid w:val="00381F10"/>
    <w:rsid w:val="0038260E"/>
    <w:rsid w:val="00382765"/>
    <w:rsid w:val="00383C55"/>
    <w:rsid w:val="00383F5C"/>
    <w:rsid w:val="00383F9D"/>
    <w:rsid w:val="00384466"/>
    <w:rsid w:val="003845AF"/>
    <w:rsid w:val="00384AEA"/>
    <w:rsid w:val="00384C55"/>
    <w:rsid w:val="00384EA4"/>
    <w:rsid w:val="00385B78"/>
    <w:rsid w:val="003866CE"/>
    <w:rsid w:val="00386FEA"/>
    <w:rsid w:val="0038742C"/>
    <w:rsid w:val="003900B2"/>
    <w:rsid w:val="00390BF8"/>
    <w:rsid w:val="00391821"/>
    <w:rsid w:val="00391A4F"/>
    <w:rsid w:val="00391B33"/>
    <w:rsid w:val="00391D51"/>
    <w:rsid w:val="0039241D"/>
    <w:rsid w:val="003924DA"/>
    <w:rsid w:val="00392631"/>
    <w:rsid w:val="003933E6"/>
    <w:rsid w:val="00393827"/>
    <w:rsid w:val="00394279"/>
    <w:rsid w:val="0039453F"/>
    <w:rsid w:val="003946A3"/>
    <w:rsid w:val="00394D81"/>
    <w:rsid w:val="003953C7"/>
    <w:rsid w:val="0039558F"/>
    <w:rsid w:val="003959AE"/>
    <w:rsid w:val="003961AA"/>
    <w:rsid w:val="00397041"/>
    <w:rsid w:val="003971D7"/>
    <w:rsid w:val="00397268"/>
    <w:rsid w:val="0039759E"/>
    <w:rsid w:val="003976C6"/>
    <w:rsid w:val="003A028F"/>
    <w:rsid w:val="003A0DFC"/>
    <w:rsid w:val="003A183F"/>
    <w:rsid w:val="003A2138"/>
    <w:rsid w:val="003A2323"/>
    <w:rsid w:val="003A26BC"/>
    <w:rsid w:val="003A26E5"/>
    <w:rsid w:val="003A3333"/>
    <w:rsid w:val="003A348C"/>
    <w:rsid w:val="003A370F"/>
    <w:rsid w:val="003A3C36"/>
    <w:rsid w:val="003A4C10"/>
    <w:rsid w:val="003A528D"/>
    <w:rsid w:val="003A5A2E"/>
    <w:rsid w:val="003A5F1E"/>
    <w:rsid w:val="003A6740"/>
    <w:rsid w:val="003A7245"/>
    <w:rsid w:val="003A761A"/>
    <w:rsid w:val="003A76D8"/>
    <w:rsid w:val="003A7741"/>
    <w:rsid w:val="003A7E5A"/>
    <w:rsid w:val="003A7EE2"/>
    <w:rsid w:val="003B02C0"/>
    <w:rsid w:val="003B0449"/>
    <w:rsid w:val="003B0CB5"/>
    <w:rsid w:val="003B0D30"/>
    <w:rsid w:val="003B11B5"/>
    <w:rsid w:val="003B1EE1"/>
    <w:rsid w:val="003B3DA4"/>
    <w:rsid w:val="003B4319"/>
    <w:rsid w:val="003B47E2"/>
    <w:rsid w:val="003B56D4"/>
    <w:rsid w:val="003B5F05"/>
    <w:rsid w:val="003B602B"/>
    <w:rsid w:val="003B640E"/>
    <w:rsid w:val="003B6C85"/>
    <w:rsid w:val="003B6E4A"/>
    <w:rsid w:val="003B7891"/>
    <w:rsid w:val="003B789D"/>
    <w:rsid w:val="003B7DEB"/>
    <w:rsid w:val="003C04AE"/>
    <w:rsid w:val="003C07BE"/>
    <w:rsid w:val="003C183C"/>
    <w:rsid w:val="003C1EC0"/>
    <w:rsid w:val="003C1FB6"/>
    <w:rsid w:val="003C264D"/>
    <w:rsid w:val="003C2750"/>
    <w:rsid w:val="003C359A"/>
    <w:rsid w:val="003C5766"/>
    <w:rsid w:val="003C5EDC"/>
    <w:rsid w:val="003C6D65"/>
    <w:rsid w:val="003C6E85"/>
    <w:rsid w:val="003D072C"/>
    <w:rsid w:val="003D20B0"/>
    <w:rsid w:val="003D348B"/>
    <w:rsid w:val="003D3D26"/>
    <w:rsid w:val="003D3DC3"/>
    <w:rsid w:val="003D4F8A"/>
    <w:rsid w:val="003D54C3"/>
    <w:rsid w:val="003D5827"/>
    <w:rsid w:val="003D5A11"/>
    <w:rsid w:val="003D5B10"/>
    <w:rsid w:val="003D6161"/>
    <w:rsid w:val="003D646D"/>
    <w:rsid w:val="003D6D0E"/>
    <w:rsid w:val="003D7D35"/>
    <w:rsid w:val="003D7DF7"/>
    <w:rsid w:val="003E16E7"/>
    <w:rsid w:val="003E22B9"/>
    <w:rsid w:val="003E24AC"/>
    <w:rsid w:val="003E2951"/>
    <w:rsid w:val="003E2FCF"/>
    <w:rsid w:val="003E3244"/>
    <w:rsid w:val="003E3555"/>
    <w:rsid w:val="003E364D"/>
    <w:rsid w:val="003E3BD6"/>
    <w:rsid w:val="003E5407"/>
    <w:rsid w:val="003E710A"/>
    <w:rsid w:val="003E793C"/>
    <w:rsid w:val="003E7E2E"/>
    <w:rsid w:val="003F1549"/>
    <w:rsid w:val="003F25ED"/>
    <w:rsid w:val="003F2A51"/>
    <w:rsid w:val="003F2EEE"/>
    <w:rsid w:val="003F328D"/>
    <w:rsid w:val="003F354C"/>
    <w:rsid w:val="003F4839"/>
    <w:rsid w:val="003F4F98"/>
    <w:rsid w:val="003F5418"/>
    <w:rsid w:val="003F555D"/>
    <w:rsid w:val="003F574D"/>
    <w:rsid w:val="003F5BFF"/>
    <w:rsid w:val="003F5F82"/>
    <w:rsid w:val="003F656D"/>
    <w:rsid w:val="003F6981"/>
    <w:rsid w:val="003F76F0"/>
    <w:rsid w:val="003F7B3D"/>
    <w:rsid w:val="00400512"/>
    <w:rsid w:val="00400DD1"/>
    <w:rsid w:val="004010F5"/>
    <w:rsid w:val="004011F8"/>
    <w:rsid w:val="00401930"/>
    <w:rsid w:val="00402D63"/>
    <w:rsid w:val="00403677"/>
    <w:rsid w:val="00403FBF"/>
    <w:rsid w:val="00404AFA"/>
    <w:rsid w:val="00404CC2"/>
    <w:rsid w:val="00406F0A"/>
    <w:rsid w:val="004108F2"/>
    <w:rsid w:val="004114C5"/>
    <w:rsid w:val="00412856"/>
    <w:rsid w:val="0041367F"/>
    <w:rsid w:val="004136E4"/>
    <w:rsid w:val="00413D84"/>
    <w:rsid w:val="00414462"/>
    <w:rsid w:val="0041458B"/>
    <w:rsid w:val="00414D28"/>
    <w:rsid w:val="004156F7"/>
    <w:rsid w:val="00416B4B"/>
    <w:rsid w:val="00416F2E"/>
    <w:rsid w:val="00417512"/>
    <w:rsid w:val="00417C8D"/>
    <w:rsid w:val="00417D83"/>
    <w:rsid w:val="004218D3"/>
    <w:rsid w:val="00422085"/>
    <w:rsid w:val="0042268E"/>
    <w:rsid w:val="004226AD"/>
    <w:rsid w:val="00422971"/>
    <w:rsid w:val="00422FAF"/>
    <w:rsid w:val="004231E3"/>
    <w:rsid w:val="00423B52"/>
    <w:rsid w:val="00423E0F"/>
    <w:rsid w:val="00424F4D"/>
    <w:rsid w:val="00425372"/>
    <w:rsid w:val="0042582E"/>
    <w:rsid w:val="00425FC7"/>
    <w:rsid w:val="004264C7"/>
    <w:rsid w:val="00426A1A"/>
    <w:rsid w:val="00426F23"/>
    <w:rsid w:val="00427689"/>
    <w:rsid w:val="00427DDE"/>
    <w:rsid w:val="00427FDF"/>
    <w:rsid w:val="004307E3"/>
    <w:rsid w:val="00430877"/>
    <w:rsid w:val="00430CA0"/>
    <w:rsid w:val="0043204D"/>
    <w:rsid w:val="0043239D"/>
    <w:rsid w:val="004325B2"/>
    <w:rsid w:val="004327EB"/>
    <w:rsid w:val="00432891"/>
    <w:rsid w:val="00432A9E"/>
    <w:rsid w:val="0043324A"/>
    <w:rsid w:val="0043462C"/>
    <w:rsid w:val="004347E6"/>
    <w:rsid w:val="00434989"/>
    <w:rsid w:val="00434D72"/>
    <w:rsid w:val="00435302"/>
    <w:rsid w:val="00435582"/>
    <w:rsid w:val="00435A56"/>
    <w:rsid w:val="00436F69"/>
    <w:rsid w:val="004370BB"/>
    <w:rsid w:val="00437E1F"/>
    <w:rsid w:val="0044010C"/>
    <w:rsid w:val="0044029F"/>
    <w:rsid w:val="00440629"/>
    <w:rsid w:val="0044075D"/>
    <w:rsid w:val="00440898"/>
    <w:rsid w:val="00440B93"/>
    <w:rsid w:val="00441500"/>
    <w:rsid w:val="00441C81"/>
    <w:rsid w:val="004421A3"/>
    <w:rsid w:val="00442D04"/>
    <w:rsid w:val="00442F1E"/>
    <w:rsid w:val="004431C0"/>
    <w:rsid w:val="004439DD"/>
    <w:rsid w:val="00443AA6"/>
    <w:rsid w:val="00443E13"/>
    <w:rsid w:val="00443F9D"/>
    <w:rsid w:val="0044482A"/>
    <w:rsid w:val="004467E8"/>
    <w:rsid w:val="00446B44"/>
    <w:rsid w:val="004471CF"/>
    <w:rsid w:val="00450BE5"/>
    <w:rsid w:val="004511ED"/>
    <w:rsid w:val="00451413"/>
    <w:rsid w:val="004523B0"/>
    <w:rsid w:val="00452D9F"/>
    <w:rsid w:val="004539A0"/>
    <w:rsid w:val="00453EA2"/>
    <w:rsid w:val="00455714"/>
    <w:rsid w:val="0045620E"/>
    <w:rsid w:val="004563C3"/>
    <w:rsid w:val="00456BA2"/>
    <w:rsid w:val="00456C7F"/>
    <w:rsid w:val="00456EB0"/>
    <w:rsid w:val="0045701E"/>
    <w:rsid w:val="00457A60"/>
    <w:rsid w:val="004605AD"/>
    <w:rsid w:val="00460731"/>
    <w:rsid w:val="00460A3F"/>
    <w:rsid w:val="00460E38"/>
    <w:rsid w:val="00460F51"/>
    <w:rsid w:val="00461284"/>
    <w:rsid w:val="00461B78"/>
    <w:rsid w:val="00461D21"/>
    <w:rsid w:val="00462039"/>
    <w:rsid w:val="00462849"/>
    <w:rsid w:val="0046295B"/>
    <w:rsid w:val="004639D8"/>
    <w:rsid w:val="004643E4"/>
    <w:rsid w:val="0046476D"/>
    <w:rsid w:val="00465A87"/>
    <w:rsid w:val="00465C32"/>
    <w:rsid w:val="0046623C"/>
    <w:rsid w:val="00466440"/>
    <w:rsid w:val="00466DE9"/>
    <w:rsid w:val="004678A9"/>
    <w:rsid w:val="00467F51"/>
    <w:rsid w:val="00467FE3"/>
    <w:rsid w:val="0047016C"/>
    <w:rsid w:val="00471CCE"/>
    <w:rsid w:val="00472295"/>
    <w:rsid w:val="0047235C"/>
    <w:rsid w:val="0047331C"/>
    <w:rsid w:val="00473F4C"/>
    <w:rsid w:val="0047420B"/>
    <w:rsid w:val="00474DD0"/>
    <w:rsid w:val="00474DE6"/>
    <w:rsid w:val="004757D7"/>
    <w:rsid w:val="00475A96"/>
    <w:rsid w:val="00475D52"/>
    <w:rsid w:val="00475D6A"/>
    <w:rsid w:val="00475DF9"/>
    <w:rsid w:val="0047608D"/>
    <w:rsid w:val="0047622C"/>
    <w:rsid w:val="00476469"/>
    <w:rsid w:val="00476A33"/>
    <w:rsid w:val="00477483"/>
    <w:rsid w:val="00477518"/>
    <w:rsid w:val="00477CC9"/>
    <w:rsid w:val="0048038C"/>
    <w:rsid w:val="004803B6"/>
    <w:rsid w:val="00480440"/>
    <w:rsid w:val="004804EA"/>
    <w:rsid w:val="00480A40"/>
    <w:rsid w:val="00480FB6"/>
    <w:rsid w:val="00481DE3"/>
    <w:rsid w:val="0048225A"/>
    <w:rsid w:val="00482B31"/>
    <w:rsid w:val="00482BE3"/>
    <w:rsid w:val="00483FFC"/>
    <w:rsid w:val="00485617"/>
    <w:rsid w:val="0048589B"/>
    <w:rsid w:val="004859EB"/>
    <w:rsid w:val="00486352"/>
    <w:rsid w:val="00486423"/>
    <w:rsid w:val="004864A6"/>
    <w:rsid w:val="004865EC"/>
    <w:rsid w:val="004869DB"/>
    <w:rsid w:val="00490090"/>
    <w:rsid w:val="0049013B"/>
    <w:rsid w:val="004901A2"/>
    <w:rsid w:val="0049096A"/>
    <w:rsid w:val="00490ECD"/>
    <w:rsid w:val="0049257F"/>
    <w:rsid w:val="00493156"/>
    <w:rsid w:val="00493EAA"/>
    <w:rsid w:val="004941E1"/>
    <w:rsid w:val="00494477"/>
    <w:rsid w:val="00494714"/>
    <w:rsid w:val="00494BDE"/>
    <w:rsid w:val="004950A2"/>
    <w:rsid w:val="00495C81"/>
    <w:rsid w:val="00495CC3"/>
    <w:rsid w:val="00496014"/>
    <w:rsid w:val="004960FB"/>
    <w:rsid w:val="00496C9C"/>
    <w:rsid w:val="0049752C"/>
    <w:rsid w:val="0049783C"/>
    <w:rsid w:val="004A123B"/>
    <w:rsid w:val="004A1BA8"/>
    <w:rsid w:val="004A2912"/>
    <w:rsid w:val="004A2E3C"/>
    <w:rsid w:val="004A3A45"/>
    <w:rsid w:val="004A3ABD"/>
    <w:rsid w:val="004A3CB1"/>
    <w:rsid w:val="004A408C"/>
    <w:rsid w:val="004A55CB"/>
    <w:rsid w:val="004A5794"/>
    <w:rsid w:val="004A617F"/>
    <w:rsid w:val="004A61EE"/>
    <w:rsid w:val="004A64B5"/>
    <w:rsid w:val="004A655B"/>
    <w:rsid w:val="004A65BB"/>
    <w:rsid w:val="004A7075"/>
    <w:rsid w:val="004A7175"/>
    <w:rsid w:val="004A7908"/>
    <w:rsid w:val="004B08A1"/>
    <w:rsid w:val="004B09D4"/>
    <w:rsid w:val="004B188B"/>
    <w:rsid w:val="004B18C1"/>
    <w:rsid w:val="004B1B7F"/>
    <w:rsid w:val="004B26EC"/>
    <w:rsid w:val="004B2755"/>
    <w:rsid w:val="004B3AB2"/>
    <w:rsid w:val="004B449E"/>
    <w:rsid w:val="004B46CA"/>
    <w:rsid w:val="004B4828"/>
    <w:rsid w:val="004B5B56"/>
    <w:rsid w:val="004B5C09"/>
    <w:rsid w:val="004B65E5"/>
    <w:rsid w:val="004B6A9C"/>
    <w:rsid w:val="004B7EC2"/>
    <w:rsid w:val="004C0B4D"/>
    <w:rsid w:val="004C14CD"/>
    <w:rsid w:val="004C2702"/>
    <w:rsid w:val="004C2FE1"/>
    <w:rsid w:val="004C33AC"/>
    <w:rsid w:val="004C48BA"/>
    <w:rsid w:val="004C4C7F"/>
    <w:rsid w:val="004C5772"/>
    <w:rsid w:val="004C5A85"/>
    <w:rsid w:val="004C5DF3"/>
    <w:rsid w:val="004C6719"/>
    <w:rsid w:val="004C67B3"/>
    <w:rsid w:val="004C6A2F"/>
    <w:rsid w:val="004C6AB0"/>
    <w:rsid w:val="004C6F34"/>
    <w:rsid w:val="004C72E6"/>
    <w:rsid w:val="004C7390"/>
    <w:rsid w:val="004C77E9"/>
    <w:rsid w:val="004D03B3"/>
    <w:rsid w:val="004D0A63"/>
    <w:rsid w:val="004D0AB9"/>
    <w:rsid w:val="004D13E5"/>
    <w:rsid w:val="004D1C4B"/>
    <w:rsid w:val="004D1DCE"/>
    <w:rsid w:val="004D1E17"/>
    <w:rsid w:val="004D1E42"/>
    <w:rsid w:val="004D302B"/>
    <w:rsid w:val="004D3CFB"/>
    <w:rsid w:val="004D40A8"/>
    <w:rsid w:val="004D410C"/>
    <w:rsid w:val="004D49AB"/>
    <w:rsid w:val="004D4C25"/>
    <w:rsid w:val="004D5634"/>
    <w:rsid w:val="004D60AD"/>
    <w:rsid w:val="004D6268"/>
    <w:rsid w:val="004D6318"/>
    <w:rsid w:val="004D749C"/>
    <w:rsid w:val="004D7F93"/>
    <w:rsid w:val="004E0F23"/>
    <w:rsid w:val="004E164B"/>
    <w:rsid w:val="004E1839"/>
    <w:rsid w:val="004E21A9"/>
    <w:rsid w:val="004E228D"/>
    <w:rsid w:val="004E2F26"/>
    <w:rsid w:val="004E2FD0"/>
    <w:rsid w:val="004E3370"/>
    <w:rsid w:val="004E33CB"/>
    <w:rsid w:val="004E3794"/>
    <w:rsid w:val="004E3BAD"/>
    <w:rsid w:val="004E3CC9"/>
    <w:rsid w:val="004E3E15"/>
    <w:rsid w:val="004E437C"/>
    <w:rsid w:val="004E4D24"/>
    <w:rsid w:val="004E5549"/>
    <w:rsid w:val="004E64D4"/>
    <w:rsid w:val="004E6A2E"/>
    <w:rsid w:val="004E6B6C"/>
    <w:rsid w:val="004E73A9"/>
    <w:rsid w:val="004F01F3"/>
    <w:rsid w:val="004F12E3"/>
    <w:rsid w:val="004F2062"/>
    <w:rsid w:val="004F2ED7"/>
    <w:rsid w:val="004F309E"/>
    <w:rsid w:val="004F3502"/>
    <w:rsid w:val="004F3930"/>
    <w:rsid w:val="004F39F4"/>
    <w:rsid w:val="004F4B74"/>
    <w:rsid w:val="004F4BA3"/>
    <w:rsid w:val="004F4BFA"/>
    <w:rsid w:val="004F5602"/>
    <w:rsid w:val="004F5A61"/>
    <w:rsid w:val="004F5B0E"/>
    <w:rsid w:val="004F658F"/>
    <w:rsid w:val="004F680C"/>
    <w:rsid w:val="0050032B"/>
    <w:rsid w:val="00501A44"/>
    <w:rsid w:val="00502BAF"/>
    <w:rsid w:val="00503013"/>
    <w:rsid w:val="00503DF3"/>
    <w:rsid w:val="00504A04"/>
    <w:rsid w:val="005054D3"/>
    <w:rsid w:val="00505A63"/>
    <w:rsid w:val="00505BE8"/>
    <w:rsid w:val="00505F16"/>
    <w:rsid w:val="0050689A"/>
    <w:rsid w:val="00507897"/>
    <w:rsid w:val="00510103"/>
    <w:rsid w:val="00510D7F"/>
    <w:rsid w:val="00511317"/>
    <w:rsid w:val="005115D6"/>
    <w:rsid w:val="00511E97"/>
    <w:rsid w:val="00511F6C"/>
    <w:rsid w:val="005128D0"/>
    <w:rsid w:val="00512DF3"/>
    <w:rsid w:val="005130A5"/>
    <w:rsid w:val="00513212"/>
    <w:rsid w:val="0051551B"/>
    <w:rsid w:val="0051585D"/>
    <w:rsid w:val="005162E4"/>
    <w:rsid w:val="00516972"/>
    <w:rsid w:val="00516C52"/>
    <w:rsid w:val="00516D32"/>
    <w:rsid w:val="00517A48"/>
    <w:rsid w:val="005202B5"/>
    <w:rsid w:val="00520659"/>
    <w:rsid w:val="005207B2"/>
    <w:rsid w:val="00520E5B"/>
    <w:rsid w:val="005239A8"/>
    <w:rsid w:val="005244E9"/>
    <w:rsid w:val="00525343"/>
    <w:rsid w:val="00526741"/>
    <w:rsid w:val="005270C6"/>
    <w:rsid w:val="00527547"/>
    <w:rsid w:val="00527A65"/>
    <w:rsid w:val="00527FF2"/>
    <w:rsid w:val="005305A0"/>
    <w:rsid w:val="005307BD"/>
    <w:rsid w:val="005308D5"/>
    <w:rsid w:val="00530999"/>
    <w:rsid w:val="005309BF"/>
    <w:rsid w:val="00531B4B"/>
    <w:rsid w:val="005324F6"/>
    <w:rsid w:val="00532A35"/>
    <w:rsid w:val="00533AB7"/>
    <w:rsid w:val="00534741"/>
    <w:rsid w:val="005348F9"/>
    <w:rsid w:val="0053538B"/>
    <w:rsid w:val="00535C3F"/>
    <w:rsid w:val="005361B5"/>
    <w:rsid w:val="00536DD4"/>
    <w:rsid w:val="0053755E"/>
    <w:rsid w:val="005376D4"/>
    <w:rsid w:val="00537FFA"/>
    <w:rsid w:val="00540122"/>
    <w:rsid w:val="00540709"/>
    <w:rsid w:val="00540F3D"/>
    <w:rsid w:val="00541897"/>
    <w:rsid w:val="00541C56"/>
    <w:rsid w:val="0054238B"/>
    <w:rsid w:val="005427EE"/>
    <w:rsid w:val="0054339E"/>
    <w:rsid w:val="00543EEE"/>
    <w:rsid w:val="00544106"/>
    <w:rsid w:val="005441EF"/>
    <w:rsid w:val="00544EF2"/>
    <w:rsid w:val="005455D3"/>
    <w:rsid w:val="00545685"/>
    <w:rsid w:val="00545B10"/>
    <w:rsid w:val="005462CD"/>
    <w:rsid w:val="00546C1A"/>
    <w:rsid w:val="00546C4C"/>
    <w:rsid w:val="00547468"/>
    <w:rsid w:val="005475A9"/>
    <w:rsid w:val="0055086B"/>
    <w:rsid w:val="00551A0C"/>
    <w:rsid w:val="00551D88"/>
    <w:rsid w:val="0055207F"/>
    <w:rsid w:val="005531E6"/>
    <w:rsid w:val="005533F1"/>
    <w:rsid w:val="005537C1"/>
    <w:rsid w:val="0055389A"/>
    <w:rsid w:val="00553D7F"/>
    <w:rsid w:val="00554832"/>
    <w:rsid w:val="00554C0F"/>
    <w:rsid w:val="00554D8A"/>
    <w:rsid w:val="005562E9"/>
    <w:rsid w:val="0055643F"/>
    <w:rsid w:val="005572AE"/>
    <w:rsid w:val="005572BD"/>
    <w:rsid w:val="00557332"/>
    <w:rsid w:val="00557E84"/>
    <w:rsid w:val="00560850"/>
    <w:rsid w:val="005619CF"/>
    <w:rsid w:val="00561A9F"/>
    <w:rsid w:val="00562598"/>
    <w:rsid w:val="00562A49"/>
    <w:rsid w:val="00563042"/>
    <w:rsid w:val="00563400"/>
    <w:rsid w:val="00564797"/>
    <w:rsid w:val="00565253"/>
    <w:rsid w:val="005654C3"/>
    <w:rsid w:val="00565C2D"/>
    <w:rsid w:val="005664B1"/>
    <w:rsid w:val="00566991"/>
    <w:rsid w:val="00567CAB"/>
    <w:rsid w:val="00567E9C"/>
    <w:rsid w:val="00567F21"/>
    <w:rsid w:val="0057011F"/>
    <w:rsid w:val="005704F3"/>
    <w:rsid w:val="00570A1A"/>
    <w:rsid w:val="005713B3"/>
    <w:rsid w:val="005718B6"/>
    <w:rsid w:val="00571C7B"/>
    <w:rsid w:val="005726BF"/>
    <w:rsid w:val="00574742"/>
    <w:rsid w:val="00575501"/>
    <w:rsid w:val="00575E51"/>
    <w:rsid w:val="00576B0A"/>
    <w:rsid w:val="005800D1"/>
    <w:rsid w:val="00581702"/>
    <w:rsid w:val="005822C5"/>
    <w:rsid w:val="00582BF4"/>
    <w:rsid w:val="00582C4D"/>
    <w:rsid w:val="00582F96"/>
    <w:rsid w:val="0058309F"/>
    <w:rsid w:val="00583615"/>
    <w:rsid w:val="00583B43"/>
    <w:rsid w:val="0058499D"/>
    <w:rsid w:val="00585383"/>
    <w:rsid w:val="00585599"/>
    <w:rsid w:val="00585D5D"/>
    <w:rsid w:val="00586869"/>
    <w:rsid w:val="00586C61"/>
    <w:rsid w:val="00587700"/>
    <w:rsid w:val="00587C1B"/>
    <w:rsid w:val="00587CD2"/>
    <w:rsid w:val="00590124"/>
    <w:rsid w:val="005927FB"/>
    <w:rsid w:val="00592966"/>
    <w:rsid w:val="00592D51"/>
    <w:rsid w:val="00593C2B"/>
    <w:rsid w:val="00593D55"/>
    <w:rsid w:val="00593DB5"/>
    <w:rsid w:val="005945CA"/>
    <w:rsid w:val="00595257"/>
    <w:rsid w:val="0059611F"/>
    <w:rsid w:val="00596475"/>
    <w:rsid w:val="00596871"/>
    <w:rsid w:val="00596C87"/>
    <w:rsid w:val="00596CB2"/>
    <w:rsid w:val="00596E47"/>
    <w:rsid w:val="0059795D"/>
    <w:rsid w:val="00597DAF"/>
    <w:rsid w:val="005A140D"/>
    <w:rsid w:val="005A2B70"/>
    <w:rsid w:val="005A3043"/>
    <w:rsid w:val="005A3085"/>
    <w:rsid w:val="005A366F"/>
    <w:rsid w:val="005A4BEA"/>
    <w:rsid w:val="005A5268"/>
    <w:rsid w:val="005A533E"/>
    <w:rsid w:val="005A60C9"/>
    <w:rsid w:val="005A6188"/>
    <w:rsid w:val="005A7655"/>
    <w:rsid w:val="005A79C4"/>
    <w:rsid w:val="005B10CB"/>
    <w:rsid w:val="005B15CB"/>
    <w:rsid w:val="005B19F2"/>
    <w:rsid w:val="005B1CD9"/>
    <w:rsid w:val="005B26E0"/>
    <w:rsid w:val="005B28C0"/>
    <w:rsid w:val="005B2A29"/>
    <w:rsid w:val="005B3543"/>
    <w:rsid w:val="005B366D"/>
    <w:rsid w:val="005B4D72"/>
    <w:rsid w:val="005B4FF7"/>
    <w:rsid w:val="005B5971"/>
    <w:rsid w:val="005B5AB1"/>
    <w:rsid w:val="005B5FF3"/>
    <w:rsid w:val="005B68F9"/>
    <w:rsid w:val="005B70B1"/>
    <w:rsid w:val="005B72BF"/>
    <w:rsid w:val="005B772C"/>
    <w:rsid w:val="005C0789"/>
    <w:rsid w:val="005C07A7"/>
    <w:rsid w:val="005C09F5"/>
    <w:rsid w:val="005C1425"/>
    <w:rsid w:val="005C2992"/>
    <w:rsid w:val="005C2A3D"/>
    <w:rsid w:val="005C2F12"/>
    <w:rsid w:val="005C3635"/>
    <w:rsid w:val="005C3FC4"/>
    <w:rsid w:val="005C41B6"/>
    <w:rsid w:val="005C4403"/>
    <w:rsid w:val="005C45B6"/>
    <w:rsid w:val="005C45C2"/>
    <w:rsid w:val="005C50DA"/>
    <w:rsid w:val="005C5A45"/>
    <w:rsid w:val="005C5A9B"/>
    <w:rsid w:val="005C60B6"/>
    <w:rsid w:val="005C6A1F"/>
    <w:rsid w:val="005C6C81"/>
    <w:rsid w:val="005C6DB0"/>
    <w:rsid w:val="005C7F29"/>
    <w:rsid w:val="005C7F2E"/>
    <w:rsid w:val="005C7FE4"/>
    <w:rsid w:val="005D166E"/>
    <w:rsid w:val="005D1BE4"/>
    <w:rsid w:val="005D1F6B"/>
    <w:rsid w:val="005D3CB1"/>
    <w:rsid w:val="005D45BA"/>
    <w:rsid w:val="005D4FD8"/>
    <w:rsid w:val="005D52A5"/>
    <w:rsid w:val="005D5B88"/>
    <w:rsid w:val="005D69A4"/>
    <w:rsid w:val="005D6D20"/>
    <w:rsid w:val="005D735A"/>
    <w:rsid w:val="005E0351"/>
    <w:rsid w:val="005E09B4"/>
    <w:rsid w:val="005E1600"/>
    <w:rsid w:val="005E2F31"/>
    <w:rsid w:val="005E3190"/>
    <w:rsid w:val="005E33CC"/>
    <w:rsid w:val="005E355A"/>
    <w:rsid w:val="005E36DF"/>
    <w:rsid w:val="005E3B60"/>
    <w:rsid w:val="005E41E8"/>
    <w:rsid w:val="005E4417"/>
    <w:rsid w:val="005E4DAA"/>
    <w:rsid w:val="005E5184"/>
    <w:rsid w:val="005E5D03"/>
    <w:rsid w:val="005E5D6C"/>
    <w:rsid w:val="005E6530"/>
    <w:rsid w:val="005E6DC5"/>
    <w:rsid w:val="005E70C3"/>
    <w:rsid w:val="005E71F9"/>
    <w:rsid w:val="005E7523"/>
    <w:rsid w:val="005E7E20"/>
    <w:rsid w:val="005E7F27"/>
    <w:rsid w:val="005F08C5"/>
    <w:rsid w:val="005F0C7F"/>
    <w:rsid w:val="005F1610"/>
    <w:rsid w:val="005F17BD"/>
    <w:rsid w:val="005F1838"/>
    <w:rsid w:val="005F3393"/>
    <w:rsid w:val="005F396D"/>
    <w:rsid w:val="005F3F74"/>
    <w:rsid w:val="005F4240"/>
    <w:rsid w:val="005F4D3E"/>
    <w:rsid w:val="005F5042"/>
    <w:rsid w:val="005F57EA"/>
    <w:rsid w:val="005F5A03"/>
    <w:rsid w:val="005F5A6D"/>
    <w:rsid w:val="005F5C4D"/>
    <w:rsid w:val="005F5FF1"/>
    <w:rsid w:val="005F6CFA"/>
    <w:rsid w:val="005F6F93"/>
    <w:rsid w:val="005F71D4"/>
    <w:rsid w:val="005F7C1B"/>
    <w:rsid w:val="006006A4"/>
    <w:rsid w:val="006007D0"/>
    <w:rsid w:val="00600B83"/>
    <w:rsid w:val="00600B8C"/>
    <w:rsid w:val="00600C75"/>
    <w:rsid w:val="0060123E"/>
    <w:rsid w:val="006021C6"/>
    <w:rsid w:val="00602BCB"/>
    <w:rsid w:val="00603608"/>
    <w:rsid w:val="00603B8F"/>
    <w:rsid w:val="00603FB5"/>
    <w:rsid w:val="00605368"/>
    <w:rsid w:val="00605D53"/>
    <w:rsid w:val="00605D7D"/>
    <w:rsid w:val="00605DBE"/>
    <w:rsid w:val="00605FAA"/>
    <w:rsid w:val="006062FC"/>
    <w:rsid w:val="00606D78"/>
    <w:rsid w:val="0060706C"/>
    <w:rsid w:val="00607418"/>
    <w:rsid w:val="00607720"/>
    <w:rsid w:val="006105BA"/>
    <w:rsid w:val="00610B32"/>
    <w:rsid w:val="0061281A"/>
    <w:rsid w:val="00612CA8"/>
    <w:rsid w:val="00612DFD"/>
    <w:rsid w:val="00613973"/>
    <w:rsid w:val="006139AB"/>
    <w:rsid w:val="00613EBF"/>
    <w:rsid w:val="00613EE2"/>
    <w:rsid w:val="00614101"/>
    <w:rsid w:val="0061473B"/>
    <w:rsid w:val="00614EC9"/>
    <w:rsid w:val="006154D7"/>
    <w:rsid w:val="00615B2E"/>
    <w:rsid w:val="00615C87"/>
    <w:rsid w:val="00617022"/>
    <w:rsid w:val="006171A4"/>
    <w:rsid w:val="00620701"/>
    <w:rsid w:val="006209B7"/>
    <w:rsid w:val="00620CEB"/>
    <w:rsid w:val="00620E16"/>
    <w:rsid w:val="00620F8A"/>
    <w:rsid w:val="00621D83"/>
    <w:rsid w:val="00622ACE"/>
    <w:rsid w:val="0062303D"/>
    <w:rsid w:val="00623B14"/>
    <w:rsid w:val="00623B53"/>
    <w:rsid w:val="00624EEC"/>
    <w:rsid w:val="00624F1F"/>
    <w:rsid w:val="006251CE"/>
    <w:rsid w:val="006251EA"/>
    <w:rsid w:val="0062541F"/>
    <w:rsid w:val="00625451"/>
    <w:rsid w:val="00625CC4"/>
    <w:rsid w:val="00625CC9"/>
    <w:rsid w:val="00626007"/>
    <w:rsid w:val="0062624F"/>
    <w:rsid w:val="0063074C"/>
    <w:rsid w:val="0063179E"/>
    <w:rsid w:val="006336DC"/>
    <w:rsid w:val="00634B6A"/>
    <w:rsid w:val="00634CB1"/>
    <w:rsid w:val="00635FE3"/>
    <w:rsid w:val="0063677C"/>
    <w:rsid w:val="00636B84"/>
    <w:rsid w:val="00640B6B"/>
    <w:rsid w:val="00640D6D"/>
    <w:rsid w:val="00640F88"/>
    <w:rsid w:val="00642316"/>
    <w:rsid w:val="00642583"/>
    <w:rsid w:val="006427DA"/>
    <w:rsid w:val="00643CFD"/>
    <w:rsid w:val="00643D35"/>
    <w:rsid w:val="00643FFC"/>
    <w:rsid w:val="00644340"/>
    <w:rsid w:val="00644502"/>
    <w:rsid w:val="006454E0"/>
    <w:rsid w:val="0064570F"/>
    <w:rsid w:val="006463AB"/>
    <w:rsid w:val="006477F9"/>
    <w:rsid w:val="00647C9B"/>
    <w:rsid w:val="00651631"/>
    <w:rsid w:val="00651BB4"/>
    <w:rsid w:val="00652110"/>
    <w:rsid w:val="00652831"/>
    <w:rsid w:val="00653E0E"/>
    <w:rsid w:val="00654AC9"/>
    <w:rsid w:val="00654BC2"/>
    <w:rsid w:val="00655F26"/>
    <w:rsid w:val="006565CE"/>
    <w:rsid w:val="00656912"/>
    <w:rsid w:val="00657051"/>
    <w:rsid w:val="006575C5"/>
    <w:rsid w:val="00657865"/>
    <w:rsid w:val="006578F1"/>
    <w:rsid w:val="006578F8"/>
    <w:rsid w:val="00657B4B"/>
    <w:rsid w:val="00657D85"/>
    <w:rsid w:val="00660995"/>
    <w:rsid w:val="00660A06"/>
    <w:rsid w:val="0066290A"/>
    <w:rsid w:val="00663051"/>
    <w:rsid w:val="00663277"/>
    <w:rsid w:val="006632C0"/>
    <w:rsid w:val="006632CF"/>
    <w:rsid w:val="0066400F"/>
    <w:rsid w:val="0066438C"/>
    <w:rsid w:val="00664B17"/>
    <w:rsid w:val="0066546B"/>
    <w:rsid w:val="00665728"/>
    <w:rsid w:val="00665A52"/>
    <w:rsid w:val="00665B87"/>
    <w:rsid w:val="00665BC9"/>
    <w:rsid w:val="00666031"/>
    <w:rsid w:val="00666AF9"/>
    <w:rsid w:val="00666F41"/>
    <w:rsid w:val="006673F3"/>
    <w:rsid w:val="00670039"/>
    <w:rsid w:val="0067031B"/>
    <w:rsid w:val="00671011"/>
    <w:rsid w:val="00672A04"/>
    <w:rsid w:val="00672A6C"/>
    <w:rsid w:val="00672BEF"/>
    <w:rsid w:val="00673375"/>
    <w:rsid w:val="00673FD0"/>
    <w:rsid w:val="00674C22"/>
    <w:rsid w:val="006756DE"/>
    <w:rsid w:val="00675E61"/>
    <w:rsid w:val="006766BA"/>
    <w:rsid w:val="006775B5"/>
    <w:rsid w:val="006778BB"/>
    <w:rsid w:val="00677935"/>
    <w:rsid w:val="00677A7D"/>
    <w:rsid w:val="00677B52"/>
    <w:rsid w:val="0068057A"/>
    <w:rsid w:val="00680833"/>
    <w:rsid w:val="0068094E"/>
    <w:rsid w:val="00681549"/>
    <w:rsid w:val="0068186D"/>
    <w:rsid w:val="00683088"/>
    <w:rsid w:val="00683250"/>
    <w:rsid w:val="006842ED"/>
    <w:rsid w:val="00684BAF"/>
    <w:rsid w:val="00684BBE"/>
    <w:rsid w:val="00684C0D"/>
    <w:rsid w:val="00685271"/>
    <w:rsid w:val="00685541"/>
    <w:rsid w:val="0068658E"/>
    <w:rsid w:val="00687265"/>
    <w:rsid w:val="00687446"/>
    <w:rsid w:val="00687B26"/>
    <w:rsid w:val="00687DE1"/>
    <w:rsid w:val="00687ED3"/>
    <w:rsid w:val="006902ED"/>
    <w:rsid w:val="006904C0"/>
    <w:rsid w:val="006904F6"/>
    <w:rsid w:val="00690556"/>
    <w:rsid w:val="0069056D"/>
    <w:rsid w:val="006917FB"/>
    <w:rsid w:val="00691A81"/>
    <w:rsid w:val="00691B98"/>
    <w:rsid w:val="006925C0"/>
    <w:rsid w:val="0069335E"/>
    <w:rsid w:val="00693D4C"/>
    <w:rsid w:val="006945B5"/>
    <w:rsid w:val="00694D78"/>
    <w:rsid w:val="00694F41"/>
    <w:rsid w:val="00695044"/>
    <w:rsid w:val="0069559E"/>
    <w:rsid w:val="00695FE6"/>
    <w:rsid w:val="00696B86"/>
    <w:rsid w:val="006973B5"/>
    <w:rsid w:val="00697961"/>
    <w:rsid w:val="006A0974"/>
    <w:rsid w:val="006A0AA4"/>
    <w:rsid w:val="006A15ED"/>
    <w:rsid w:val="006A1956"/>
    <w:rsid w:val="006A197C"/>
    <w:rsid w:val="006A1C99"/>
    <w:rsid w:val="006A3445"/>
    <w:rsid w:val="006A38E5"/>
    <w:rsid w:val="006A4273"/>
    <w:rsid w:val="006A7597"/>
    <w:rsid w:val="006A7602"/>
    <w:rsid w:val="006A784C"/>
    <w:rsid w:val="006A78FA"/>
    <w:rsid w:val="006A7C49"/>
    <w:rsid w:val="006B018A"/>
    <w:rsid w:val="006B019B"/>
    <w:rsid w:val="006B0B2D"/>
    <w:rsid w:val="006B2727"/>
    <w:rsid w:val="006B2757"/>
    <w:rsid w:val="006B2CDF"/>
    <w:rsid w:val="006B2DB8"/>
    <w:rsid w:val="006B345F"/>
    <w:rsid w:val="006B3B4F"/>
    <w:rsid w:val="006B42D5"/>
    <w:rsid w:val="006B5634"/>
    <w:rsid w:val="006B5EDD"/>
    <w:rsid w:val="006B5F34"/>
    <w:rsid w:val="006B678E"/>
    <w:rsid w:val="006B76A4"/>
    <w:rsid w:val="006B7CA3"/>
    <w:rsid w:val="006C0037"/>
    <w:rsid w:val="006C0946"/>
    <w:rsid w:val="006C19F8"/>
    <w:rsid w:val="006C2512"/>
    <w:rsid w:val="006C390A"/>
    <w:rsid w:val="006C3E41"/>
    <w:rsid w:val="006C403D"/>
    <w:rsid w:val="006C41BD"/>
    <w:rsid w:val="006C4B2D"/>
    <w:rsid w:val="006C4D11"/>
    <w:rsid w:val="006C4E99"/>
    <w:rsid w:val="006C58D5"/>
    <w:rsid w:val="006C5B6D"/>
    <w:rsid w:val="006C6369"/>
    <w:rsid w:val="006C66E2"/>
    <w:rsid w:val="006C745B"/>
    <w:rsid w:val="006D2526"/>
    <w:rsid w:val="006D269B"/>
    <w:rsid w:val="006D274A"/>
    <w:rsid w:val="006D28D5"/>
    <w:rsid w:val="006D2CB6"/>
    <w:rsid w:val="006D335C"/>
    <w:rsid w:val="006D38A0"/>
    <w:rsid w:val="006D455E"/>
    <w:rsid w:val="006D5858"/>
    <w:rsid w:val="006D5874"/>
    <w:rsid w:val="006D59E1"/>
    <w:rsid w:val="006D5C06"/>
    <w:rsid w:val="006D6472"/>
    <w:rsid w:val="006D68C5"/>
    <w:rsid w:val="006D711C"/>
    <w:rsid w:val="006D7651"/>
    <w:rsid w:val="006E00FD"/>
    <w:rsid w:val="006E0661"/>
    <w:rsid w:val="006E1504"/>
    <w:rsid w:val="006E1D7F"/>
    <w:rsid w:val="006E1E65"/>
    <w:rsid w:val="006E26BE"/>
    <w:rsid w:val="006E29CB"/>
    <w:rsid w:val="006E2F8E"/>
    <w:rsid w:val="006E3569"/>
    <w:rsid w:val="006E47EF"/>
    <w:rsid w:val="006E4B82"/>
    <w:rsid w:val="006E6494"/>
    <w:rsid w:val="006E6CBC"/>
    <w:rsid w:val="006E6E50"/>
    <w:rsid w:val="006E6FE4"/>
    <w:rsid w:val="006E76A5"/>
    <w:rsid w:val="006F0696"/>
    <w:rsid w:val="006F0B16"/>
    <w:rsid w:val="006F10B7"/>
    <w:rsid w:val="006F1135"/>
    <w:rsid w:val="006F181F"/>
    <w:rsid w:val="006F1C39"/>
    <w:rsid w:val="006F3082"/>
    <w:rsid w:val="006F30B3"/>
    <w:rsid w:val="006F32E4"/>
    <w:rsid w:val="006F37E3"/>
    <w:rsid w:val="006F5027"/>
    <w:rsid w:val="006F50A4"/>
    <w:rsid w:val="006F52D2"/>
    <w:rsid w:val="006F546D"/>
    <w:rsid w:val="006F6498"/>
    <w:rsid w:val="006F718B"/>
    <w:rsid w:val="007008CA"/>
    <w:rsid w:val="00701339"/>
    <w:rsid w:val="007016AC"/>
    <w:rsid w:val="00701753"/>
    <w:rsid w:val="007018F2"/>
    <w:rsid w:val="007021F1"/>
    <w:rsid w:val="00702728"/>
    <w:rsid w:val="00702F46"/>
    <w:rsid w:val="00703540"/>
    <w:rsid w:val="007037ED"/>
    <w:rsid w:val="0070484B"/>
    <w:rsid w:val="00705DC4"/>
    <w:rsid w:val="0070687B"/>
    <w:rsid w:val="00706ADC"/>
    <w:rsid w:val="00706C2B"/>
    <w:rsid w:val="00706DF3"/>
    <w:rsid w:val="00707987"/>
    <w:rsid w:val="00710E3C"/>
    <w:rsid w:val="00710E72"/>
    <w:rsid w:val="00710F0C"/>
    <w:rsid w:val="00711158"/>
    <w:rsid w:val="00711AFC"/>
    <w:rsid w:val="00712120"/>
    <w:rsid w:val="0071235F"/>
    <w:rsid w:val="00712EAD"/>
    <w:rsid w:val="00712EDB"/>
    <w:rsid w:val="0071326E"/>
    <w:rsid w:val="007136E0"/>
    <w:rsid w:val="00713C0C"/>
    <w:rsid w:val="007155B6"/>
    <w:rsid w:val="007157C7"/>
    <w:rsid w:val="00716035"/>
    <w:rsid w:val="00716186"/>
    <w:rsid w:val="00716C54"/>
    <w:rsid w:val="007178A5"/>
    <w:rsid w:val="00720348"/>
    <w:rsid w:val="0072046B"/>
    <w:rsid w:val="00722711"/>
    <w:rsid w:val="007235B1"/>
    <w:rsid w:val="007244FB"/>
    <w:rsid w:val="00724A8A"/>
    <w:rsid w:val="00724DA5"/>
    <w:rsid w:val="007250DE"/>
    <w:rsid w:val="00725AA7"/>
    <w:rsid w:val="00725B83"/>
    <w:rsid w:val="00725F2F"/>
    <w:rsid w:val="007260AB"/>
    <w:rsid w:val="00726DA6"/>
    <w:rsid w:val="00726E4F"/>
    <w:rsid w:val="00727165"/>
    <w:rsid w:val="0072733D"/>
    <w:rsid w:val="0072765D"/>
    <w:rsid w:val="007277E5"/>
    <w:rsid w:val="00727A9C"/>
    <w:rsid w:val="007312D1"/>
    <w:rsid w:val="007314AD"/>
    <w:rsid w:val="00731A66"/>
    <w:rsid w:val="00731B58"/>
    <w:rsid w:val="00731C36"/>
    <w:rsid w:val="00731C40"/>
    <w:rsid w:val="00732785"/>
    <w:rsid w:val="00732C6C"/>
    <w:rsid w:val="00732E85"/>
    <w:rsid w:val="0073308A"/>
    <w:rsid w:val="00733383"/>
    <w:rsid w:val="007334A0"/>
    <w:rsid w:val="007337F1"/>
    <w:rsid w:val="00733908"/>
    <w:rsid w:val="007341C1"/>
    <w:rsid w:val="007341F7"/>
    <w:rsid w:val="00734336"/>
    <w:rsid w:val="0073508A"/>
    <w:rsid w:val="00735617"/>
    <w:rsid w:val="00735861"/>
    <w:rsid w:val="00735E57"/>
    <w:rsid w:val="0073653F"/>
    <w:rsid w:val="00736546"/>
    <w:rsid w:val="007368C4"/>
    <w:rsid w:val="00737CEE"/>
    <w:rsid w:val="00737D65"/>
    <w:rsid w:val="00740325"/>
    <w:rsid w:val="007407E2"/>
    <w:rsid w:val="007409E0"/>
    <w:rsid w:val="00740A31"/>
    <w:rsid w:val="007410ED"/>
    <w:rsid w:val="00741CCF"/>
    <w:rsid w:val="0074288F"/>
    <w:rsid w:val="00743317"/>
    <w:rsid w:val="0074440E"/>
    <w:rsid w:val="00746232"/>
    <w:rsid w:val="0074623B"/>
    <w:rsid w:val="007465CF"/>
    <w:rsid w:val="00750591"/>
    <w:rsid w:val="0075073D"/>
    <w:rsid w:val="00751236"/>
    <w:rsid w:val="007514B0"/>
    <w:rsid w:val="00751771"/>
    <w:rsid w:val="00751B77"/>
    <w:rsid w:val="007523C1"/>
    <w:rsid w:val="0075305E"/>
    <w:rsid w:val="00753D61"/>
    <w:rsid w:val="00755A17"/>
    <w:rsid w:val="00756349"/>
    <w:rsid w:val="00756CC3"/>
    <w:rsid w:val="00756DCD"/>
    <w:rsid w:val="007572AA"/>
    <w:rsid w:val="0075751A"/>
    <w:rsid w:val="00761F6E"/>
    <w:rsid w:val="00762121"/>
    <w:rsid w:val="007626B8"/>
    <w:rsid w:val="0076297F"/>
    <w:rsid w:val="00762A76"/>
    <w:rsid w:val="007630A0"/>
    <w:rsid w:val="0076352A"/>
    <w:rsid w:val="00763AB1"/>
    <w:rsid w:val="00763EBA"/>
    <w:rsid w:val="00764305"/>
    <w:rsid w:val="0076582C"/>
    <w:rsid w:val="00765B92"/>
    <w:rsid w:val="007671E0"/>
    <w:rsid w:val="007700CF"/>
    <w:rsid w:val="00770485"/>
    <w:rsid w:val="0077089E"/>
    <w:rsid w:val="0077137A"/>
    <w:rsid w:val="00771486"/>
    <w:rsid w:val="00771EE7"/>
    <w:rsid w:val="00771EF0"/>
    <w:rsid w:val="0077243F"/>
    <w:rsid w:val="0077275C"/>
    <w:rsid w:val="00772E51"/>
    <w:rsid w:val="007740B0"/>
    <w:rsid w:val="007740B1"/>
    <w:rsid w:val="00774265"/>
    <w:rsid w:val="00774367"/>
    <w:rsid w:val="00774D24"/>
    <w:rsid w:val="00774EA5"/>
    <w:rsid w:val="00775091"/>
    <w:rsid w:val="0077521C"/>
    <w:rsid w:val="007753CF"/>
    <w:rsid w:val="007757CD"/>
    <w:rsid w:val="00775808"/>
    <w:rsid w:val="00775B2F"/>
    <w:rsid w:val="0077640F"/>
    <w:rsid w:val="007765E0"/>
    <w:rsid w:val="00776926"/>
    <w:rsid w:val="00777D2B"/>
    <w:rsid w:val="0078009E"/>
    <w:rsid w:val="00780B70"/>
    <w:rsid w:val="007811E4"/>
    <w:rsid w:val="0078176C"/>
    <w:rsid w:val="00781A3F"/>
    <w:rsid w:val="00781B06"/>
    <w:rsid w:val="00781FC5"/>
    <w:rsid w:val="00782446"/>
    <w:rsid w:val="007839CE"/>
    <w:rsid w:val="00784025"/>
    <w:rsid w:val="0078483F"/>
    <w:rsid w:val="00784A3F"/>
    <w:rsid w:val="00785859"/>
    <w:rsid w:val="007858D4"/>
    <w:rsid w:val="007859A6"/>
    <w:rsid w:val="00785E8C"/>
    <w:rsid w:val="0078665F"/>
    <w:rsid w:val="00787367"/>
    <w:rsid w:val="007879FC"/>
    <w:rsid w:val="00790ABF"/>
    <w:rsid w:val="00790C98"/>
    <w:rsid w:val="00791133"/>
    <w:rsid w:val="00792B2C"/>
    <w:rsid w:val="0079304A"/>
    <w:rsid w:val="0079390B"/>
    <w:rsid w:val="00794472"/>
    <w:rsid w:val="00794505"/>
    <w:rsid w:val="0079642F"/>
    <w:rsid w:val="00797E9D"/>
    <w:rsid w:val="007A039E"/>
    <w:rsid w:val="007A0E9B"/>
    <w:rsid w:val="007A14C9"/>
    <w:rsid w:val="007A222A"/>
    <w:rsid w:val="007A33AC"/>
    <w:rsid w:val="007A4048"/>
    <w:rsid w:val="007A44F7"/>
    <w:rsid w:val="007A56DF"/>
    <w:rsid w:val="007A581D"/>
    <w:rsid w:val="007A5C24"/>
    <w:rsid w:val="007A6B7B"/>
    <w:rsid w:val="007A6F0E"/>
    <w:rsid w:val="007A6F67"/>
    <w:rsid w:val="007A71C2"/>
    <w:rsid w:val="007A7BD0"/>
    <w:rsid w:val="007A7FCA"/>
    <w:rsid w:val="007B1FC7"/>
    <w:rsid w:val="007B2135"/>
    <w:rsid w:val="007B2311"/>
    <w:rsid w:val="007B2324"/>
    <w:rsid w:val="007B25E1"/>
    <w:rsid w:val="007B3420"/>
    <w:rsid w:val="007B4075"/>
    <w:rsid w:val="007B4716"/>
    <w:rsid w:val="007B4C02"/>
    <w:rsid w:val="007B4C58"/>
    <w:rsid w:val="007B4CE7"/>
    <w:rsid w:val="007B56CD"/>
    <w:rsid w:val="007B57F7"/>
    <w:rsid w:val="007B598B"/>
    <w:rsid w:val="007B5CB6"/>
    <w:rsid w:val="007B60DD"/>
    <w:rsid w:val="007B6CC2"/>
    <w:rsid w:val="007B6D3C"/>
    <w:rsid w:val="007B6F49"/>
    <w:rsid w:val="007B78E1"/>
    <w:rsid w:val="007C0CF5"/>
    <w:rsid w:val="007C10AF"/>
    <w:rsid w:val="007C19E1"/>
    <w:rsid w:val="007C1CDE"/>
    <w:rsid w:val="007C282F"/>
    <w:rsid w:val="007C2914"/>
    <w:rsid w:val="007C2BEE"/>
    <w:rsid w:val="007C35FE"/>
    <w:rsid w:val="007C477C"/>
    <w:rsid w:val="007C533A"/>
    <w:rsid w:val="007C57B0"/>
    <w:rsid w:val="007C5A29"/>
    <w:rsid w:val="007C5D29"/>
    <w:rsid w:val="007C7781"/>
    <w:rsid w:val="007C7FF2"/>
    <w:rsid w:val="007D05DD"/>
    <w:rsid w:val="007D0D9B"/>
    <w:rsid w:val="007D16D2"/>
    <w:rsid w:val="007D1ACB"/>
    <w:rsid w:val="007D1F50"/>
    <w:rsid w:val="007D2469"/>
    <w:rsid w:val="007D26A9"/>
    <w:rsid w:val="007D2C56"/>
    <w:rsid w:val="007D3951"/>
    <w:rsid w:val="007D3BAB"/>
    <w:rsid w:val="007D5145"/>
    <w:rsid w:val="007D5461"/>
    <w:rsid w:val="007D5A27"/>
    <w:rsid w:val="007D5F2E"/>
    <w:rsid w:val="007D61D4"/>
    <w:rsid w:val="007D688F"/>
    <w:rsid w:val="007D728B"/>
    <w:rsid w:val="007D7365"/>
    <w:rsid w:val="007D7A8E"/>
    <w:rsid w:val="007E08A0"/>
    <w:rsid w:val="007E0ED2"/>
    <w:rsid w:val="007E15B0"/>
    <w:rsid w:val="007E1661"/>
    <w:rsid w:val="007E19DC"/>
    <w:rsid w:val="007E33DB"/>
    <w:rsid w:val="007E36B4"/>
    <w:rsid w:val="007E370F"/>
    <w:rsid w:val="007E383B"/>
    <w:rsid w:val="007E3FE0"/>
    <w:rsid w:val="007E56E1"/>
    <w:rsid w:val="007E67A2"/>
    <w:rsid w:val="007E6D39"/>
    <w:rsid w:val="007E7CE5"/>
    <w:rsid w:val="007F0255"/>
    <w:rsid w:val="007F0BD6"/>
    <w:rsid w:val="007F1069"/>
    <w:rsid w:val="007F10F2"/>
    <w:rsid w:val="007F1719"/>
    <w:rsid w:val="007F1BDD"/>
    <w:rsid w:val="007F1CF8"/>
    <w:rsid w:val="007F2452"/>
    <w:rsid w:val="007F2BFB"/>
    <w:rsid w:val="007F31BC"/>
    <w:rsid w:val="007F3B64"/>
    <w:rsid w:val="007F5F7A"/>
    <w:rsid w:val="007F6677"/>
    <w:rsid w:val="007F7CCC"/>
    <w:rsid w:val="00800A14"/>
    <w:rsid w:val="0080150D"/>
    <w:rsid w:val="0080182F"/>
    <w:rsid w:val="00802BC7"/>
    <w:rsid w:val="00804020"/>
    <w:rsid w:val="008041E9"/>
    <w:rsid w:val="00804965"/>
    <w:rsid w:val="008051C4"/>
    <w:rsid w:val="00805309"/>
    <w:rsid w:val="00805952"/>
    <w:rsid w:val="00805A4E"/>
    <w:rsid w:val="00805F1E"/>
    <w:rsid w:val="008069AB"/>
    <w:rsid w:val="00806B2E"/>
    <w:rsid w:val="00806DA8"/>
    <w:rsid w:val="0081043A"/>
    <w:rsid w:val="008104F5"/>
    <w:rsid w:val="00811BCA"/>
    <w:rsid w:val="00811EDB"/>
    <w:rsid w:val="008121E8"/>
    <w:rsid w:val="0081234D"/>
    <w:rsid w:val="00812A58"/>
    <w:rsid w:val="00813DC5"/>
    <w:rsid w:val="00814826"/>
    <w:rsid w:val="00814D36"/>
    <w:rsid w:val="0081574C"/>
    <w:rsid w:val="00815B1E"/>
    <w:rsid w:val="00816122"/>
    <w:rsid w:val="00816AA4"/>
    <w:rsid w:val="00816F77"/>
    <w:rsid w:val="00817C8F"/>
    <w:rsid w:val="00817F1E"/>
    <w:rsid w:val="008205D5"/>
    <w:rsid w:val="0082112A"/>
    <w:rsid w:val="00821A9D"/>
    <w:rsid w:val="00822F56"/>
    <w:rsid w:val="00823333"/>
    <w:rsid w:val="00823986"/>
    <w:rsid w:val="0082408D"/>
    <w:rsid w:val="008242E9"/>
    <w:rsid w:val="0082478B"/>
    <w:rsid w:val="00824E8A"/>
    <w:rsid w:val="00825920"/>
    <w:rsid w:val="00825A37"/>
    <w:rsid w:val="00825B7F"/>
    <w:rsid w:val="0082719A"/>
    <w:rsid w:val="00827812"/>
    <w:rsid w:val="0083035F"/>
    <w:rsid w:val="008306DC"/>
    <w:rsid w:val="00830CC5"/>
    <w:rsid w:val="008312E5"/>
    <w:rsid w:val="0083159E"/>
    <w:rsid w:val="008315A6"/>
    <w:rsid w:val="0083298F"/>
    <w:rsid w:val="00834B3C"/>
    <w:rsid w:val="00835CB2"/>
    <w:rsid w:val="00835E29"/>
    <w:rsid w:val="00836466"/>
    <w:rsid w:val="0083658E"/>
    <w:rsid w:val="008400F5"/>
    <w:rsid w:val="008404AF"/>
    <w:rsid w:val="00841283"/>
    <w:rsid w:val="00841AC3"/>
    <w:rsid w:val="00844286"/>
    <w:rsid w:val="00844F22"/>
    <w:rsid w:val="00845BE1"/>
    <w:rsid w:val="00845E58"/>
    <w:rsid w:val="00846931"/>
    <w:rsid w:val="00847D31"/>
    <w:rsid w:val="00850DC3"/>
    <w:rsid w:val="00850DDF"/>
    <w:rsid w:val="00851991"/>
    <w:rsid w:val="0085201F"/>
    <w:rsid w:val="008522F9"/>
    <w:rsid w:val="0085488B"/>
    <w:rsid w:val="00854B98"/>
    <w:rsid w:val="00855A7D"/>
    <w:rsid w:val="00856035"/>
    <w:rsid w:val="00856B4C"/>
    <w:rsid w:val="0085709E"/>
    <w:rsid w:val="008571E5"/>
    <w:rsid w:val="00857976"/>
    <w:rsid w:val="00857FEF"/>
    <w:rsid w:val="00860BF2"/>
    <w:rsid w:val="00860FBD"/>
    <w:rsid w:val="00862117"/>
    <w:rsid w:val="00862A4B"/>
    <w:rsid w:val="00862F89"/>
    <w:rsid w:val="00864CDB"/>
    <w:rsid w:val="008658D5"/>
    <w:rsid w:val="00866497"/>
    <w:rsid w:val="00866512"/>
    <w:rsid w:val="00866856"/>
    <w:rsid w:val="00866DF3"/>
    <w:rsid w:val="00867C4A"/>
    <w:rsid w:val="00867D99"/>
    <w:rsid w:val="00870E71"/>
    <w:rsid w:val="0087189A"/>
    <w:rsid w:val="00872A99"/>
    <w:rsid w:val="00873958"/>
    <w:rsid w:val="00873A68"/>
    <w:rsid w:val="00873E3C"/>
    <w:rsid w:val="00874255"/>
    <w:rsid w:val="008742E4"/>
    <w:rsid w:val="0087463B"/>
    <w:rsid w:val="00874716"/>
    <w:rsid w:val="00875905"/>
    <w:rsid w:val="0087619A"/>
    <w:rsid w:val="008771D1"/>
    <w:rsid w:val="008775A4"/>
    <w:rsid w:val="00881631"/>
    <w:rsid w:val="0088254F"/>
    <w:rsid w:val="0088258C"/>
    <w:rsid w:val="008844CC"/>
    <w:rsid w:val="00884794"/>
    <w:rsid w:val="00884D15"/>
    <w:rsid w:val="0088625F"/>
    <w:rsid w:val="008867EF"/>
    <w:rsid w:val="00886B22"/>
    <w:rsid w:val="00887187"/>
    <w:rsid w:val="0088778F"/>
    <w:rsid w:val="008900AE"/>
    <w:rsid w:val="0089032C"/>
    <w:rsid w:val="00891CB5"/>
    <w:rsid w:val="00892022"/>
    <w:rsid w:val="0089244C"/>
    <w:rsid w:val="0089343F"/>
    <w:rsid w:val="00893DD0"/>
    <w:rsid w:val="00894493"/>
    <w:rsid w:val="00894629"/>
    <w:rsid w:val="00895AA9"/>
    <w:rsid w:val="00896048"/>
    <w:rsid w:val="0089646B"/>
    <w:rsid w:val="00896488"/>
    <w:rsid w:val="00896E03"/>
    <w:rsid w:val="00897B94"/>
    <w:rsid w:val="00897C7E"/>
    <w:rsid w:val="008A040D"/>
    <w:rsid w:val="008A075A"/>
    <w:rsid w:val="008A0770"/>
    <w:rsid w:val="008A092A"/>
    <w:rsid w:val="008A16EA"/>
    <w:rsid w:val="008A2024"/>
    <w:rsid w:val="008A2993"/>
    <w:rsid w:val="008A2AAB"/>
    <w:rsid w:val="008A2FB3"/>
    <w:rsid w:val="008A37C9"/>
    <w:rsid w:val="008A3CF0"/>
    <w:rsid w:val="008A41CB"/>
    <w:rsid w:val="008A4CA8"/>
    <w:rsid w:val="008A5403"/>
    <w:rsid w:val="008A577B"/>
    <w:rsid w:val="008A6B0F"/>
    <w:rsid w:val="008A6EAB"/>
    <w:rsid w:val="008A7107"/>
    <w:rsid w:val="008A72EE"/>
    <w:rsid w:val="008A7429"/>
    <w:rsid w:val="008A7624"/>
    <w:rsid w:val="008A7AA0"/>
    <w:rsid w:val="008B08F3"/>
    <w:rsid w:val="008B0CCA"/>
    <w:rsid w:val="008B1AAA"/>
    <w:rsid w:val="008B21C9"/>
    <w:rsid w:val="008B26CC"/>
    <w:rsid w:val="008B277E"/>
    <w:rsid w:val="008B27C4"/>
    <w:rsid w:val="008B29ED"/>
    <w:rsid w:val="008B32A3"/>
    <w:rsid w:val="008B3D69"/>
    <w:rsid w:val="008B4017"/>
    <w:rsid w:val="008B4149"/>
    <w:rsid w:val="008B4DD3"/>
    <w:rsid w:val="008B4F9F"/>
    <w:rsid w:val="008B5017"/>
    <w:rsid w:val="008B50A7"/>
    <w:rsid w:val="008B5328"/>
    <w:rsid w:val="008B5CF3"/>
    <w:rsid w:val="008B6912"/>
    <w:rsid w:val="008B6F30"/>
    <w:rsid w:val="008B7138"/>
    <w:rsid w:val="008B767B"/>
    <w:rsid w:val="008B7D27"/>
    <w:rsid w:val="008C018B"/>
    <w:rsid w:val="008C0347"/>
    <w:rsid w:val="008C07F0"/>
    <w:rsid w:val="008C0897"/>
    <w:rsid w:val="008C0EEC"/>
    <w:rsid w:val="008C1954"/>
    <w:rsid w:val="008C1A46"/>
    <w:rsid w:val="008C2001"/>
    <w:rsid w:val="008C2D79"/>
    <w:rsid w:val="008C39FB"/>
    <w:rsid w:val="008C3C9B"/>
    <w:rsid w:val="008C5239"/>
    <w:rsid w:val="008C5CBC"/>
    <w:rsid w:val="008C5DF6"/>
    <w:rsid w:val="008C65F6"/>
    <w:rsid w:val="008C6912"/>
    <w:rsid w:val="008C6F69"/>
    <w:rsid w:val="008C6F7D"/>
    <w:rsid w:val="008C7219"/>
    <w:rsid w:val="008C75E5"/>
    <w:rsid w:val="008C76A5"/>
    <w:rsid w:val="008C7D7F"/>
    <w:rsid w:val="008D0785"/>
    <w:rsid w:val="008D0E7B"/>
    <w:rsid w:val="008D1E2F"/>
    <w:rsid w:val="008D3228"/>
    <w:rsid w:val="008D34EA"/>
    <w:rsid w:val="008D35C7"/>
    <w:rsid w:val="008D362D"/>
    <w:rsid w:val="008D3729"/>
    <w:rsid w:val="008D3A03"/>
    <w:rsid w:val="008D4844"/>
    <w:rsid w:val="008D535D"/>
    <w:rsid w:val="008D5507"/>
    <w:rsid w:val="008D6390"/>
    <w:rsid w:val="008D63EF"/>
    <w:rsid w:val="008D6D83"/>
    <w:rsid w:val="008D72B8"/>
    <w:rsid w:val="008D760B"/>
    <w:rsid w:val="008D7A73"/>
    <w:rsid w:val="008E0846"/>
    <w:rsid w:val="008E0A0F"/>
    <w:rsid w:val="008E0CFB"/>
    <w:rsid w:val="008E14D5"/>
    <w:rsid w:val="008E164D"/>
    <w:rsid w:val="008E219A"/>
    <w:rsid w:val="008E2230"/>
    <w:rsid w:val="008E407E"/>
    <w:rsid w:val="008E430E"/>
    <w:rsid w:val="008E450E"/>
    <w:rsid w:val="008E49A5"/>
    <w:rsid w:val="008E50AD"/>
    <w:rsid w:val="008E58C1"/>
    <w:rsid w:val="008E5E90"/>
    <w:rsid w:val="008E68E5"/>
    <w:rsid w:val="008E7019"/>
    <w:rsid w:val="008E7A60"/>
    <w:rsid w:val="008E7BE2"/>
    <w:rsid w:val="008E7FBE"/>
    <w:rsid w:val="008F021B"/>
    <w:rsid w:val="008F0CE8"/>
    <w:rsid w:val="008F0D22"/>
    <w:rsid w:val="008F0E7D"/>
    <w:rsid w:val="008F218B"/>
    <w:rsid w:val="008F226A"/>
    <w:rsid w:val="008F2844"/>
    <w:rsid w:val="008F2A0E"/>
    <w:rsid w:val="008F2FBC"/>
    <w:rsid w:val="008F3047"/>
    <w:rsid w:val="008F30E3"/>
    <w:rsid w:val="008F3B73"/>
    <w:rsid w:val="008F419B"/>
    <w:rsid w:val="008F4C81"/>
    <w:rsid w:val="008F4CC4"/>
    <w:rsid w:val="008F506F"/>
    <w:rsid w:val="008F5CE2"/>
    <w:rsid w:val="008F72E0"/>
    <w:rsid w:val="008F78F2"/>
    <w:rsid w:val="008F7AC4"/>
    <w:rsid w:val="00901EAF"/>
    <w:rsid w:val="0090251B"/>
    <w:rsid w:val="00902A1A"/>
    <w:rsid w:val="00904791"/>
    <w:rsid w:val="00904E5D"/>
    <w:rsid w:val="00905399"/>
    <w:rsid w:val="0090550C"/>
    <w:rsid w:val="00905A20"/>
    <w:rsid w:val="00905ADC"/>
    <w:rsid w:val="0090628C"/>
    <w:rsid w:val="00906D47"/>
    <w:rsid w:val="00910522"/>
    <w:rsid w:val="00911635"/>
    <w:rsid w:val="00911725"/>
    <w:rsid w:val="009117B3"/>
    <w:rsid w:val="00911A01"/>
    <w:rsid w:val="00911EE7"/>
    <w:rsid w:val="009130E7"/>
    <w:rsid w:val="009130F3"/>
    <w:rsid w:val="00913A6E"/>
    <w:rsid w:val="009144A8"/>
    <w:rsid w:val="00914B3D"/>
    <w:rsid w:val="00914E81"/>
    <w:rsid w:val="00915875"/>
    <w:rsid w:val="009175D0"/>
    <w:rsid w:val="00917D9D"/>
    <w:rsid w:val="00917F8D"/>
    <w:rsid w:val="0092046A"/>
    <w:rsid w:val="009212FF"/>
    <w:rsid w:val="00921372"/>
    <w:rsid w:val="00921C63"/>
    <w:rsid w:val="00921D93"/>
    <w:rsid w:val="00921E4D"/>
    <w:rsid w:val="009255BC"/>
    <w:rsid w:val="00925D84"/>
    <w:rsid w:val="0092618B"/>
    <w:rsid w:val="00926F35"/>
    <w:rsid w:val="00927233"/>
    <w:rsid w:val="00927711"/>
    <w:rsid w:val="009277EB"/>
    <w:rsid w:val="0093051E"/>
    <w:rsid w:val="009310F0"/>
    <w:rsid w:val="00931CEF"/>
    <w:rsid w:val="00931F2D"/>
    <w:rsid w:val="00932FCF"/>
    <w:rsid w:val="009331AD"/>
    <w:rsid w:val="009339BC"/>
    <w:rsid w:val="009347EB"/>
    <w:rsid w:val="00934902"/>
    <w:rsid w:val="00934F0D"/>
    <w:rsid w:val="0093514A"/>
    <w:rsid w:val="00935763"/>
    <w:rsid w:val="009366BC"/>
    <w:rsid w:val="00940241"/>
    <w:rsid w:val="00940A42"/>
    <w:rsid w:val="00941080"/>
    <w:rsid w:val="00941E81"/>
    <w:rsid w:val="009427C4"/>
    <w:rsid w:val="009445A2"/>
    <w:rsid w:val="00944A5F"/>
    <w:rsid w:val="00944D5F"/>
    <w:rsid w:val="00945273"/>
    <w:rsid w:val="0094548A"/>
    <w:rsid w:val="00945977"/>
    <w:rsid w:val="009459B2"/>
    <w:rsid w:val="00945F6A"/>
    <w:rsid w:val="00946146"/>
    <w:rsid w:val="009465C6"/>
    <w:rsid w:val="00946873"/>
    <w:rsid w:val="0094716A"/>
    <w:rsid w:val="009514FD"/>
    <w:rsid w:val="00951652"/>
    <w:rsid w:val="009519D2"/>
    <w:rsid w:val="00951EE7"/>
    <w:rsid w:val="00952B52"/>
    <w:rsid w:val="00953C72"/>
    <w:rsid w:val="0095406A"/>
    <w:rsid w:val="009541D9"/>
    <w:rsid w:val="0095490B"/>
    <w:rsid w:val="00956540"/>
    <w:rsid w:val="00956ADC"/>
    <w:rsid w:val="00957341"/>
    <w:rsid w:val="009573EF"/>
    <w:rsid w:val="00957A46"/>
    <w:rsid w:val="00957DDB"/>
    <w:rsid w:val="009610DE"/>
    <w:rsid w:val="00961CD5"/>
    <w:rsid w:val="009646AD"/>
    <w:rsid w:val="00964A63"/>
    <w:rsid w:val="00964AB2"/>
    <w:rsid w:val="0096510E"/>
    <w:rsid w:val="00965261"/>
    <w:rsid w:val="009656BD"/>
    <w:rsid w:val="00965E2B"/>
    <w:rsid w:val="0096744C"/>
    <w:rsid w:val="00967635"/>
    <w:rsid w:val="009677D0"/>
    <w:rsid w:val="00967E5D"/>
    <w:rsid w:val="009701A4"/>
    <w:rsid w:val="009706F2"/>
    <w:rsid w:val="00970A15"/>
    <w:rsid w:val="0097189E"/>
    <w:rsid w:val="00971F37"/>
    <w:rsid w:val="00972337"/>
    <w:rsid w:val="00972A69"/>
    <w:rsid w:val="00972B7F"/>
    <w:rsid w:val="00972BE3"/>
    <w:rsid w:val="00973009"/>
    <w:rsid w:val="00973CE1"/>
    <w:rsid w:val="00974999"/>
    <w:rsid w:val="0097584A"/>
    <w:rsid w:val="00976275"/>
    <w:rsid w:val="00976960"/>
    <w:rsid w:val="00976E53"/>
    <w:rsid w:val="00976F1E"/>
    <w:rsid w:val="00977C5F"/>
    <w:rsid w:val="00977F41"/>
    <w:rsid w:val="00980035"/>
    <w:rsid w:val="009806BF"/>
    <w:rsid w:val="00980ADE"/>
    <w:rsid w:val="0098159F"/>
    <w:rsid w:val="0098192F"/>
    <w:rsid w:val="009824CA"/>
    <w:rsid w:val="009825F6"/>
    <w:rsid w:val="00982967"/>
    <w:rsid w:val="00982C2B"/>
    <w:rsid w:val="00982E52"/>
    <w:rsid w:val="009849C3"/>
    <w:rsid w:val="00984D2A"/>
    <w:rsid w:val="00984E63"/>
    <w:rsid w:val="00987232"/>
    <w:rsid w:val="00987614"/>
    <w:rsid w:val="00987DC8"/>
    <w:rsid w:val="009903E6"/>
    <w:rsid w:val="009904A6"/>
    <w:rsid w:val="00990D5B"/>
    <w:rsid w:val="009917A1"/>
    <w:rsid w:val="00992B4C"/>
    <w:rsid w:val="00992D27"/>
    <w:rsid w:val="0099315A"/>
    <w:rsid w:val="009934E0"/>
    <w:rsid w:val="00993CB8"/>
    <w:rsid w:val="00995323"/>
    <w:rsid w:val="00995ED7"/>
    <w:rsid w:val="00996044"/>
    <w:rsid w:val="00996C84"/>
    <w:rsid w:val="00997298"/>
    <w:rsid w:val="00997436"/>
    <w:rsid w:val="00997525"/>
    <w:rsid w:val="00997BA7"/>
    <w:rsid w:val="009A026E"/>
    <w:rsid w:val="009A0AE7"/>
    <w:rsid w:val="009A1422"/>
    <w:rsid w:val="009A2178"/>
    <w:rsid w:val="009A277E"/>
    <w:rsid w:val="009A28F3"/>
    <w:rsid w:val="009A2AC4"/>
    <w:rsid w:val="009A3626"/>
    <w:rsid w:val="009A37C6"/>
    <w:rsid w:val="009A4001"/>
    <w:rsid w:val="009A4B6A"/>
    <w:rsid w:val="009A4E1E"/>
    <w:rsid w:val="009A5499"/>
    <w:rsid w:val="009A5561"/>
    <w:rsid w:val="009A672A"/>
    <w:rsid w:val="009A6781"/>
    <w:rsid w:val="009A6D21"/>
    <w:rsid w:val="009A6EEE"/>
    <w:rsid w:val="009A7691"/>
    <w:rsid w:val="009B011A"/>
    <w:rsid w:val="009B02DF"/>
    <w:rsid w:val="009B0D9A"/>
    <w:rsid w:val="009B0F6A"/>
    <w:rsid w:val="009B1251"/>
    <w:rsid w:val="009B13A1"/>
    <w:rsid w:val="009B170A"/>
    <w:rsid w:val="009B18C7"/>
    <w:rsid w:val="009B19B6"/>
    <w:rsid w:val="009B23F0"/>
    <w:rsid w:val="009B25A5"/>
    <w:rsid w:val="009B25A9"/>
    <w:rsid w:val="009B25EF"/>
    <w:rsid w:val="009B325E"/>
    <w:rsid w:val="009B408D"/>
    <w:rsid w:val="009B589C"/>
    <w:rsid w:val="009B6667"/>
    <w:rsid w:val="009B6F69"/>
    <w:rsid w:val="009B7CCF"/>
    <w:rsid w:val="009C0D27"/>
    <w:rsid w:val="009C1407"/>
    <w:rsid w:val="009C2311"/>
    <w:rsid w:val="009C2B8B"/>
    <w:rsid w:val="009C2FCA"/>
    <w:rsid w:val="009C3205"/>
    <w:rsid w:val="009C37D2"/>
    <w:rsid w:val="009C3ECD"/>
    <w:rsid w:val="009C47B3"/>
    <w:rsid w:val="009C48EB"/>
    <w:rsid w:val="009C53E3"/>
    <w:rsid w:val="009C54B7"/>
    <w:rsid w:val="009C6DDA"/>
    <w:rsid w:val="009C7206"/>
    <w:rsid w:val="009C7219"/>
    <w:rsid w:val="009C75D1"/>
    <w:rsid w:val="009C7D12"/>
    <w:rsid w:val="009D02F1"/>
    <w:rsid w:val="009D047F"/>
    <w:rsid w:val="009D0491"/>
    <w:rsid w:val="009D0580"/>
    <w:rsid w:val="009D097F"/>
    <w:rsid w:val="009D1150"/>
    <w:rsid w:val="009D1A4F"/>
    <w:rsid w:val="009D27CC"/>
    <w:rsid w:val="009D36EB"/>
    <w:rsid w:val="009D4268"/>
    <w:rsid w:val="009D43C2"/>
    <w:rsid w:val="009D462F"/>
    <w:rsid w:val="009D4CBF"/>
    <w:rsid w:val="009D4EEB"/>
    <w:rsid w:val="009D6AC7"/>
    <w:rsid w:val="009D6D56"/>
    <w:rsid w:val="009D6DBD"/>
    <w:rsid w:val="009D7B7A"/>
    <w:rsid w:val="009E0050"/>
    <w:rsid w:val="009E02DB"/>
    <w:rsid w:val="009E0589"/>
    <w:rsid w:val="009E0E5F"/>
    <w:rsid w:val="009E0FC1"/>
    <w:rsid w:val="009E10A8"/>
    <w:rsid w:val="009E10CD"/>
    <w:rsid w:val="009E192B"/>
    <w:rsid w:val="009E1E50"/>
    <w:rsid w:val="009E2511"/>
    <w:rsid w:val="009E26E2"/>
    <w:rsid w:val="009E305E"/>
    <w:rsid w:val="009E33D9"/>
    <w:rsid w:val="009E34A6"/>
    <w:rsid w:val="009E34BD"/>
    <w:rsid w:val="009E3E07"/>
    <w:rsid w:val="009E443D"/>
    <w:rsid w:val="009E44C2"/>
    <w:rsid w:val="009E4D36"/>
    <w:rsid w:val="009E53D5"/>
    <w:rsid w:val="009E5B64"/>
    <w:rsid w:val="009E6593"/>
    <w:rsid w:val="009E7DAD"/>
    <w:rsid w:val="009F003D"/>
    <w:rsid w:val="009F096E"/>
    <w:rsid w:val="009F0FB5"/>
    <w:rsid w:val="009F10A9"/>
    <w:rsid w:val="009F1525"/>
    <w:rsid w:val="009F1ED7"/>
    <w:rsid w:val="009F1F0B"/>
    <w:rsid w:val="009F2760"/>
    <w:rsid w:val="009F2A72"/>
    <w:rsid w:val="009F2EA9"/>
    <w:rsid w:val="009F541A"/>
    <w:rsid w:val="009F630C"/>
    <w:rsid w:val="009F6570"/>
    <w:rsid w:val="009F6A73"/>
    <w:rsid w:val="009F7D1E"/>
    <w:rsid w:val="00A002F0"/>
    <w:rsid w:val="00A01C16"/>
    <w:rsid w:val="00A021C1"/>
    <w:rsid w:val="00A0244E"/>
    <w:rsid w:val="00A024C0"/>
    <w:rsid w:val="00A02703"/>
    <w:rsid w:val="00A02896"/>
    <w:rsid w:val="00A043AB"/>
    <w:rsid w:val="00A049C5"/>
    <w:rsid w:val="00A051A8"/>
    <w:rsid w:val="00A0566D"/>
    <w:rsid w:val="00A0799F"/>
    <w:rsid w:val="00A10B09"/>
    <w:rsid w:val="00A11706"/>
    <w:rsid w:val="00A12ACA"/>
    <w:rsid w:val="00A1437B"/>
    <w:rsid w:val="00A14A78"/>
    <w:rsid w:val="00A154C1"/>
    <w:rsid w:val="00A157DA"/>
    <w:rsid w:val="00A15ED7"/>
    <w:rsid w:val="00A16CB3"/>
    <w:rsid w:val="00A16DAA"/>
    <w:rsid w:val="00A170D4"/>
    <w:rsid w:val="00A1747A"/>
    <w:rsid w:val="00A2034D"/>
    <w:rsid w:val="00A203C2"/>
    <w:rsid w:val="00A208D3"/>
    <w:rsid w:val="00A209CE"/>
    <w:rsid w:val="00A214B2"/>
    <w:rsid w:val="00A21CC0"/>
    <w:rsid w:val="00A22267"/>
    <w:rsid w:val="00A22564"/>
    <w:rsid w:val="00A22771"/>
    <w:rsid w:val="00A22BDD"/>
    <w:rsid w:val="00A22F87"/>
    <w:rsid w:val="00A23027"/>
    <w:rsid w:val="00A231EF"/>
    <w:rsid w:val="00A2450E"/>
    <w:rsid w:val="00A2473A"/>
    <w:rsid w:val="00A24FE5"/>
    <w:rsid w:val="00A25FF9"/>
    <w:rsid w:val="00A269CF"/>
    <w:rsid w:val="00A26B6A"/>
    <w:rsid w:val="00A26DE5"/>
    <w:rsid w:val="00A27096"/>
    <w:rsid w:val="00A274FF"/>
    <w:rsid w:val="00A279B1"/>
    <w:rsid w:val="00A30402"/>
    <w:rsid w:val="00A306AB"/>
    <w:rsid w:val="00A30E49"/>
    <w:rsid w:val="00A312BF"/>
    <w:rsid w:val="00A317BF"/>
    <w:rsid w:val="00A32361"/>
    <w:rsid w:val="00A32491"/>
    <w:rsid w:val="00A326A7"/>
    <w:rsid w:val="00A32B16"/>
    <w:rsid w:val="00A32BAE"/>
    <w:rsid w:val="00A33229"/>
    <w:rsid w:val="00A34650"/>
    <w:rsid w:val="00A349AF"/>
    <w:rsid w:val="00A34B3A"/>
    <w:rsid w:val="00A34BF0"/>
    <w:rsid w:val="00A35268"/>
    <w:rsid w:val="00A35690"/>
    <w:rsid w:val="00A36DC2"/>
    <w:rsid w:val="00A3798B"/>
    <w:rsid w:val="00A37B3F"/>
    <w:rsid w:val="00A37C62"/>
    <w:rsid w:val="00A37D71"/>
    <w:rsid w:val="00A4098D"/>
    <w:rsid w:val="00A41134"/>
    <w:rsid w:val="00A41631"/>
    <w:rsid w:val="00A416D9"/>
    <w:rsid w:val="00A417F9"/>
    <w:rsid w:val="00A41A08"/>
    <w:rsid w:val="00A425A5"/>
    <w:rsid w:val="00A42842"/>
    <w:rsid w:val="00A434C4"/>
    <w:rsid w:val="00A44C4F"/>
    <w:rsid w:val="00A44F51"/>
    <w:rsid w:val="00A451B7"/>
    <w:rsid w:val="00A46890"/>
    <w:rsid w:val="00A470B1"/>
    <w:rsid w:val="00A4744D"/>
    <w:rsid w:val="00A47653"/>
    <w:rsid w:val="00A50CBD"/>
    <w:rsid w:val="00A51F04"/>
    <w:rsid w:val="00A5203E"/>
    <w:rsid w:val="00A52583"/>
    <w:rsid w:val="00A52590"/>
    <w:rsid w:val="00A52FC9"/>
    <w:rsid w:val="00A534F5"/>
    <w:rsid w:val="00A53A87"/>
    <w:rsid w:val="00A53B3C"/>
    <w:rsid w:val="00A53FBF"/>
    <w:rsid w:val="00A5410A"/>
    <w:rsid w:val="00A545BF"/>
    <w:rsid w:val="00A545CD"/>
    <w:rsid w:val="00A550A3"/>
    <w:rsid w:val="00A5537F"/>
    <w:rsid w:val="00A55811"/>
    <w:rsid w:val="00A567B4"/>
    <w:rsid w:val="00A5689C"/>
    <w:rsid w:val="00A579A2"/>
    <w:rsid w:val="00A604DD"/>
    <w:rsid w:val="00A60758"/>
    <w:rsid w:val="00A60967"/>
    <w:rsid w:val="00A60B89"/>
    <w:rsid w:val="00A617A2"/>
    <w:rsid w:val="00A622EB"/>
    <w:rsid w:val="00A63169"/>
    <w:rsid w:val="00A64695"/>
    <w:rsid w:val="00A64757"/>
    <w:rsid w:val="00A64B37"/>
    <w:rsid w:val="00A656CD"/>
    <w:rsid w:val="00A657CA"/>
    <w:rsid w:val="00A6583E"/>
    <w:rsid w:val="00A65A65"/>
    <w:rsid w:val="00A65D76"/>
    <w:rsid w:val="00A65F24"/>
    <w:rsid w:val="00A66875"/>
    <w:rsid w:val="00A66989"/>
    <w:rsid w:val="00A66C29"/>
    <w:rsid w:val="00A67074"/>
    <w:rsid w:val="00A676FD"/>
    <w:rsid w:val="00A6785C"/>
    <w:rsid w:val="00A67AD0"/>
    <w:rsid w:val="00A70916"/>
    <w:rsid w:val="00A70A89"/>
    <w:rsid w:val="00A729D7"/>
    <w:rsid w:val="00A7355C"/>
    <w:rsid w:val="00A736CC"/>
    <w:rsid w:val="00A73B5D"/>
    <w:rsid w:val="00A7402A"/>
    <w:rsid w:val="00A74408"/>
    <w:rsid w:val="00A74784"/>
    <w:rsid w:val="00A74909"/>
    <w:rsid w:val="00A74E9C"/>
    <w:rsid w:val="00A75078"/>
    <w:rsid w:val="00A7540B"/>
    <w:rsid w:val="00A77008"/>
    <w:rsid w:val="00A77305"/>
    <w:rsid w:val="00A7732F"/>
    <w:rsid w:val="00A77934"/>
    <w:rsid w:val="00A77941"/>
    <w:rsid w:val="00A80950"/>
    <w:rsid w:val="00A81AA9"/>
    <w:rsid w:val="00A81AE0"/>
    <w:rsid w:val="00A82341"/>
    <w:rsid w:val="00A827DB"/>
    <w:rsid w:val="00A82CCE"/>
    <w:rsid w:val="00A8397A"/>
    <w:rsid w:val="00A84568"/>
    <w:rsid w:val="00A849BE"/>
    <w:rsid w:val="00A84C9B"/>
    <w:rsid w:val="00A850AC"/>
    <w:rsid w:val="00A857AB"/>
    <w:rsid w:val="00A85C3A"/>
    <w:rsid w:val="00A87A0F"/>
    <w:rsid w:val="00A900B2"/>
    <w:rsid w:val="00A909B7"/>
    <w:rsid w:val="00A90D71"/>
    <w:rsid w:val="00A91194"/>
    <w:rsid w:val="00A9160F"/>
    <w:rsid w:val="00A91E0B"/>
    <w:rsid w:val="00A91F5F"/>
    <w:rsid w:val="00A9246F"/>
    <w:rsid w:val="00A927BE"/>
    <w:rsid w:val="00A93677"/>
    <w:rsid w:val="00A93A1B"/>
    <w:rsid w:val="00A941B0"/>
    <w:rsid w:val="00A945CE"/>
    <w:rsid w:val="00A94613"/>
    <w:rsid w:val="00A96ADA"/>
    <w:rsid w:val="00A96CE4"/>
    <w:rsid w:val="00A96D97"/>
    <w:rsid w:val="00A96F58"/>
    <w:rsid w:val="00A97605"/>
    <w:rsid w:val="00A977A4"/>
    <w:rsid w:val="00A97B0E"/>
    <w:rsid w:val="00A97C5C"/>
    <w:rsid w:val="00A97C7D"/>
    <w:rsid w:val="00AA01A1"/>
    <w:rsid w:val="00AA1094"/>
    <w:rsid w:val="00AA271E"/>
    <w:rsid w:val="00AA3613"/>
    <w:rsid w:val="00AA3A42"/>
    <w:rsid w:val="00AA3D6A"/>
    <w:rsid w:val="00AA46AF"/>
    <w:rsid w:val="00AA4860"/>
    <w:rsid w:val="00AA4F0D"/>
    <w:rsid w:val="00AA5497"/>
    <w:rsid w:val="00AA65B6"/>
    <w:rsid w:val="00AA6775"/>
    <w:rsid w:val="00AA7908"/>
    <w:rsid w:val="00AA7B74"/>
    <w:rsid w:val="00AB0703"/>
    <w:rsid w:val="00AB0C32"/>
    <w:rsid w:val="00AB1C4E"/>
    <w:rsid w:val="00AB1DF4"/>
    <w:rsid w:val="00AB2245"/>
    <w:rsid w:val="00AB2A3A"/>
    <w:rsid w:val="00AB2B26"/>
    <w:rsid w:val="00AB2F4B"/>
    <w:rsid w:val="00AB387D"/>
    <w:rsid w:val="00AB3880"/>
    <w:rsid w:val="00AB3B3A"/>
    <w:rsid w:val="00AB4B23"/>
    <w:rsid w:val="00AB5362"/>
    <w:rsid w:val="00AB5BF7"/>
    <w:rsid w:val="00AB5D7E"/>
    <w:rsid w:val="00AB6C2D"/>
    <w:rsid w:val="00AB723A"/>
    <w:rsid w:val="00AB7299"/>
    <w:rsid w:val="00AC0893"/>
    <w:rsid w:val="00AC0DF9"/>
    <w:rsid w:val="00AC0FFE"/>
    <w:rsid w:val="00AC2162"/>
    <w:rsid w:val="00AC2391"/>
    <w:rsid w:val="00AC2C91"/>
    <w:rsid w:val="00AC30D0"/>
    <w:rsid w:val="00AC32F8"/>
    <w:rsid w:val="00AC39FB"/>
    <w:rsid w:val="00AC42CC"/>
    <w:rsid w:val="00AC46DC"/>
    <w:rsid w:val="00AC4E4C"/>
    <w:rsid w:val="00AC4FB0"/>
    <w:rsid w:val="00AC5387"/>
    <w:rsid w:val="00AC5610"/>
    <w:rsid w:val="00AC562C"/>
    <w:rsid w:val="00AC5A4D"/>
    <w:rsid w:val="00AC5C98"/>
    <w:rsid w:val="00AC5D1E"/>
    <w:rsid w:val="00AC680D"/>
    <w:rsid w:val="00AC6893"/>
    <w:rsid w:val="00AC6974"/>
    <w:rsid w:val="00AC6ACB"/>
    <w:rsid w:val="00AC6B12"/>
    <w:rsid w:val="00AC6EDE"/>
    <w:rsid w:val="00AC7650"/>
    <w:rsid w:val="00AC78A7"/>
    <w:rsid w:val="00AC7EE2"/>
    <w:rsid w:val="00AD06CE"/>
    <w:rsid w:val="00AD0787"/>
    <w:rsid w:val="00AD0EF6"/>
    <w:rsid w:val="00AD1398"/>
    <w:rsid w:val="00AD1841"/>
    <w:rsid w:val="00AD295E"/>
    <w:rsid w:val="00AD2C6E"/>
    <w:rsid w:val="00AD302F"/>
    <w:rsid w:val="00AD3582"/>
    <w:rsid w:val="00AD366B"/>
    <w:rsid w:val="00AD45DB"/>
    <w:rsid w:val="00AD47CE"/>
    <w:rsid w:val="00AD51AA"/>
    <w:rsid w:val="00AD591B"/>
    <w:rsid w:val="00AD5C98"/>
    <w:rsid w:val="00AD5E36"/>
    <w:rsid w:val="00AD6A09"/>
    <w:rsid w:val="00AD6BE7"/>
    <w:rsid w:val="00AE01C3"/>
    <w:rsid w:val="00AE05F8"/>
    <w:rsid w:val="00AE0B27"/>
    <w:rsid w:val="00AE0D2C"/>
    <w:rsid w:val="00AE217C"/>
    <w:rsid w:val="00AE245A"/>
    <w:rsid w:val="00AE2C0A"/>
    <w:rsid w:val="00AE4919"/>
    <w:rsid w:val="00AE49A9"/>
    <w:rsid w:val="00AE49CC"/>
    <w:rsid w:val="00AE525A"/>
    <w:rsid w:val="00AE53D6"/>
    <w:rsid w:val="00AE57A3"/>
    <w:rsid w:val="00AE5BFB"/>
    <w:rsid w:val="00AE5D05"/>
    <w:rsid w:val="00AE6654"/>
    <w:rsid w:val="00AF01CF"/>
    <w:rsid w:val="00AF1EB0"/>
    <w:rsid w:val="00AF2096"/>
    <w:rsid w:val="00AF2333"/>
    <w:rsid w:val="00AF30BF"/>
    <w:rsid w:val="00AF363E"/>
    <w:rsid w:val="00AF430A"/>
    <w:rsid w:val="00AF4BCB"/>
    <w:rsid w:val="00AF5397"/>
    <w:rsid w:val="00AF6877"/>
    <w:rsid w:val="00AF76DD"/>
    <w:rsid w:val="00AF7FC7"/>
    <w:rsid w:val="00B00427"/>
    <w:rsid w:val="00B00B35"/>
    <w:rsid w:val="00B01C55"/>
    <w:rsid w:val="00B0268B"/>
    <w:rsid w:val="00B0374E"/>
    <w:rsid w:val="00B03C9E"/>
    <w:rsid w:val="00B03CD9"/>
    <w:rsid w:val="00B05462"/>
    <w:rsid w:val="00B06586"/>
    <w:rsid w:val="00B066C7"/>
    <w:rsid w:val="00B06A39"/>
    <w:rsid w:val="00B076E1"/>
    <w:rsid w:val="00B07845"/>
    <w:rsid w:val="00B07DC2"/>
    <w:rsid w:val="00B1022A"/>
    <w:rsid w:val="00B105E0"/>
    <w:rsid w:val="00B115BE"/>
    <w:rsid w:val="00B1198A"/>
    <w:rsid w:val="00B11EFB"/>
    <w:rsid w:val="00B130EE"/>
    <w:rsid w:val="00B131B8"/>
    <w:rsid w:val="00B138F4"/>
    <w:rsid w:val="00B14440"/>
    <w:rsid w:val="00B15134"/>
    <w:rsid w:val="00B1513C"/>
    <w:rsid w:val="00B15987"/>
    <w:rsid w:val="00B15AAF"/>
    <w:rsid w:val="00B15E41"/>
    <w:rsid w:val="00B16644"/>
    <w:rsid w:val="00B1721E"/>
    <w:rsid w:val="00B2080B"/>
    <w:rsid w:val="00B20CEB"/>
    <w:rsid w:val="00B21D82"/>
    <w:rsid w:val="00B21D9F"/>
    <w:rsid w:val="00B22523"/>
    <w:rsid w:val="00B227CC"/>
    <w:rsid w:val="00B23182"/>
    <w:rsid w:val="00B2376F"/>
    <w:rsid w:val="00B23CDD"/>
    <w:rsid w:val="00B2463F"/>
    <w:rsid w:val="00B260ED"/>
    <w:rsid w:val="00B275B1"/>
    <w:rsid w:val="00B27661"/>
    <w:rsid w:val="00B27677"/>
    <w:rsid w:val="00B304DE"/>
    <w:rsid w:val="00B318AF"/>
    <w:rsid w:val="00B319DE"/>
    <w:rsid w:val="00B31B71"/>
    <w:rsid w:val="00B32285"/>
    <w:rsid w:val="00B331EB"/>
    <w:rsid w:val="00B349AD"/>
    <w:rsid w:val="00B34A89"/>
    <w:rsid w:val="00B36D64"/>
    <w:rsid w:val="00B371B0"/>
    <w:rsid w:val="00B3730A"/>
    <w:rsid w:val="00B37D12"/>
    <w:rsid w:val="00B37ECC"/>
    <w:rsid w:val="00B40D34"/>
    <w:rsid w:val="00B4103D"/>
    <w:rsid w:val="00B410A7"/>
    <w:rsid w:val="00B420D3"/>
    <w:rsid w:val="00B431DC"/>
    <w:rsid w:val="00B43365"/>
    <w:rsid w:val="00B43485"/>
    <w:rsid w:val="00B4457D"/>
    <w:rsid w:val="00B45194"/>
    <w:rsid w:val="00B45B49"/>
    <w:rsid w:val="00B46B4F"/>
    <w:rsid w:val="00B46E92"/>
    <w:rsid w:val="00B47768"/>
    <w:rsid w:val="00B47892"/>
    <w:rsid w:val="00B47A29"/>
    <w:rsid w:val="00B50CE1"/>
    <w:rsid w:val="00B50E43"/>
    <w:rsid w:val="00B51B07"/>
    <w:rsid w:val="00B53112"/>
    <w:rsid w:val="00B53187"/>
    <w:rsid w:val="00B53D10"/>
    <w:rsid w:val="00B5488D"/>
    <w:rsid w:val="00B55862"/>
    <w:rsid w:val="00B55906"/>
    <w:rsid w:val="00B55B6B"/>
    <w:rsid w:val="00B572E5"/>
    <w:rsid w:val="00B60861"/>
    <w:rsid w:val="00B60DE3"/>
    <w:rsid w:val="00B620AE"/>
    <w:rsid w:val="00B62A74"/>
    <w:rsid w:val="00B63A0A"/>
    <w:rsid w:val="00B63C59"/>
    <w:rsid w:val="00B64C61"/>
    <w:rsid w:val="00B64D48"/>
    <w:rsid w:val="00B659F7"/>
    <w:rsid w:val="00B660EE"/>
    <w:rsid w:val="00B70403"/>
    <w:rsid w:val="00B7172C"/>
    <w:rsid w:val="00B71AA2"/>
    <w:rsid w:val="00B71D8D"/>
    <w:rsid w:val="00B724B1"/>
    <w:rsid w:val="00B7281B"/>
    <w:rsid w:val="00B72A04"/>
    <w:rsid w:val="00B72A53"/>
    <w:rsid w:val="00B73248"/>
    <w:rsid w:val="00B7343C"/>
    <w:rsid w:val="00B73E75"/>
    <w:rsid w:val="00B75321"/>
    <w:rsid w:val="00B7545B"/>
    <w:rsid w:val="00B75C7F"/>
    <w:rsid w:val="00B76435"/>
    <w:rsid w:val="00B766D8"/>
    <w:rsid w:val="00B777B6"/>
    <w:rsid w:val="00B77B0A"/>
    <w:rsid w:val="00B80147"/>
    <w:rsid w:val="00B80247"/>
    <w:rsid w:val="00B80673"/>
    <w:rsid w:val="00B807EF"/>
    <w:rsid w:val="00B80B99"/>
    <w:rsid w:val="00B80C51"/>
    <w:rsid w:val="00B8137F"/>
    <w:rsid w:val="00B81E3D"/>
    <w:rsid w:val="00B8219B"/>
    <w:rsid w:val="00B827FE"/>
    <w:rsid w:val="00B83971"/>
    <w:rsid w:val="00B84BE7"/>
    <w:rsid w:val="00B86883"/>
    <w:rsid w:val="00B86C9E"/>
    <w:rsid w:val="00B87028"/>
    <w:rsid w:val="00B878AB"/>
    <w:rsid w:val="00B87A1F"/>
    <w:rsid w:val="00B87EA2"/>
    <w:rsid w:val="00B90283"/>
    <w:rsid w:val="00B910A2"/>
    <w:rsid w:val="00B9161C"/>
    <w:rsid w:val="00B92927"/>
    <w:rsid w:val="00B92D11"/>
    <w:rsid w:val="00B92E67"/>
    <w:rsid w:val="00B93606"/>
    <w:rsid w:val="00B93A15"/>
    <w:rsid w:val="00B93ECC"/>
    <w:rsid w:val="00B9499E"/>
    <w:rsid w:val="00B94AA4"/>
    <w:rsid w:val="00B95918"/>
    <w:rsid w:val="00B95A74"/>
    <w:rsid w:val="00B95E12"/>
    <w:rsid w:val="00B97261"/>
    <w:rsid w:val="00B9728C"/>
    <w:rsid w:val="00B97321"/>
    <w:rsid w:val="00BA1606"/>
    <w:rsid w:val="00BA26DD"/>
    <w:rsid w:val="00BA2EFA"/>
    <w:rsid w:val="00BA2FF5"/>
    <w:rsid w:val="00BA309B"/>
    <w:rsid w:val="00BA30AB"/>
    <w:rsid w:val="00BA3F85"/>
    <w:rsid w:val="00BA403C"/>
    <w:rsid w:val="00BA43E9"/>
    <w:rsid w:val="00BA4520"/>
    <w:rsid w:val="00BA4933"/>
    <w:rsid w:val="00BA49C7"/>
    <w:rsid w:val="00BA5A8D"/>
    <w:rsid w:val="00BA5B51"/>
    <w:rsid w:val="00BA5E85"/>
    <w:rsid w:val="00BA5F2E"/>
    <w:rsid w:val="00BA6053"/>
    <w:rsid w:val="00BA64D8"/>
    <w:rsid w:val="00BA7694"/>
    <w:rsid w:val="00BA76AC"/>
    <w:rsid w:val="00BA7799"/>
    <w:rsid w:val="00BB0DE5"/>
    <w:rsid w:val="00BB0F5F"/>
    <w:rsid w:val="00BB1825"/>
    <w:rsid w:val="00BB1F06"/>
    <w:rsid w:val="00BB2CDA"/>
    <w:rsid w:val="00BB3BD0"/>
    <w:rsid w:val="00BB3EA3"/>
    <w:rsid w:val="00BB3FD8"/>
    <w:rsid w:val="00BB48C6"/>
    <w:rsid w:val="00BB4E23"/>
    <w:rsid w:val="00BB5A98"/>
    <w:rsid w:val="00BB5C9F"/>
    <w:rsid w:val="00BB6479"/>
    <w:rsid w:val="00BB651F"/>
    <w:rsid w:val="00BC004B"/>
    <w:rsid w:val="00BC01A2"/>
    <w:rsid w:val="00BC1818"/>
    <w:rsid w:val="00BC1CC0"/>
    <w:rsid w:val="00BC1ED8"/>
    <w:rsid w:val="00BC1F47"/>
    <w:rsid w:val="00BC240D"/>
    <w:rsid w:val="00BC2C5F"/>
    <w:rsid w:val="00BC355B"/>
    <w:rsid w:val="00BC3C42"/>
    <w:rsid w:val="00BC56BA"/>
    <w:rsid w:val="00BC58F4"/>
    <w:rsid w:val="00BC59EB"/>
    <w:rsid w:val="00BC5BF1"/>
    <w:rsid w:val="00BC68E9"/>
    <w:rsid w:val="00BC7331"/>
    <w:rsid w:val="00BC7557"/>
    <w:rsid w:val="00BC793A"/>
    <w:rsid w:val="00BD00C1"/>
    <w:rsid w:val="00BD0165"/>
    <w:rsid w:val="00BD0484"/>
    <w:rsid w:val="00BD0E46"/>
    <w:rsid w:val="00BD10E0"/>
    <w:rsid w:val="00BD2345"/>
    <w:rsid w:val="00BD2DA9"/>
    <w:rsid w:val="00BD3CE5"/>
    <w:rsid w:val="00BD3DE7"/>
    <w:rsid w:val="00BD4B6D"/>
    <w:rsid w:val="00BD4F9A"/>
    <w:rsid w:val="00BD5764"/>
    <w:rsid w:val="00BD5954"/>
    <w:rsid w:val="00BD5AD6"/>
    <w:rsid w:val="00BD5CC9"/>
    <w:rsid w:val="00BD5D95"/>
    <w:rsid w:val="00BD678C"/>
    <w:rsid w:val="00BD6C21"/>
    <w:rsid w:val="00BD6DC5"/>
    <w:rsid w:val="00BD6F90"/>
    <w:rsid w:val="00BD788E"/>
    <w:rsid w:val="00BD7FC1"/>
    <w:rsid w:val="00BE06E8"/>
    <w:rsid w:val="00BE08A5"/>
    <w:rsid w:val="00BE1191"/>
    <w:rsid w:val="00BE2496"/>
    <w:rsid w:val="00BE2808"/>
    <w:rsid w:val="00BE2D33"/>
    <w:rsid w:val="00BE306A"/>
    <w:rsid w:val="00BE314B"/>
    <w:rsid w:val="00BE3911"/>
    <w:rsid w:val="00BE3B5D"/>
    <w:rsid w:val="00BE3C1B"/>
    <w:rsid w:val="00BE3DDC"/>
    <w:rsid w:val="00BE4498"/>
    <w:rsid w:val="00BE4C1C"/>
    <w:rsid w:val="00BE4FE3"/>
    <w:rsid w:val="00BE5348"/>
    <w:rsid w:val="00BE60A5"/>
    <w:rsid w:val="00BE6103"/>
    <w:rsid w:val="00BE67DD"/>
    <w:rsid w:val="00BE6D20"/>
    <w:rsid w:val="00BF01B6"/>
    <w:rsid w:val="00BF08EC"/>
    <w:rsid w:val="00BF0C4A"/>
    <w:rsid w:val="00BF0CC3"/>
    <w:rsid w:val="00BF0E3E"/>
    <w:rsid w:val="00BF19FD"/>
    <w:rsid w:val="00BF1BB6"/>
    <w:rsid w:val="00BF1C10"/>
    <w:rsid w:val="00BF24D2"/>
    <w:rsid w:val="00BF2BAD"/>
    <w:rsid w:val="00BF2D29"/>
    <w:rsid w:val="00BF30E9"/>
    <w:rsid w:val="00BF3210"/>
    <w:rsid w:val="00BF3B6A"/>
    <w:rsid w:val="00BF4AB0"/>
    <w:rsid w:val="00BF5E7E"/>
    <w:rsid w:val="00BF6974"/>
    <w:rsid w:val="00BF6EB3"/>
    <w:rsid w:val="00BF722D"/>
    <w:rsid w:val="00BF768B"/>
    <w:rsid w:val="00BF7795"/>
    <w:rsid w:val="00BF791D"/>
    <w:rsid w:val="00C00340"/>
    <w:rsid w:val="00C0041A"/>
    <w:rsid w:val="00C00F95"/>
    <w:rsid w:val="00C01A42"/>
    <w:rsid w:val="00C01B62"/>
    <w:rsid w:val="00C01F37"/>
    <w:rsid w:val="00C01F92"/>
    <w:rsid w:val="00C0297F"/>
    <w:rsid w:val="00C03495"/>
    <w:rsid w:val="00C03578"/>
    <w:rsid w:val="00C035D8"/>
    <w:rsid w:val="00C037DB"/>
    <w:rsid w:val="00C04E24"/>
    <w:rsid w:val="00C05CFA"/>
    <w:rsid w:val="00C061C0"/>
    <w:rsid w:val="00C0675E"/>
    <w:rsid w:val="00C06F8C"/>
    <w:rsid w:val="00C07AD7"/>
    <w:rsid w:val="00C107F8"/>
    <w:rsid w:val="00C10EBE"/>
    <w:rsid w:val="00C1113A"/>
    <w:rsid w:val="00C11319"/>
    <w:rsid w:val="00C11685"/>
    <w:rsid w:val="00C11EC4"/>
    <w:rsid w:val="00C12130"/>
    <w:rsid w:val="00C1264C"/>
    <w:rsid w:val="00C12BF4"/>
    <w:rsid w:val="00C12FE1"/>
    <w:rsid w:val="00C140CD"/>
    <w:rsid w:val="00C14A2A"/>
    <w:rsid w:val="00C14F74"/>
    <w:rsid w:val="00C14FF0"/>
    <w:rsid w:val="00C15166"/>
    <w:rsid w:val="00C15411"/>
    <w:rsid w:val="00C154EB"/>
    <w:rsid w:val="00C15577"/>
    <w:rsid w:val="00C15FD8"/>
    <w:rsid w:val="00C16035"/>
    <w:rsid w:val="00C164D4"/>
    <w:rsid w:val="00C16BCB"/>
    <w:rsid w:val="00C16FB1"/>
    <w:rsid w:val="00C1763B"/>
    <w:rsid w:val="00C17D26"/>
    <w:rsid w:val="00C17F15"/>
    <w:rsid w:val="00C20DD9"/>
    <w:rsid w:val="00C20EBC"/>
    <w:rsid w:val="00C21269"/>
    <w:rsid w:val="00C215AE"/>
    <w:rsid w:val="00C22386"/>
    <w:rsid w:val="00C22AE8"/>
    <w:rsid w:val="00C23798"/>
    <w:rsid w:val="00C23A05"/>
    <w:rsid w:val="00C248E4"/>
    <w:rsid w:val="00C26BC9"/>
    <w:rsid w:val="00C27062"/>
    <w:rsid w:val="00C276D1"/>
    <w:rsid w:val="00C27932"/>
    <w:rsid w:val="00C27A88"/>
    <w:rsid w:val="00C30023"/>
    <w:rsid w:val="00C3045A"/>
    <w:rsid w:val="00C30722"/>
    <w:rsid w:val="00C310F4"/>
    <w:rsid w:val="00C31750"/>
    <w:rsid w:val="00C31C5A"/>
    <w:rsid w:val="00C33D6E"/>
    <w:rsid w:val="00C33EAF"/>
    <w:rsid w:val="00C33F86"/>
    <w:rsid w:val="00C3460A"/>
    <w:rsid w:val="00C348E8"/>
    <w:rsid w:val="00C378E8"/>
    <w:rsid w:val="00C379BD"/>
    <w:rsid w:val="00C37D76"/>
    <w:rsid w:val="00C37FE2"/>
    <w:rsid w:val="00C40C24"/>
    <w:rsid w:val="00C40DD3"/>
    <w:rsid w:val="00C413D8"/>
    <w:rsid w:val="00C415C7"/>
    <w:rsid w:val="00C419C9"/>
    <w:rsid w:val="00C41C29"/>
    <w:rsid w:val="00C41DBA"/>
    <w:rsid w:val="00C41E82"/>
    <w:rsid w:val="00C42C2D"/>
    <w:rsid w:val="00C437B5"/>
    <w:rsid w:val="00C4406D"/>
    <w:rsid w:val="00C44C52"/>
    <w:rsid w:val="00C453FE"/>
    <w:rsid w:val="00C4578B"/>
    <w:rsid w:val="00C45833"/>
    <w:rsid w:val="00C45C0E"/>
    <w:rsid w:val="00C45CCB"/>
    <w:rsid w:val="00C45DDE"/>
    <w:rsid w:val="00C46B45"/>
    <w:rsid w:val="00C470F8"/>
    <w:rsid w:val="00C4743C"/>
    <w:rsid w:val="00C47D08"/>
    <w:rsid w:val="00C50D88"/>
    <w:rsid w:val="00C51857"/>
    <w:rsid w:val="00C51F43"/>
    <w:rsid w:val="00C528AE"/>
    <w:rsid w:val="00C53419"/>
    <w:rsid w:val="00C53D61"/>
    <w:rsid w:val="00C5437B"/>
    <w:rsid w:val="00C54503"/>
    <w:rsid w:val="00C54637"/>
    <w:rsid w:val="00C54A3B"/>
    <w:rsid w:val="00C55120"/>
    <w:rsid w:val="00C55BB3"/>
    <w:rsid w:val="00C56358"/>
    <w:rsid w:val="00C571E6"/>
    <w:rsid w:val="00C5765C"/>
    <w:rsid w:val="00C57759"/>
    <w:rsid w:val="00C57D0D"/>
    <w:rsid w:val="00C57FAC"/>
    <w:rsid w:val="00C60621"/>
    <w:rsid w:val="00C6092E"/>
    <w:rsid w:val="00C60C1A"/>
    <w:rsid w:val="00C61075"/>
    <w:rsid w:val="00C617AE"/>
    <w:rsid w:val="00C62866"/>
    <w:rsid w:val="00C63C1F"/>
    <w:rsid w:val="00C65750"/>
    <w:rsid w:val="00C66024"/>
    <w:rsid w:val="00C664A6"/>
    <w:rsid w:val="00C6685B"/>
    <w:rsid w:val="00C668F8"/>
    <w:rsid w:val="00C67956"/>
    <w:rsid w:val="00C71A16"/>
    <w:rsid w:val="00C72652"/>
    <w:rsid w:val="00C727A5"/>
    <w:rsid w:val="00C72D19"/>
    <w:rsid w:val="00C73ADF"/>
    <w:rsid w:val="00C743B8"/>
    <w:rsid w:val="00C7445C"/>
    <w:rsid w:val="00C74E23"/>
    <w:rsid w:val="00C74F73"/>
    <w:rsid w:val="00C74FDB"/>
    <w:rsid w:val="00C75EFE"/>
    <w:rsid w:val="00C7725C"/>
    <w:rsid w:val="00C77911"/>
    <w:rsid w:val="00C77D3C"/>
    <w:rsid w:val="00C77D95"/>
    <w:rsid w:val="00C805FF"/>
    <w:rsid w:val="00C815DE"/>
    <w:rsid w:val="00C81DCD"/>
    <w:rsid w:val="00C82094"/>
    <w:rsid w:val="00C83631"/>
    <w:rsid w:val="00C83905"/>
    <w:rsid w:val="00C85B1A"/>
    <w:rsid w:val="00C85E23"/>
    <w:rsid w:val="00C87028"/>
    <w:rsid w:val="00C878B9"/>
    <w:rsid w:val="00C87D63"/>
    <w:rsid w:val="00C91319"/>
    <w:rsid w:val="00C92BBA"/>
    <w:rsid w:val="00C941C2"/>
    <w:rsid w:val="00C94211"/>
    <w:rsid w:val="00C94A45"/>
    <w:rsid w:val="00C955EB"/>
    <w:rsid w:val="00C95D31"/>
    <w:rsid w:val="00C95E9F"/>
    <w:rsid w:val="00C962FA"/>
    <w:rsid w:val="00C96379"/>
    <w:rsid w:val="00C97238"/>
    <w:rsid w:val="00C97532"/>
    <w:rsid w:val="00C97879"/>
    <w:rsid w:val="00C97C0F"/>
    <w:rsid w:val="00CA0466"/>
    <w:rsid w:val="00CA1A63"/>
    <w:rsid w:val="00CA1D13"/>
    <w:rsid w:val="00CA1E8D"/>
    <w:rsid w:val="00CA1F88"/>
    <w:rsid w:val="00CA27F7"/>
    <w:rsid w:val="00CA30F2"/>
    <w:rsid w:val="00CA3F03"/>
    <w:rsid w:val="00CA41A5"/>
    <w:rsid w:val="00CA4346"/>
    <w:rsid w:val="00CA5342"/>
    <w:rsid w:val="00CA535D"/>
    <w:rsid w:val="00CA56E6"/>
    <w:rsid w:val="00CA5730"/>
    <w:rsid w:val="00CA7137"/>
    <w:rsid w:val="00CA7440"/>
    <w:rsid w:val="00CB0439"/>
    <w:rsid w:val="00CB0CC8"/>
    <w:rsid w:val="00CB0E4A"/>
    <w:rsid w:val="00CB13C4"/>
    <w:rsid w:val="00CB1561"/>
    <w:rsid w:val="00CB205C"/>
    <w:rsid w:val="00CB20D4"/>
    <w:rsid w:val="00CB2938"/>
    <w:rsid w:val="00CB29F3"/>
    <w:rsid w:val="00CB36B6"/>
    <w:rsid w:val="00CB4D08"/>
    <w:rsid w:val="00CB510E"/>
    <w:rsid w:val="00CB54DF"/>
    <w:rsid w:val="00CB5F41"/>
    <w:rsid w:val="00CB6233"/>
    <w:rsid w:val="00CB643C"/>
    <w:rsid w:val="00CB68A5"/>
    <w:rsid w:val="00CB6B92"/>
    <w:rsid w:val="00CB6E5E"/>
    <w:rsid w:val="00CB76F8"/>
    <w:rsid w:val="00CB7838"/>
    <w:rsid w:val="00CB7C5F"/>
    <w:rsid w:val="00CB7CAA"/>
    <w:rsid w:val="00CB7F05"/>
    <w:rsid w:val="00CB7F50"/>
    <w:rsid w:val="00CC0A23"/>
    <w:rsid w:val="00CC1153"/>
    <w:rsid w:val="00CC25ED"/>
    <w:rsid w:val="00CC2F08"/>
    <w:rsid w:val="00CC2F29"/>
    <w:rsid w:val="00CC318C"/>
    <w:rsid w:val="00CC49F7"/>
    <w:rsid w:val="00CC4CA0"/>
    <w:rsid w:val="00CC5FF5"/>
    <w:rsid w:val="00CC66CA"/>
    <w:rsid w:val="00CC7582"/>
    <w:rsid w:val="00CC784D"/>
    <w:rsid w:val="00CC7CAD"/>
    <w:rsid w:val="00CC7EBA"/>
    <w:rsid w:val="00CD03B9"/>
    <w:rsid w:val="00CD05E4"/>
    <w:rsid w:val="00CD19E4"/>
    <w:rsid w:val="00CD20D9"/>
    <w:rsid w:val="00CD25DE"/>
    <w:rsid w:val="00CD2EE1"/>
    <w:rsid w:val="00CD2FCB"/>
    <w:rsid w:val="00CD38F9"/>
    <w:rsid w:val="00CD3CF8"/>
    <w:rsid w:val="00CD47F7"/>
    <w:rsid w:val="00CD4BCF"/>
    <w:rsid w:val="00CD5340"/>
    <w:rsid w:val="00CD55E5"/>
    <w:rsid w:val="00CD59EB"/>
    <w:rsid w:val="00CD6458"/>
    <w:rsid w:val="00CD6B11"/>
    <w:rsid w:val="00CD7001"/>
    <w:rsid w:val="00CD7360"/>
    <w:rsid w:val="00CD753E"/>
    <w:rsid w:val="00CD7576"/>
    <w:rsid w:val="00CD75EA"/>
    <w:rsid w:val="00CD7AA6"/>
    <w:rsid w:val="00CD7E75"/>
    <w:rsid w:val="00CE0267"/>
    <w:rsid w:val="00CE050B"/>
    <w:rsid w:val="00CE0998"/>
    <w:rsid w:val="00CE0E28"/>
    <w:rsid w:val="00CE1713"/>
    <w:rsid w:val="00CE1809"/>
    <w:rsid w:val="00CE1BB6"/>
    <w:rsid w:val="00CE2100"/>
    <w:rsid w:val="00CE2F5D"/>
    <w:rsid w:val="00CE33FB"/>
    <w:rsid w:val="00CE3630"/>
    <w:rsid w:val="00CE3BBE"/>
    <w:rsid w:val="00CE4398"/>
    <w:rsid w:val="00CE45C2"/>
    <w:rsid w:val="00CE48B2"/>
    <w:rsid w:val="00CE4C5E"/>
    <w:rsid w:val="00CE55E6"/>
    <w:rsid w:val="00CE58BF"/>
    <w:rsid w:val="00CE59B4"/>
    <w:rsid w:val="00CE65CF"/>
    <w:rsid w:val="00CF02C7"/>
    <w:rsid w:val="00CF042F"/>
    <w:rsid w:val="00CF0776"/>
    <w:rsid w:val="00CF0C41"/>
    <w:rsid w:val="00CF1766"/>
    <w:rsid w:val="00CF2454"/>
    <w:rsid w:val="00CF2878"/>
    <w:rsid w:val="00CF2DBD"/>
    <w:rsid w:val="00CF2E96"/>
    <w:rsid w:val="00CF2F22"/>
    <w:rsid w:val="00CF36F4"/>
    <w:rsid w:val="00CF3BF9"/>
    <w:rsid w:val="00CF3C07"/>
    <w:rsid w:val="00CF3CE6"/>
    <w:rsid w:val="00CF4885"/>
    <w:rsid w:val="00CF4C45"/>
    <w:rsid w:val="00CF5331"/>
    <w:rsid w:val="00CF6AD9"/>
    <w:rsid w:val="00CF6E64"/>
    <w:rsid w:val="00D01028"/>
    <w:rsid w:val="00D01235"/>
    <w:rsid w:val="00D01A87"/>
    <w:rsid w:val="00D01E15"/>
    <w:rsid w:val="00D022E2"/>
    <w:rsid w:val="00D02932"/>
    <w:rsid w:val="00D02CFD"/>
    <w:rsid w:val="00D02FF5"/>
    <w:rsid w:val="00D036D5"/>
    <w:rsid w:val="00D04DFD"/>
    <w:rsid w:val="00D04FF4"/>
    <w:rsid w:val="00D057EF"/>
    <w:rsid w:val="00D0744F"/>
    <w:rsid w:val="00D074B0"/>
    <w:rsid w:val="00D0768A"/>
    <w:rsid w:val="00D078F9"/>
    <w:rsid w:val="00D1091C"/>
    <w:rsid w:val="00D10A93"/>
    <w:rsid w:val="00D1103A"/>
    <w:rsid w:val="00D11B15"/>
    <w:rsid w:val="00D11C80"/>
    <w:rsid w:val="00D11F41"/>
    <w:rsid w:val="00D122DD"/>
    <w:rsid w:val="00D126B0"/>
    <w:rsid w:val="00D12DC5"/>
    <w:rsid w:val="00D141C9"/>
    <w:rsid w:val="00D14BA0"/>
    <w:rsid w:val="00D151F2"/>
    <w:rsid w:val="00D15981"/>
    <w:rsid w:val="00D15F4F"/>
    <w:rsid w:val="00D165A6"/>
    <w:rsid w:val="00D1694F"/>
    <w:rsid w:val="00D1697A"/>
    <w:rsid w:val="00D16B15"/>
    <w:rsid w:val="00D16F11"/>
    <w:rsid w:val="00D1761E"/>
    <w:rsid w:val="00D20227"/>
    <w:rsid w:val="00D20DC9"/>
    <w:rsid w:val="00D21D17"/>
    <w:rsid w:val="00D22943"/>
    <w:rsid w:val="00D23071"/>
    <w:rsid w:val="00D230CA"/>
    <w:rsid w:val="00D2346D"/>
    <w:rsid w:val="00D24676"/>
    <w:rsid w:val="00D251F4"/>
    <w:rsid w:val="00D25DDC"/>
    <w:rsid w:val="00D26159"/>
    <w:rsid w:val="00D265F4"/>
    <w:rsid w:val="00D26C4C"/>
    <w:rsid w:val="00D27521"/>
    <w:rsid w:val="00D27617"/>
    <w:rsid w:val="00D27751"/>
    <w:rsid w:val="00D27EA4"/>
    <w:rsid w:val="00D30BC7"/>
    <w:rsid w:val="00D31A64"/>
    <w:rsid w:val="00D31B73"/>
    <w:rsid w:val="00D31CDB"/>
    <w:rsid w:val="00D32771"/>
    <w:rsid w:val="00D334AD"/>
    <w:rsid w:val="00D33E96"/>
    <w:rsid w:val="00D33F32"/>
    <w:rsid w:val="00D34342"/>
    <w:rsid w:val="00D347AD"/>
    <w:rsid w:val="00D34CC4"/>
    <w:rsid w:val="00D35A98"/>
    <w:rsid w:val="00D363C1"/>
    <w:rsid w:val="00D36408"/>
    <w:rsid w:val="00D36A2E"/>
    <w:rsid w:val="00D36B4F"/>
    <w:rsid w:val="00D36C72"/>
    <w:rsid w:val="00D37090"/>
    <w:rsid w:val="00D37A91"/>
    <w:rsid w:val="00D37C8C"/>
    <w:rsid w:val="00D37F4A"/>
    <w:rsid w:val="00D402CA"/>
    <w:rsid w:val="00D40D70"/>
    <w:rsid w:val="00D41400"/>
    <w:rsid w:val="00D41820"/>
    <w:rsid w:val="00D4246E"/>
    <w:rsid w:val="00D42A55"/>
    <w:rsid w:val="00D435A0"/>
    <w:rsid w:val="00D44196"/>
    <w:rsid w:val="00D44463"/>
    <w:rsid w:val="00D44E55"/>
    <w:rsid w:val="00D45197"/>
    <w:rsid w:val="00D452C1"/>
    <w:rsid w:val="00D461B2"/>
    <w:rsid w:val="00D461F9"/>
    <w:rsid w:val="00D465E1"/>
    <w:rsid w:val="00D46EB3"/>
    <w:rsid w:val="00D474B8"/>
    <w:rsid w:val="00D47966"/>
    <w:rsid w:val="00D47A31"/>
    <w:rsid w:val="00D50F9E"/>
    <w:rsid w:val="00D511BA"/>
    <w:rsid w:val="00D5136B"/>
    <w:rsid w:val="00D518CE"/>
    <w:rsid w:val="00D51F95"/>
    <w:rsid w:val="00D527D3"/>
    <w:rsid w:val="00D52844"/>
    <w:rsid w:val="00D53045"/>
    <w:rsid w:val="00D53983"/>
    <w:rsid w:val="00D542AC"/>
    <w:rsid w:val="00D542FD"/>
    <w:rsid w:val="00D5587E"/>
    <w:rsid w:val="00D56559"/>
    <w:rsid w:val="00D56C0C"/>
    <w:rsid w:val="00D57B0D"/>
    <w:rsid w:val="00D57CBF"/>
    <w:rsid w:val="00D57CFB"/>
    <w:rsid w:val="00D6005E"/>
    <w:rsid w:val="00D60179"/>
    <w:rsid w:val="00D604F1"/>
    <w:rsid w:val="00D60DF5"/>
    <w:rsid w:val="00D6241C"/>
    <w:rsid w:val="00D62CB0"/>
    <w:rsid w:val="00D63889"/>
    <w:rsid w:val="00D649E4"/>
    <w:rsid w:val="00D64ECC"/>
    <w:rsid w:val="00D652B6"/>
    <w:rsid w:val="00D65355"/>
    <w:rsid w:val="00D669A7"/>
    <w:rsid w:val="00D66E6B"/>
    <w:rsid w:val="00D67425"/>
    <w:rsid w:val="00D67CFB"/>
    <w:rsid w:val="00D700D7"/>
    <w:rsid w:val="00D7033E"/>
    <w:rsid w:val="00D70FCA"/>
    <w:rsid w:val="00D71C43"/>
    <w:rsid w:val="00D72630"/>
    <w:rsid w:val="00D727A4"/>
    <w:rsid w:val="00D72B5A"/>
    <w:rsid w:val="00D72EB2"/>
    <w:rsid w:val="00D72F8B"/>
    <w:rsid w:val="00D731E3"/>
    <w:rsid w:val="00D73946"/>
    <w:rsid w:val="00D73E8C"/>
    <w:rsid w:val="00D74989"/>
    <w:rsid w:val="00D74CCC"/>
    <w:rsid w:val="00D75E67"/>
    <w:rsid w:val="00D76242"/>
    <w:rsid w:val="00D76258"/>
    <w:rsid w:val="00D76439"/>
    <w:rsid w:val="00D769C2"/>
    <w:rsid w:val="00D77495"/>
    <w:rsid w:val="00D77724"/>
    <w:rsid w:val="00D779A8"/>
    <w:rsid w:val="00D80470"/>
    <w:rsid w:val="00D804E8"/>
    <w:rsid w:val="00D80745"/>
    <w:rsid w:val="00D80B7D"/>
    <w:rsid w:val="00D8165A"/>
    <w:rsid w:val="00D81721"/>
    <w:rsid w:val="00D82EF4"/>
    <w:rsid w:val="00D83917"/>
    <w:rsid w:val="00D83BF7"/>
    <w:rsid w:val="00D83E43"/>
    <w:rsid w:val="00D84497"/>
    <w:rsid w:val="00D84F3F"/>
    <w:rsid w:val="00D85046"/>
    <w:rsid w:val="00D8581C"/>
    <w:rsid w:val="00D85EAD"/>
    <w:rsid w:val="00D85FE4"/>
    <w:rsid w:val="00D8659F"/>
    <w:rsid w:val="00D87639"/>
    <w:rsid w:val="00D8779E"/>
    <w:rsid w:val="00D87BEB"/>
    <w:rsid w:val="00D903A7"/>
    <w:rsid w:val="00D90504"/>
    <w:rsid w:val="00D90573"/>
    <w:rsid w:val="00D90C46"/>
    <w:rsid w:val="00D915AE"/>
    <w:rsid w:val="00D91ED2"/>
    <w:rsid w:val="00D922BD"/>
    <w:rsid w:val="00D92889"/>
    <w:rsid w:val="00D92E5A"/>
    <w:rsid w:val="00D936F9"/>
    <w:rsid w:val="00D93882"/>
    <w:rsid w:val="00D93A0A"/>
    <w:rsid w:val="00D93D94"/>
    <w:rsid w:val="00D94C41"/>
    <w:rsid w:val="00D94F48"/>
    <w:rsid w:val="00D9551B"/>
    <w:rsid w:val="00D95C3C"/>
    <w:rsid w:val="00D95F65"/>
    <w:rsid w:val="00D96FE2"/>
    <w:rsid w:val="00D973EC"/>
    <w:rsid w:val="00D979E0"/>
    <w:rsid w:val="00DA11EE"/>
    <w:rsid w:val="00DA21B5"/>
    <w:rsid w:val="00DA2D3D"/>
    <w:rsid w:val="00DA3606"/>
    <w:rsid w:val="00DA420B"/>
    <w:rsid w:val="00DA483D"/>
    <w:rsid w:val="00DA4ED6"/>
    <w:rsid w:val="00DA5114"/>
    <w:rsid w:val="00DA5CEE"/>
    <w:rsid w:val="00DA5E7F"/>
    <w:rsid w:val="00DA5F3E"/>
    <w:rsid w:val="00DA630A"/>
    <w:rsid w:val="00DA6B4C"/>
    <w:rsid w:val="00DA6DD0"/>
    <w:rsid w:val="00DA6FA2"/>
    <w:rsid w:val="00DA776C"/>
    <w:rsid w:val="00DA7FE5"/>
    <w:rsid w:val="00DB005C"/>
    <w:rsid w:val="00DB0491"/>
    <w:rsid w:val="00DB0F36"/>
    <w:rsid w:val="00DB0FA8"/>
    <w:rsid w:val="00DB0FFE"/>
    <w:rsid w:val="00DB18D5"/>
    <w:rsid w:val="00DB2FC1"/>
    <w:rsid w:val="00DB3046"/>
    <w:rsid w:val="00DB3C57"/>
    <w:rsid w:val="00DB466A"/>
    <w:rsid w:val="00DB4D37"/>
    <w:rsid w:val="00DB4FEF"/>
    <w:rsid w:val="00DB51D8"/>
    <w:rsid w:val="00DB5494"/>
    <w:rsid w:val="00DB74E4"/>
    <w:rsid w:val="00DC02E9"/>
    <w:rsid w:val="00DC082A"/>
    <w:rsid w:val="00DC11DC"/>
    <w:rsid w:val="00DC16BA"/>
    <w:rsid w:val="00DC16CB"/>
    <w:rsid w:val="00DC1EC7"/>
    <w:rsid w:val="00DC2AF7"/>
    <w:rsid w:val="00DC2BA9"/>
    <w:rsid w:val="00DC33A9"/>
    <w:rsid w:val="00DC36D0"/>
    <w:rsid w:val="00DC4582"/>
    <w:rsid w:val="00DC4897"/>
    <w:rsid w:val="00DC4B85"/>
    <w:rsid w:val="00DC61A5"/>
    <w:rsid w:val="00DC7973"/>
    <w:rsid w:val="00DC7CE2"/>
    <w:rsid w:val="00DC7D7B"/>
    <w:rsid w:val="00DC7F55"/>
    <w:rsid w:val="00DD0211"/>
    <w:rsid w:val="00DD128F"/>
    <w:rsid w:val="00DD1BD6"/>
    <w:rsid w:val="00DD36AB"/>
    <w:rsid w:val="00DD3894"/>
    <w:rsid w:val="00DD3B0E"/>
    <w:rsid w:val="00DD3D6D"/>
    <w:rsid w:val="00DD48B9"/>
    <w:rsid w:val="00DD4953"/>
    <w:rsid w:val="00DD4EC6"/>
    <w:rsid w:val="00DD5B1C"/>
    <w:rsid w:val="00DD5B75"/>
    <w:rsid w:val="00DD5C48"/>
    <w:rsid w:val="00DD6E3C"/>
    <w:rsid w:val="00DD6F0E"/>
    <w:rsid w:val="00DD7979"/>
    <w:rsid w:val="00DD7D82"/>
    <w:rsid w:val="00DE037E"/>
    <w:rsid w:val="00DE08CA"/>
    <w:rsid w:val="00DE11CB"/>
    <w:rsid w:val="00DE1752"/>
    <w:rsid w:val="00DE2414"/>
    <w:rsid w:val="00DE3B6B"/>
    <w:rsid w:val="00DE3DD1"/>
    <w:rsid w:val="00DE4230"/>
    <w:rsid w:val="00DE4CE0"/>
    <w:rsid w:val="00DE53E8"/>
    <w:rsid w:val="00DE69D0"/>
    <w:rsid w:val="00DF0DA5"/>
    <w:rsid w:val="00DF0E79"/>
    <w:rsid w:val="00DF1E71"/>
    <w:rsid w:val="00DF20FF"/>
    <w:rsid w:val="00DF2623"/>
    <w:rsid w:val="00DF28C0"/>
    <w:rsid w:val="00DF2E05"/>
    <w:rsid w:val="00DF4ECA"/>
    <w:rsid w:val="00DF52AB"/>
    <w:rsid w:val="00DF6693"/>
    <w:rsid w:val="00DF6D2A"/>
    <w:rsid w:val="00DF7932"/>
    <w:rsid w:val="00E00198"/>
    <w:rsid w:val="00E00ED7"/>
    <w:rsid w:val="00E00F51"/>
    <w:rsid w:val="00E010C1"/>
    <w:rsid w:val="00E013E7"/>
    <w:rsid w:val="00E01A86"/>
    <w:rsid w:val="00E039FB"/>
    <w:rsid w:val="00E03E18"/>
    <w:rsid w:val="00E03E66"/>
    <w:rsid w:val="00E05DBE"/>
    <w:rsid w:val="00E06632"/>
    <w:rsid w:val="00E06BDE"/>
    <w:rsid w:val="00E07CAE"/>
    <w:rsid w:val="00E106E4"/>
    <w:rsid w:val="00E10C00"/>
    <w:rsid w:val="00E11E3B"/>
    <w:rsid w:val="00E11E7D"/>
    <w:rsid w:val="00E13277"/>
    <w:rsid w:val="00E134EC"/>
    <w:rsid w:val="00E13ACB"/>
    <w:rsid w:val="00E1433F"/>
    <w:rsid w:val="00E14397"/>
    <w:rsid w:val="00E169A8"/>
    <w:rsid w:val="00E16AB9"/>
    <w:rsid w:val="00E16B93"/>
    <w:rsid w:val="00E16E7B"/>
    <w:rsid w:val="00E17979"/>
    <w:rsid w:val="00E205FD"/>
    <w:rsid w:val="00E208F5"/>
    <w:rsid w:val="00E21304"/>
    <w:rsid w:val="00E21581"/>
    <w:rsid w:val="00E21600"/>
    <w:rsid w:val="00E21932"/>
    <w:rsid w:val="00E21F32"/>
    <w:rsid w:val="00E21FCB"/>
    <w:rsid w:val="00E2202E"/>
    <w:rsid w:val="00E223EB"/>
    <w:rsid w:val="00E2252F"/>
    <w:rsid w:val="00E23624"/>
    <w:rsid w:val="00E23625"/>
    <w:rsid w:val="00E239BA"/>
    <w:rsid w:val="00E23D4E"/>
    <w:rsid w:val="00E23F19"/>
    <w:rsid w:val="00E25467"/>
    <w:rsid w:val="00E25AAD"/>
    <w:rsid w:val="00E25CC0"/>
    <w:rsid w:val="00E26151"/>
    <w:rsid w:val="00E26625"/>
    <w:rsid w:val="00E266B9"/>
    <w:rsid w:val="00E267B9"/>
    <w:rsid w:val="00E2699B"/>
    <w:rsid w:val="00E26E78"/>
    <w:rsid w:val="00E2751C"/>
    <w:rsid w:val="00E275ED"/>
    <w:rsid w:val="00E27B07"/>
    <w:rsid w:val="00E301CD"/>
    <w:rsid w:val="00E30425"/>
    <w:rsid w:val="00E315D1"/>
    <w:rsid w:val="00E32853"/>
    <w:rsid w:val="00E32DFF"/>
    <w:rsid w:val="00E33272"/>
    <w:rsid w:val="00E33697"/>
    <w:rsid w:val="00E338FF"/>
    <w:rsid w:val="00E33ED8"/>
    <w:rsid w:val="00E3458A"/>
    <w:rsid w:val="00E34E50"/>
    <w:rsid w:val="00E35C4F"/>
    <w:rsid w:val="00E366B3"/>
    <w:rsid w:val="00E371B2"/>
    <w:rsid w:val="00E40809"/>
    <w:rsid w:val="00E4169D"/>
    <w:rsid w:val="00E41C37"/>
    <w:rsid w:val="00E423A1"/>
    <w:rsid w:val="00E43B56"/>
    <w:rsid w:val="00E440DD"/>
    <w:rsid w:val="00E44CE2"/>
    <w:rsid w:val="00E44EFC"/>
    <w:rsid w:val="00E451ED"/>
    <w:rsid w:val="00E456DD"/>
    <w:rsid w:val="00E46525"/>
    <w:rsid w:val="00E466D1"/>
    <w:rsid w:val="00E46BED"/>
    <w:rsid w:val="00E470B3"/>
    <w:rsid w:val="00E47230"/>
    <w:rsid w:val="00E47240"/>
    <w:rsid w:val="00E475DA"/>
    <w:rsid w:val="00E477E1"/>
    <w:rsid w:val="00E513D7"/>
    <w:rsid w:val="00E514F6"/>
    <w:rsid w:val="00E5166F"/>
    <w:rsid w:val="00E52113"/>
    <w:rsid w:val="00E5237A"/>
    <w:rsid w:val="00E52F70"/>
    <w:rsid w:val="00E53A5C"/>
    <w:rsid w:val="00E542C6"/>
    <w:rsid w:val="00E5441A"/>
    <w:rsid w:val="00E54A90"/>
    <w:rsid w:val="00E55082"/>
    <w:rsid w:val="00E55179"/>
    <w:rsid w:val="00E554A6"/>
    <w:rsid w:val="00E55A31"/>
    <w:rsid w:val="00E56932"/>
    <w:rsid w:val="00E60637"/>
    <w:rsid w:val="00E60D00"/>
    <w:rsid w:val="00E613B1"/>
    <w:rsid w:val="00E614A0"/>
    <w:rsid w:val="00E616AF"/>
    <w:rsid w:val="00E62682"/>
    <w:rsid w:val="00E62840"/>
    <w:rsid w:val="00E62A13"/>
    <w:rsid w:val="00E62C4D"/>
    <w:rsid w:val="00E64282"/>
    <w:rsid w:val="00E649A6"/>
    <w:rsid w:val="00E64FA8"/>
    <w:rsid w:val="00E65530"/>
    <w:rsid w:val="00E65A6F"/>
    <w:rsid w:val="00E66BD6"/>
    <w:rsid w:val="00E671E4"/>
    <w:rsid w:val="00E673F6"/>
    <w:rsid w:val="00E6794D"/>
    <w:rsid w:val="00E70276"/>
    <w:rsid w:val="00E7069A"/>
    <w:rsid w:val="00E71235"/>
    <w:rsid w:val="00E71661"/>
    <w:rsid w:val="00E719FC"/>
    <w:rsid w:val="00E728A7"/>
    <w:rsid w:val="00E7297E"/>
    <w:rsid w:val="00E74377"/>
    <w:rsid w:val="00E744C7"/>
    <w:rsid w:val="00E74888"/>
    <w:rsid w:val="00E74912"/>
    <w:rsid w:val="00E74A2D"/>
    <w:rsid w:val="00E74B9F"/>
    <w:rsid w:val="00E75C95"/>
    <w:rsid w:val="00E76574"/>
    <w:rsid w:val="00E769E6"/>
    <w:rsid w:val="00E76C1E"/>
    <w:rsid w:val="00E777A1"/>
    <w:rsid w:val="00E77936"/>
    <w:rsid w:val="00E77C20"/>
    <w:rsid w:val="00E81074"/>
    <w:rsid w:val="00E813B2"/>
    <w:rsid w:val="00E8140B"/>
    <w:rsid w:val="00E8153C"/>
    <w:rsid w:val="00E81CE7"/>
    <w:rsid w:val="00E823E8"/>
    <w:rsid w:val="00E826C5"/>
    <w:rsid w:val="00E8301E"/>
    <w:rsid w:val="00E83955"/>
    <w:rsid w:val="00E841AE"/>
    <w:rsid w:val="00E84A52"/>
    <w:rsid w:val="00E84D6B"/>
    <w:rsid w:val="00E850FD"/>
    <w:rsid w:val="00E87673"/>
    <w:rsid w:val="00E87BCB"/>
    <w:rsid w:val="00E87C5F"/>
    <w:rsid w:val="00E90519"/>
    <w:rsid w:val="00E909C4"/>
    <w:rsid w:val="00E9102D"/>
    <w:rsid w:val="00E9254A"/>
    <w:rsid w:val="00E928B4"/>
    <w:rsid w:val="00E93020"/>
    <w:rsid w:val="00E93648"/>
    <w:rsid w:val="00E9461F"/>
    <w:rsid w:val="00E954AD"/>
    <w:rsid w:val="00E95C80"/>
    <w:rsid w:val="00E95F28"/>
    <w:rsid w:val="00E9627D"/>
    <w:rsid w:val="00E96E61"/>
    <w:rsid w:val="00E972A3"/>
    <w:rsid w:val="00E97DA9"/>
    <w:rsid w:val="00EA1380"/>
    <w:rsid w:val="00EA17E1"/>
    <w:rsid w:val="00EA1B7F"/>
    <w:rsid w:val="00EA236C"/>
    <w:rsid w:val="00EA23C2"/>
    <w:rsid w:val="00EA26E8"/>
    <w:rsid w:val="00EA2AF1"/>
    <w:rsid w:val="00EA2D28"/>
    <w:rsid w:val="00EA41DB"/>
    <w:rsid w:val="00EA45A9"/>
    <w:rsid w:val="00EA4B86"/>
    <w:rsid w:val="00EA4EAD"/>
    <w:rsid w:val="00EA4FC7"/>
    <w:rsid w:val="00EA555F"/>
    <w:rsid w:val="00EA55FD"/>
    <w:rsid w:val="00EA59BA"/>
    <w:rsid w:val="00EA5BC1"/>
    <w:rsid w:val="00EA6568"/>
    <w:rsid w:val="00EA6884"/>
    <w:rsid w:val="00EA6CEF"/>
    <w:rsid w:val="00EA72B0"/>
    <w:rsid w:val="00EA72F7"/>
    <w:rsid w:val="00EA743B"/>
    <w:rsid w:val="00EA76F7"/>
    <w:rsid w:val="00EB0392"/>
    <w:rsid w:val="00EB09EB"/>
    <w:rsid w:val="00EB0AA3"/>
    <w:rsid w:val="00EB0F22"/>
    <w:rsid w:val="00EB11E8"/>
    <w:rsid w:val="00EB12B4"/>
    <w:rsid w:val="00EB170E"/>
    <w:rsid w:val="00EB1CB9"/>
    <w:rsid w:val="00EB2250"/>
    <w:rsid w:val="00EB2687"/>
    <w:rsid w:val="00EB2C1F"/>
    <w:rsid w:val="00EB2CBA"/>
    <w:rsid w:val="00EB2F39"/>
    <w:rsid w:val="00EB3307"/>
    <w:rsid w:val="00EB38FB"/>
    <w:rsid w:val="00EB399B"/>
    <w:rsid w:val="00EB3D37"/>
    <w:rsid w:val="00EB3D7A"/>
    <w:rsid w:val="00EB3F30"/>
    <w:rsid w:val="00EB4315"/>
    <w:rsid w:val="00EB55FB"/>
    <w:rsid w:val="00EB69F7"/>
    <w:rsid w:val="00EB6C16"/>
    <w:rsid w:val="00EB70DF"/>
    <w:rsid w:val="00EC00E4"/>
    <w:rsid w:val="00EC0244"/>
    <w:rsid w:val="00EC0719"/>
    <w:rsid w:val="00EC0B55"/>
    <w:rsid w:val="00EC1540"/>
    <w:rsid w:val="00EC1A4A"/>
    <w:rsid w:val="00EC285B"/>
    <w:rsid w:val="00EC29A8"/>
    <w:rsid w:val="00EC2E7B"/>
    <w:rsid w:val="00EC3433"/>
    <w:rsid w:val="00EC390C"/>
    <w:rsid w:val="00EC6079"/>
    <w:rsid w:val="00EC616C"/>
    <w:rsid w:val="00EC64C8"/>
    <w:rsid w:val="00EC70EB"/>
    <w:rsid w:val="00EC715E"/>
    <w:rsid w:val="00EC790B"/>
    <w:rsid w:val="00ED0B22"/>
    <w:rsid w:val="00ED2080"/>
    <w:rsid w:val="00ED26E0"/>
    <w:rsid w:val="00ED2A5E"/>
    <w:rsid w:val="00ED2AD2"/>
    <w:rsid w:val="00ED36A6"/>
    <w:rsid w:val="00ED45AC"/>
    <w:rsid w:val="00ED515B"/>
    <w:rsid w:val="00ED6DA4"/>
    <w:rsid w:val="00ED7769"/>
    <w:rsid w:val="00ED7AC2"/>
    <w:rsid w:val="00ED7B21"/>
    <w:rsid w:val="00ED7BC0"/>
    <w:rsid w:val="00EE0463"/>
    <w:rsid w:val="00EE0525"/>
    <w:rsid w:val="00EE05BE"/>
    <w:rsid w:val="00EE06D5"/>
    <w:rsid w:val="00EE0A71"/>
    <w:rsid w:val="00EE230D"/>
    <w:rsid w:val="00EE25D5"/>
    <w:rsid w:val="00EE2F34"/>
    <w:rsid w:val="00EE3E88"/>
    <w:rsid w:val="00EE43A1"/>
    <w:rsid w:val="00EE43AF"/>
    <w:rsid w:val="00EE4510"/>
    <w:rsid w:val="00EE47BD"/>
    <w:rsid w:val="00EF0851"/>
    <w:rsid w:val="00EF0E57"/>
    <w:rsid w:val="00EF19DD"/>
    <w:rsid w:val="00EF1D9C"/>
    <w:rsid w:val="00EF1DF5"/>
    <w:rsid w:val="00EF233D"/>
    <w:rsid w:val="00EF2E65"/>
    <w:rsid w:val="00EF4128"/>
    <w:rsid w:val="00EF46FE"/>
    <w:rsid w:val="00EF4A61"/>
    <w:rsid w:val="00EF502B"/>
    <w:rsid w:val="00EF558A"/>
    <w:rsid w:val="00EF6DE3"/>
    <w:rsid w:val="00EF7504"/>
    <w:rsid w:val="00EF76B4"/>
    <w:rsid w:val="00EF7874"/>
    <w:rsid w:val="00EF78BF"/>
    <w:rsid w:val="00EF7A78"/>
    <w:rsid w:val="00F0051C"/>
    <w:rsid w:val="00F0247A"/>
    <w:rsid w:val="00F02D20"/>
    <w:rsid w:val="00F03220"/>
    <w:rsid w:val="00F03325"/>
    <w:rsid w:val="00F03591"/>
    <w:rsid w:val="00F036D7"/>
    <w:rsid w:val="00F0382B"/>
    <w:rsid w:val="00F03F46"/>
    <w:rsid w:val="00F0472E"/>
    <w:rsid w:val="00F05890"/>
    <w:rsid w:val="00F05AA7"/>
    <w:rsid w:val="00F05E86"/>
    <w:rsid w:val="00F069C8"/>
    <w:rsid w:val="00F0796F"/>
    <w:rsid w:val="00F07E8B"/>
    <w:rsid w:val="00F104BB"/>
    <w:rsid w:val="00F10A5F"/>
    <w:rsid w:val="00F11606"/>
    <w:rsid w:val="00F119CD"/>
    <w:rsid w:val="00F120AE"/>
    <w:rsid w:val="00F1210E"/>
    <w:rsid w:val="00F13CE8"/>
    <w:rsid w:val="00F14FF7"/>
    <w:rsid w:val="00F1589B"/>
    <w:rsid w:val="00F15D57"/>
    <w:rsid w:val="00F164E7"/>
    <w:rsid w:val="00F166D4"/>
    <w:rsid w:val="00F16B8C"/>
    <w:rsid w:val="00F17549"/>
    <w:rsid w:val="00F1780C"/>
    <w:rsid w:val="00F209E9"/>
    <w:rsid w:val="00F20E95"/>
    <w:rsid w:val="00F2233C"/>
    <w:rsid w:val="00F22A5D"/>
    <w:rsid w:val="00F22D32"/>
    <w:rsid w:val="00F234D1"/>
    <w:rsid w:val="00F246F7"/>
    <w:rsid w:val="00F24B0B"/>
    <w:rsid w:val="00F24D6B"/>
    <w:rsid w:val="00F25217"/>
    <w:rsid w:val="00F2574F"/>
    <w:rsid w:val="00F25DCF"/>
    <w:rsid w:val="00F25FFD"/>
    <w:rsid w:val="00F262A4"/>
    <w:rsid w:val="00F27A30"/>
    <w:rsid w:val="00F308BF"/>
    <w:rsid w:val="00F3115B"/>
    <w:rsid w:val="00F32B7E"/>
    <w:rsid w:val="00F33383"/>
    <w:rsid w:val="00F3411D"/>
    <w:rsid w:val="00F343F5"/>
    <w:rsid w:val="00F349C9"/>
    <w:rsid w:val="00F34A21"/>
    <w:rsid w:val="00F34B98"/>
    <w:rsid w:val="00F36DB2"/>
    <w:rsid w:val="00F37495"/>
    <w:rsid w:val="00F37AA6"/>
    <w:rsid w:val="00F40901"/>
    <w:rsid w:val="00F40F56"/>
    <w:rsid w:val="00F4115A"/>
    <w:rsid w:val="00F41549"/>
    <w:rsid w:val="00F417AB"/>
    <w:rsid w:val="00F4250B"/>
    <w:rsid w:val="00F428A8"/>
    <w:rsid w:val="00F4386F"/>
    <w:rsid w:val="00F43C07"/>
    <w:rsid w:val="00F447E0"/>
    <w:rsid w:val="00F45966"/>
    <w:rsid w:val="00F45C48"/>
    <w:rsid w:val="00F472B6"/>
    <w:rsid w:val="00F47B95"/>
    <w:rsid w:val="00F50BE4"/>
    <w:rsid w:val="00F518A7"/>
    <w:rsid w:val="00F51B67"/>
    <w:rsid w:val="00F54393"/>
    <w:rsid w:val="00F54A5B"/>
    <w:rsid w:val="00F54E44"/>
    <w:rsid w:val="00F55B97"/>
    <w:rsid w:val="00F56553"/>
    <w:rsid w:val="00F57AD0"/>
    <w:rsid w:val="00F61053"/>
    <w:rsid w:val="00F61393"/>
    <w:rsid w:val="00F622F5"/>
    <w:rsid w:val="00F62463"/>
    <w:rsid w:val="00F62DF3"/>
    <w:rsid w:val="00F6373D"/>
    <w:rsid w:val="00F63F9F"/>
    <w:rsid w:val="00F64045"/>
    <w:rsid w:val="00F64D25"/>
    <w:rsid w:val="00F65450"/>
    <w:rsid w:val="00F65C42"/>
    <w:rsid w:val="00F67711"/>
    <w:rsid w:val="00F67F4E"/>
    <w:rsid w:val="00F700B3"/>
    <w:rsid w:val="00F70371"/>
    <w:rsid w:val="00F70DE5"/>
    <w:rsid w:val="00F70EDF"/>
    <w:rsid w:val="00F713AF"/>
    <w:rsid w:val="00F715EF"/>
    <w:rsid w:val="00F71A71"/>
    <w:rsid w:val="00F71DF2"/>
    <w:rsid w:val="00F731E9"/>
    <w:rsid w:val="00F73C69"/>
    <w:rsid w:val="00F740BF"/>
    <w:rsid w:val="00F74523"/>
    <w:rsid w:val="00F74708"/>
    <w:rsid w:val="00F74718"/>
    <w:rsid w:val="00F7474F"/>
    <w:rsid w:val="00F74E27"/>
    <w:rsid w:val="00F750A4"/>
    <w:rsid w:val="00F75413"/>
    <w:rsid w:val="00F7564F"/>
    <w:rsid w:val="00F80A67"/>
    <w:rsid w:val="00F81819"/>
    <w:rsid w:val="00F81DCF"/>
    <w:rsid w:val="00F83114"/>
    <w:rsid w:val="00F83520"/>
    <w:rsid w:val="00F83CDF"/>
    <w:rsid w:val="00F84FBA"/>
    <w:rsid w:val="00F852E7"/>
    <w:rsid w:val="00F853A5"/>
    <w:rsid w:val="00F85E59"/>
    <w:rsid w:val="00F86F19"/>
    <w:rsid w:val="00F87824"/>
    <w:rsid w:val="00F9037E"/>
    <w:rsid w:val="00F90510"/>
    <w:rsid w:val="00F914B0"/>
    <w:rsid w:val="00F91C40"/>
    <w:rsid w:val="00F92414"/>
    <w:rsid w:val="00F927EE"/>
    <w:rsid w:val="00F92A16"/>
    <w:rsid w:val="00F939F3"/>
    <w:rsid w:val="00F9455D"/>
    <w:rsid w:val="00F94776"/>
    <w:rsid w:val="00F94F52"/>
    <w:rsid w:val="00F95507"/>
    <w:rsid w:val="00F95534"/>
    <w:rsid w:val="00F958D3"/>
    <w:rsid w:val="00F95A20"/>
    <w:rsid w:val="00F95F9F"/>
    <w:rsid w:val="00F96063"/>
    <w:rsid w:val="00F9648F"/>
    <w:rsid w:val="00F966F7"/>
    <w:rsid w:val="00F972D6"/>
    <w:rsid w:val="00F9780A"/>
    <w:rsid w:val="00FA0A6F"/>
    <w:rsid w:val="00FA172C"/>
    <w:rsid w:val="00FA2715"/>
    <w:rsid w:val="00FA2D19"/>
    <w:rsid w:val="00FA4722"/>
    <w:rsid w:val="00FA4759"/>
    <w:rsid w:val="00FA476D"/>
    <w:rsid w:val="00FA4A34"/>
    <w:rsid w:val="00FA5281"/>
    <w:rsid w:val="00FA5F2D"/>
    <w:rsid w:val="00FA61D2"/>
    <w:rsid w:val="00FA67FF"/>
    <w:rsid w:val="00FA69D9"/>
    <w:rsid w:val="00FA73A4"/>
    <w:rsid w:val="00FA76C8"/>
    <w:rsid w:val="00FA7FA8"/>
    <w:rsid w:val="00FB06EC"/>
    <w:rsid w:val="00FB127D"/>
    <w:rsid w:val="00FB161B"/>
    <w:rsid w:val="00FB1BB0"/>
    <w:rsid w:val="00FB2258"/>
    <w:rsid w:val="00FB24BD"/>
    <w:rsid w:val="00FB33DD"/>
    <w:rsid w:val="00FB3625"/>
    <w:rsid w:val="00FB3B73"/>
    <w:rsid w:val="00FB3B9E"/>
    <w:rsid w:val="00FB402B"/>
    <w:rsid w:val="00FB413D"/>
    <w:rsid w:val="00FB435D"/>
    <w:rsid w:val="00FB46B0"/>
    <w:rsid w:val="00FB4811"/>
    <w:rsid w:val="00FB4904"/>
    <w:rsid w:val="00FB495A"/>
    <w:rsid w:val="00FB4A47"/>
    <w:rsid w:val="00FB4C42"/>
    <w:rsid w:val="00FB541C"/>
    <w:rsid w:val="00FB616D"/>
    <w:rsid w:val="00FB6570"/>
    <w:rsid w:val="00FB6D0C"/>
    <w:rsid w:val="00FB73E3"/>
    <w:rsid w:val="00FB75B1"/>
    <w:rsid w:val="00FC0B82"/>
    <w:rsid w:val="00FC2670"/>
    <w:rsid w:val="00FC2EC7"/>
    <w:rsid w:val="00FC4164"/>
    <w:rsid w:val="00FC4FCC"/>
    <w:rsid w:val="00FC5574"/>
    <w:rsid w:val="00FC59DE"/>
    <w:rsid w:val="00FC6139"/>
    <w:rsid w:val="00FC63D4"/>
    <w:rsid w:val="00FC6750"/>
    <w:rsid w:val="00FC699A"/>
    <w:rsid w:val="00FC6AC8"/>
    <w:rsid w:val="00FC6E15"/>
    <w:rsid w:val="00FC6E45"/>
    <w:rsid w:val="00FC6E9A"/>
    <w:rsid w:val="00FC75EE"/>
    <w:rsid w:val="00FC78F8"/>
    <w:rsid w:val="00FD0098"/>
    <w:rsid w:val="00FD054C"/>
    <w:rsid w:val="00FD0FE8"/>
    <w:rsid w:val="00FD1504"/>
    <w:rsid w:val="00FD1C14"/>
    <w:rsid w:val="00FD234F"/>
    <w:rsid w:val="00FD2581"/>
    <w:rsid w:val="00FD28A0"/>
    <w:rsid w:val="00FD2CC2"/>
    <w:rsid w:val="00FD4D62"/>
    <w:rsid w:val="00FD5DA7"/>
    <w:rsid w:val="00FD5F19"/>
    <w:rsid w:val="00FD6C56"/>
    <w:rsid w:val="00FD74F5"/>
    <w:rsid w:val="00FE0A5D"/>
    <w:rsid w:val="00FE0F45"/>
    <w:rsid w:val="00FE1371"/>
    <w:rsid w:val="00FE15AD"/>
    <w:rsid w:val="00FE16CB"/>
    <w:rsid w:val="00FE189A"/>
    <w:rsid w:val="00FE1BE3"/>
    <w:rsid w:val="00FE213E"/>
    <w:rsid w:val="00FE23B6"/>
    <w:rsid w:val="00FE277F"/>
    <w:rsid w:val="00FE3265"/>
    <w:rsid w:val="00FE33EF"/>
    <w:rsid w:val="00FE3A69"/>
    <w:rsid w:val="00FE3DFD"/>
    <w:rsid w:val="00FE45C2"/>
    <w:rsid w:val="00FE498B"/>
    <w:rsid w:val="00FE5274"/>
    <w:rsid w:val="00FE55EF"/>
    <w:rsid w:val="00FE5AD8"/>
    <w:rsid w:val="00FE647C"/>
    <w:rsid w:val="00FE6EEF"/>
    <w:rsid w:val="00FE716E"/>
    <w:rsid w:val="00FE71B7"/>
    <w:rsid w:val="00FE7AC5"/>
    <w:rsid w:val="00FF055B"/>
    <w:rsid w:val="00FF09D3"/>
    <w:rsid w:val="00FF0C04"/>
    <w:rsid w:val="00FF0CB9"/>
    <w:rsid w:val="00FF171E"/>
    <w:rsid w:val="00FF2E9B"/>
    <w:rsid w:val="00FF424C"/>
    <w:rsid w:val="00FF47B2"/>
    <w:rsid w:val="00FF4F4C"/>
    <w:rsid w:val="00FF559E"/>
    <w:rsid w:val="00FF57DD"/>
    <w:rsid w:val="00FF62FD"/>
    <w:rsid w:val="00FF6399"/>
    <w:rsid w:val="00FF64F5"/>
    <w:rsid w:val="00FF6908"/>
    <w:rsid w:val="00FF6E48"/>
    <w:rsid w:val="00FF6EA9"/>
    <w:rsid w:val="00FF7040"/>
    <w:rsid w:val="00FF7379"/>
    <w:rsid w:val="00FF742B"/>
    <w:rsid w:val="00FF75A7"/>
    <w:rsid w:val="00FF7CB2"/>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6"/>
    </w:rPr>
  </w:style>
  <w:style w:type="paragraph" w:styleId="Heading1">
    <w:name w:val="heading 1"/>
    <w:basedOn w:val="Normal"/>
    <w:next w:val="standard"/>
    <w:qFormat/>
    <w:pPr>
      <w:keepNext/>
      <w:spacing w:after="120"/>
      <w:outlineLvl w:val="0"/>
    </w:pPr>
    <w:rPr>
      <w:rFonts w:ascii="Helvetica" w:hAnsi="Helvetica"/>
      <w:b/>
      <w:kern w:val="28"/>
    </w:rPr>
  </w:style>
  <w:style w:type="paragraph" w:styleId="Heading2">
    <w:name w:val="heading 2"/>
    <w:basedOn w:val="Normal"/>
    <w:next w:val="sub1"/>
    <w:qFormat/>
    <w:rsid w:val="004F2ED7"/>
    <w:pPr>
      <w:keepNext/>
      <w:spacing w:before="120" w:after="120"/>
      <w:ind w:left="1440" w:right="2160" w:hanging="720"/>
      <w:outlineLvl w:val="1"/>
    </w:pPr>
    <w:rPr>
      <w:rFonts w:ascii="Helvetica" w:hAnsi="Helvetica"/>
      <w:b/>
    </w:rPr>
  </w:style>
  <w:style w:type="paragraph" w:styleId="Heading3">
    <w:name w:val="heading 3"/>
    <w:basedOn w:val="Normal"/>
    <w:next w:val="sub2"/>
    <w:qFormat/>
    <w:pPr>
      <w:keepNext/>
      <w:spacing w:before="120" w:after="120"/>
      <w:ind w:firstLine="2160"/>
      <w:outlineLvl w:val="2"/>
    </w:pPr>
    <w:rPr>
      <w:rFonts w:ascii="Helvetica" w:hAnsi="Helvetica"/>
      <w:b/>
    </w:rPr>
  </w:style>
  <w:style w:type="paragraph" w:styleId="Heading4">
    <w:name w:val="heading 4"/>
    <w:basedOn w:val="Normal"/>
    <w:next w:val="sub3"/>
    <w:qFormat/>
    <w:pPr>
      <w:keepNext/>
      <w:spacing w:before="120" w:after="120"/>
      <w:ind w:firstLine="2880"/>
      <w:outlineLvl w:val="3"/>
    </w:pPr>
    <w:rPr>
      <w:rFonts w:ascii="Helvetica" w:hAnsi="Helvetica"/>
      <w:b/>
      <w:i/>
    </w:rPr>
  </w:style>
  <w:style w:type="paragraph" w:styleId="Heading5">
    <w:name w:val="heading 5"/>
    <w:basedOn w:val="Normal"/>
    <w:next w:val="sub4"/>
    <w:qFormat/>
    <w:pPr>
      <w:spacing w:before="120" w:after="120"/>
      <w:ind w:firstLine="3600"/>
      <w:outlineLvl w:val="4"/>
    </w:pPr>
    <w:rPr>
      <w:rFonts w:ascii="Helvetica" w:hAnsi="Helvetic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1,Footnote Text Char Char,Footnote Text Char2 Char,Footnote Text Char Char Char,Footnote Text Char2 Char Char Char,Footnote Text Char Char Char Char Char,Footnote Text Char2 Char Char Char Char1 Char,fn,Footnote Text Cha"/>
    <w:basedOn w:val="Normal"/>
    <w:link w:val="FootnoteTextChar"/>
    <w:pPr>
      <w:spacing w:after="240"/>
    </w:pPr>
    <w:rPr>
      <w:sz w:val="24"/>
    </w:rPr>
  </w:style>
  <w:style w:type="character" w:styleId="FootnoteReference">
    <w:name w:val="footnote reference"/>
    <w:aliases w:val="o,fr,Style 3,o1,o2,o3,o4,o5,o6,o11,o21,o7"/>
    <w:semiHidden/>
    <w:rPr>
      <w:sz w:val="24"/>
      <w:vertAlign w:val="superscript"/>
    </w:rPr>
  </w:style>
  <w:style w:type="paragraph" w:customStyle="1" w:styleId="standard">
    <w:name w:val="standard"/>
    <w:basedOn w:val="Normal"/>
    <w:link w:val="standardChar"/>
    <w:pPr>
      <w:spacing w:line="360" w:lineRule="auto"/>
      <w:ind w:firstLine="720"/>
    </w:pPr>
  </w:style>
  <w:style w:type="paragraph" w:styleId="Subtitle">
    <w:name w:val="Subtitle"/>
    <w:basedOn w:val="Normal"/>
    <w:qFormat/>
    <w:pPr>
      <w:spacing w:after="60"/>
      <w:jc w:val="center"/>
    </w:pPr>
    <w:rPr>
      <w:rFonts w:ascii="Arial" w:hAnsi="Arial"/>
    </w:rPr>
  </w:style>
  <w:style w:type="paragraph" w:customStyle="1" w:styleId="Quote1">
    <w:name w:val="Quote1"/>
    <w:basedOn w:val="standard"/>
    <w:next w:val="standard"/>
    <w:pPr>
      <w:spacing w:before="120" w:after="240" w:line="240" w:lineRule="auto"/>
      <w:ind w:left="720" w:right="720" w:firstLine="0"/>
    </w:pPr>
  </w:style>
  <w:style w:type="paragraph" w:customStyle="1" w:styleId="letter">
    <w:name w:val="letter"/>
    <w:basedOn w:val="num1"/>
    <w:pPr>
      <w:spacing w:after="120" w:line="240" w:lineRule="auto"/>
      <w:ind w:left="994" w:hanging="274"/>
    </w:pPr>
  </w:style>
  <w:style w:type="paragraph" w:styleId="TOC4">
    <w:name w:val="toc 4"/>
    <w:basedOn w:val="Normal"/>
    <w:next w:val="Normal"/>
    <w:semiHidden/>
    <w:pPr>
      <w:tabs>
        <w:tab w:val="right" w:leader="dot" w:pos="9360"/>
      </w:tabs>
      <w:ind w:left="720"/>
    </w:pPr>
  </w:style>
  <w:style w:type="paragraph" w:customStyle="1" w:styleId="main">
    <w:name w:val="main"/>
    <w:basedOn w:val="Normal"/>
    <w:link w:val="mainChar"/>
    <w:pPr>
      <w:jc w:val="center"/>
    </w:pPr>
    <w:rPr>
      <w:rFonts w:ascii="Helvetica" w:hAnsi="Helvetica"/>
      <w:b/>
    </w:rPr>
  </w:style>
  <w:style w:type="paragraph" w:customStyle="1" w:styleId="mainex">
    <w:name w:val="mainex"/>
    <w:basedOn w:val="main"/>
    <w:pPr>
      <w:keepNext/>
    </w:pPr>
    <w:rPr>
      <w:spacing w:val="120"/>
    </w:rPr>
  </w:style>
  <w:style w:type="paragraph" w:customStyle="1" w:styleId="num1">
    <w:name w:val="num1"/>
    <w:basedOn w:val="Normal"/>
    <w:pPr>
      <w:tabs>
        <w:tab w:val="left" w:pos="-720"/>
      </w:tabs>
      <w:suppressAutoHyphens/>
      <w:spacing w:line="360" w:lineRule="auto"/>
      <w:ind w:firstLine="360"/>
    </w:pPr>
  </w:style>
  <w:style w:type="paragraph" w:styleId="Header">
    <w:name w:val="header"/>
    <w:basedOn w:val="Normal"/>
    <w:link w:val="HeaderChar"/>
    <w:pPr>
      <w:widowControl w:val="0"/>
      <w:tabs>
        <w:tab w:val="center" w:pos="4320"/>
        <w:tab w:val="right" w:pos="8640"/>
      </w:tabs>
    </w:pPr>
  </w:style>
  <w:style w:type="paragraph" w:customStyle="1" w:styleId="num2">
    <w:name w:val="num2"/>
    <w:basedOn w:val="num1"/>
    <w:pPr>
      <w:ind w:firstLine="270"/>
    </w:pPr>
  </w:style>
  <w:style w:type="paragraph" w:styleId="Footer">
    <w:name w:val="footer"/>
    <w:basedOn w:val="Normal"/>
    <w:link w:val="FooterChar"/>
    <w:uiPriority w:val="99"/>
    <w:pPr>
      <w:tabs>
        <w:tab w:val="center" w:pos="4320"/>
        <w:tab w:val="right" w:pos="8640"/>
      </w:tabs>
      <w:jc w:val="center"/>
    </w:pPr>
  </w:style>
  <w:style w:type="paragraph" w:customStyle="1" w:styleId="sub1">
    <w:name w:val="sub1"/>
    <w:basedOn w:val="Normal"/>
    <w:pPr>
      <w:spacing w:line="360" w:lineRule="auto"/>
      <w:ind w:firstLine="1440"/>
    </w:pPr>
  </w:style>
  <w:style w:type="paragraph" w:customStyle="1" w:styleId="titlebar">
    <w:name w:val="title bar"/>
    <w:basedOn w:val="main"/>
    <w:pPr>
      <w:keepNext/>
      <w:suppressAutoHyphens/>
    </w:pPr>
  </w:style>
  <w:style w:type="character" w:styleId="PageNumber">
    <w:name w:val="page number"/>
    <w:basedOn w:val="DefaultParagraphFont"/>
  </w:style>
  <w:style w:type="paragraph" w:customStyle="1" w:styleId="sub2">
    <w:name w:val="sub2"/>
    <w:basedOn w:val="Normal"/>
    <w:pPr>
      <w:spacing w:line="360" w:lineRule="auto"/>
      <w:ind w:firstLine="2160"/>
    </w:pPr>
  </w:style>
  <w:style w:type="paragraph" w:customStyle="1" w:styleId="sub3">
    <w:name w:val="sub3"/>
    <w:basedOn w:val="Normal"/>
    <w:pPr>
      <w:spacing w:line="360" w:lineRule="auto"/>
      <w:ind w:firstLine="2880"/>
    </w:pPr>
  </w:style>
  <w:style w:type="paragraph" w:customStyle="1" w:styleId="sub4">
    <w:name w:val="sub4"/>
    <w:basedOn w:val="Normal"/>
    <w:pPr>
      <w:ind w:firstLine="3600"/>
    </w:pPr>
  </w:style>
  <w:style w:type="paragraph" w:customStyle="1" w:styleId="dummy">
    <w:name w:val="dummy"/>
    <w:basedOn w:val="Heading1"/>
    <w:pPr>
      <w:outlineLvl w:val="9"/>
    </w:pPr>
  </w:style>
  <w:style w:type="character" w:customStyle="1" w:styleId="standardChar">
    <w:name w:val="standard Char"/>
    <w:link w:val="standard"/>
    <w:rPr>
      <w:rFonts w:ascii="Palatino" w:hAnsi="Palatino"/>
      <w:sz w:val="26"/>
      <w:lang w:val="en-US" w:eastAsia="en-US" w:bidi="ar-SA"/>
    </w:rPr>
  </w:style>
  <w:style w:type="paragraph" w:styleId="BodyTextIndent">
    <w:name w:val="Body Text Indent"/>
    <w:basedOn w:val="Normal"/>
    <w:pPr>
      <w:spacing w:after="120"/>
      <w:ind w:left="360"/>
    </w:pPr>
  </w:style>
  <w:style w:type="character" w:customStyle="1" w:styleId="mainChar">
    <w:name w:val="main Char"/>
    <w:link w:val="main"/>
    <w:rPr>
      <w:rFonts w:ascii="Helvetica" w:hAnsi="Helvetica"/>
      <w:b/>
      <w:sz w:val="26"/>
      <w:lang w:val="en-US" w:eastAsia="en-US" w:bidi="ar-SA"/>
    </w:rPr>
  </w:style>
  <w:style w:type="character" w:customStyle="1" w:styleId="HeaderChar">
    <w:name w:val="Header Char"/>
    <w:link w:val="Header"/>
    <w:rsid w:val="00731B58"/>
    <w:rPr>
      <w:rFonts w:ascii="Palatino" w:hAnsi="Palatino"/>
      <w:sz w:val="26"/>
    </w:rPr>
  </w:style>
  <w:style w:type="character" w:customStyle="1" w:styleId="FootnoteTextChar">
    <w:name w:val="Footnote Text Char"/>
    <w:aliases w:val="Footnote Text Char1 Char,Footnote Text Char Char Char1,Footnote Text Char2 Char Char,Footnote Text Char Char Char Char,Footnote Text Char2 Char Char Char Char,Footnote Text Char Char Char Char Char Char,fn Char,Footnote Text Cha Char"/>
    <w:link w:val="FootnoteText"/>
    <w:rsid w:val="00503DF3"/>
    <w:rPr>
      <w:rFonts w:ascii="Palatino" w:hAnsi="Palatino"/>
      <w:sz w:val="24"/>
    </w:rPr>
  </w:style>
  <w:style w:type="paragraph" w:customStyle="1" w:styleId="Default">
    <w:name w:val="Default"/>
    <w:rsid w:val="00AC5387"/>
    <w:pPr>
      <w:autoSpaceDE w:val="0"/>
      <w:autoSpaceDN w:val="0"/>
      <w:adjustRightInd w:val="0"/>
    </w:pPr>
    <w:rPr>
      <w:rFonts w:ascii="Book Antiqua" w:hAnsi="Book Antiqua" w:cs="Book Antiqua"/>
      <w:color w:val="000000"/>
      <w:sz w:val="24"/>
      <w:szCs w:val="24"/>
    </w:rPr>
  </w:style>
  <w:style w:type="paragraph" w:styleId="ListParagraph">
    <w:name w:val="List Paragraph"/>
    <w:basedOn w:val="Normal"/>
    <w:uiPriority w:val="34"/>
    <w:qFormat/>
    <w:rsid w:val="00C51857"/>
    <w:pPr>
      <w:ind w:left="720"/>
      <w:contextualSpacing/>
    </w:pPr>
  </w:style>
  <w:style w:type="character" w:styleId="CommentReference">
    <w:name w:val="annotation reference"/>
    <w:basedOn w:val="DefaultParagraphFont"/>
    <w:rsid w:val="00D14BA0"/>
    <w:rPr>
      <w:sz w:val="16"/>
      <w:szCs w:val="16"/>
    </w:rPr>
  </w:style>
  <w:style w:type="paragraph" w:styleId="CommentText">
    <w:name w:val="annotation text"/>
    <w:basedOn w:val="Normal"/>
    <w:link w:val="CommentTextChar"/>
    <w:rsid w:val="00D14BA0"/>
    <w:rPr>
      <w:sz w:val="20"/>
    </w:rPr>
  </w:style>
  <w:style w:type="character" w:customStyle="1" w:styleId="CommentTextChar">
    <w:name w:val="Comment Text Char"/>
    <w:basedOn w:val="DefaultParagraphFont"/>
    <w:link w:val="CommentText"/>
    <w:rsid w:val="00D14BA0"/>
    <w:rPr>
      <w:rFonts w:ascii="Palatino" w:hAnsi="Palatino"/>
    </w:rPr>
  </w:style>
  <w:style w:type="paragraph" w:styleId="CommentSubject">
    <w:name w:val="annotation subject"/>
    <w:basedOn w:val="CommentText"/>
    <w:next w:val="CommentText"/>
    <w:link w:val="CommentSubjectChar"/>
    <w:rsid w:val="00D14BA0"/>
    <w:rPr>
      <w:b/>
      <w:bCs/>
    </w:rPr>
  </w:style>
  <w:style w:type="character" w:customStyle="1" w:styleId="CommentSubjectChar">
    <w:name w:val="Comment Subject Char"/>
    <w:basedOn w:val="CommentTextChar"/>
    <w:link w:val="CommentSubject"/>
    <w:rsid w:val="00D14BA0"/>
    <w:rPr>
      <w:rFonts w:ascii="Palatino" w:hAnsi="Palatino"/>
      <w:b/>
      <w:bCs/>
    </w:rPr>
  </w:style>
  <w:style w:type="paragraph" w:styleId="BalloonText">
    <w:name w:val="Balloon Text"/>
    <w:basedOn w:val="Normal"/>
    <w:link w:val="BalloonTextChar"/>
    <w:rsid w:val="00D14BA0"/>
    <w:rPr>
      <w:rFonts w:ascii="Tahoma" w:hAnsi="Tahoma" w:cs="Tahoma"/>
      <w:sz w:val="16"/>
      <w:szCs w:val="16"/>
    </w:rPr>
  </w:style>
  <w:style w:type="character" w:customStyle="1" w:styleId="BalloonTextChar">
    <w:name w:val="Balloon Text Char"/>
    <w:basedOn w:val="DefaultParagraphFont"/>
    <w:link w:val="BalloonText"/>
    <w:rsid w:val="00D14BA0"/>
    <w:rPr>
      <w:rFonts w:ascii="Tahoma" w:hAnsi="Tahoma" w:cs="Tahoma"/>
      <w:sz w:val="16"/>
      <w:szCs w:val="16"/>
    </w:rPr>
  </w:style>
  <w:style w:type="paragraph" w:styleId="NormalWeb">
    <w:name w:val="Normal (Web)"/>
    <w:basedOn w:val="Normal"/>
    <w:uiPriority w:val="99"/>
    <w:semiHidden/>
    <w:unhideWhenUsed/>
    <w:rsid w:val="00953C72"/>
    <w:pPr>
      <w:spacing w:after="150"/>
    </w:pPr>
    <w:rPr>
      <w:rFonts w:ascii="Times New Roman" w:hAnsi="Times New Roman"/>
      <w:sz w:val="24"/>
      <w:szCs w:val="24"/>
    </w:rPr>
  </w:style>
  <w:style w:type="character" w:customStyle="1" w:styleId="added-material">
    <w:name w:val="added-material"/>
    <w:basedOn w:val="DefaultParagraphFont"/>
    <w:rsid w:val="00151453"/>
  </w:style>
  <w:style w:type="character" w:customStyle="1" w:styleId="FooterChar">
    <w:name w:val="Footer Char"/>
    <w:basedOn w:val="DefaultParagraphFont"/>
    <w:link w:val="Footer"/>
    <w:uiPriority w:val="99"/>
    <w:rsid w:val="00ED45AC"/>
    <w:rPr>
      <w:rFonts w:ascii="Palatino" w:hAnsi="Palatino"/>
      <w:sz w:val="26"/>
    </w:rPr>
  </w:style>
  <w:style w:type="paragraph" w:styleId="TOC2">
    <w:name w:val="toc 2"/>
    <w:basedOn w:val="Normal"/>
    <w:next w:val="Normal"/>
    <w:autoRedefine/>
    <w:uiPriority w:val="39"/>
    <w:unhideWhenUsed/>
    <w:rsid w:val="00B03C9E"/>
    <w:pPr>
      <w:tabs>
        <w:tab w:val="left" w:pos="1350"/>
        <w:tab w:val="right" w:leader="dot" w:pos="9350"/>
      </w:tabs>
      <w:spacing w:after="100"/>
      <w:ind w:left="540" w:hanging="540"/>
    </w:pPr>
  </w:style>
  <w:style w:type="paragraph" w:styleId="TOC3">
    <w:name w:val="toc 3"/>
    <w:basedOn w:val="Normal"/>
    <w:next w:val="Normal"/>
    <w:autoRedefine/>
    <w:uiPriority w:val="39"/>
    <w:unhideWhenUsed/>
    <w:rsid w:val="00B03C9E"/>
    <w:pPr>
      <w:tabs>
        <w:tab w:val="left" w:pos="1260"/>
        <w:tab w:val="right" w:leader="dot" w:pos="9350"/>
      </w:tabs>
      <w:spacing w:after="100"/>
      <w:ind w:left="1260" w:hanging="720"/>
    </w:pPr>
  </w:style>
  <w:style w:type="paragraph" w:styleId="TOC5">
    <w:name w:val="toc 5"/>
    <w:basedOn w:val="Normal"/>
    <w:next w:val="Normal"/>
    <w:autoRedefine/>
    <w:semiHidden/>
    <w:unhideWhenUsed/>
    <w:rsid w:val="00ED45AC"/>
    <w:pPr>
      <w:spacing w:after="100"/>
      <w:ind w:left="1040"/>
    </w:pPr>
  </w:style>
  <w:style w:type="character" w:styleId="Hyperlink">
    <w:name w:val="Hyperlink"/>
    <w:uiPriority w:val="99"/>
    <w:rsid w:val="00ED45AC"/>
    <w:rPr>
      <w:color w:val="0000FF"/>
      <w:u w:val="single"/>
    </w:rPr>
  </w:style>
  <w:style w:type="paragraph" w:styleId="TOC1">
    <w:name w:val="toc 1"/>
    <w:basedOn w:val="Normal"/>
    <w:next w:val="Normal"/>
    <w:autoRedefine/>
    <w:uiPriority w:val="39"/>
    <w:unhideWhenUsed/>
    <w:rsid w:val="00ED45AC"/>
    <w:pPr>
      <w:spacing w:after="100"/>
    </w:pPr>
  </w:style>
  <w:style w:type="paragraph" w:styleId="Quote">
    <w:name w:val="Quote"/>
    <w:basedOn w:val="standard"/>
    <w:next w:val="Normal"/>
    <w:link w:val="QuoteChar"/>
    <w:uiPriority w:val="29"/>
    <w:qFormat/>
    <w:rsid w:val="006A1956"/>
    <w:pPr>
      <w:spacing w:after="240" w:line="240" w:lineRule="auto"/>
      <w:ind w:left="720" w:right="1440" w:firstLine="0"/>
    </w:pPr>
    <w:rPr>
      <w:szCs w:val="26"/>
    </w:rPr>
  </w:style>
  <w:style w:type="character" w:customStyle="1" w:styleId="QuoteChar">
    <w:name w:val="Quote Char"/>
    <w:basedOn w:val="DefaultParagraphFont"/>
    <w:link w:val="Quote"/>
    <w:uiPriority w:val="29"/>
    <w:rsid w:val="006A1956"/>
    <w:rPr>
      <w:rFonts w:ascii="Palatino" w:hAnsi="Palatino"/>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6"/>
    </w:rPr>
  </w:style>
  <w:style w:type="paragraph" w:styleId="Heading1">
    <w:name w:val="heading 1"/>
    <w:basedOn w:val="Normal"/>
    <w:next w:val="standard"/>
    <w:qFormat/>
    <w:pPr>
      <w:keepNext/>
      <w:spacing w:after="120"/>
      <w:outlineLvl w:val="0"/>
    </w:pPr>
    <w:rPr>
      <w:rFonts w:ascii="Helvetica" w:hAnsi="Helvetica"/>
      <w:b/>
      <w:kern w:val="28"/>
    </w:rPr>
  </w:style>
  <w:style w:type="paragraph" w:styleId="Heading2">
    <w:name w:val="heading 2"/>
    <w:basedOn w:val="Normal"/>
    <w:next w:val="sub1"/>
    <w:qFormat/>
    <w:rsid w:val="004F2ED7"/>
    <w:pPr>
      <w:keepNext/>
      <w:spacing w:before="120" w:after="120"/>
      <w:ind w:left="1440" w:right="2160" w:hanging="720"/>
      <w:outlineLvl w:val="1"/>
    </w:pPr>
    <w:rPr>
      <w:rFonts w:ascii="Helvetica" w:hAnsi="Helvetica"/>
      <w:b/>
    </w:rPr>
  </w:style>
  <w:style w:type="paragraph" w:styleId="Heading3">
    <w:name w:val="heading 3"/>
    <w:basedOn w:val="Normal"/>
    <w:next w:val="sub2"/>
    <w:qFormat/>
    <w:pPr>
      <w:keepNext/>
      <w:spacing w:before="120" w:after="120"/>
      <w:ind w:firstLine="2160"/>
      <w:outlineLvl w:val="2"/>
    </w:pPr>
    <w:rPr>
      <w:rFonts w:ascii="Helvetica" w:hAnsi="Helvetica"/>
      <w:b/>
    </w:rPr>
  </w:style>
  <w:style w:type="paragraph" w:styleId="Heading4">
    <w:name w:val="heading 4"/>
    <w:basedOn w:val="Normal"/>
    <w:next w:val="sub3"/>
    <w:qFormat/>
    <w:pPr>
      <w:keepNext/>
      <w:spacing w:before="120" w:after="120"/>
      <w:ind w:firstLine="2880"/>
      <w:outlineLvl w:val="3"/>
    </w:pPr>
    <w:rPr>
      <w:rFonts w:ascii="Helvetica" w:hAnsi="Helvetica"/>
      <w:b/>
      <w:i/>
    </w:rPr>
  </w:style>
  <w:style w:type="paragraph" w:styleId="Heading5">
    <w:name w:val="heading 5"/>
    <w:basedOn w:val="Normal"/>
    <w:next w:val="sub4"/>
    <w:qFormat/>
    <w:pPr>
      <w:spacing w:before="120" w:after="120"/>
      <w:ind w:firstLine="3600"/>
      <w:outlineLvl w:val="4"/>
    </w:pPr>
    <w:rPr>
      <w:rFonts w:ascii="Helvetica" w:hAnsi="Helvetic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1,Footnote Text Char Char,Footnote Text Char2 Char,Footnote Text Char Char Char,Footnote Text Char2 Char Char Char,Footnote Text Char Char Char Char Char,Footnote Text Char2 Char Char Char Char1 Char,fn,Footnote Text Cha"/>
    <w:basedOn w:val="Normal"/>
    <w:link w:val="FootnoteTextChar"/>
    <w:pPr>
      <w:spacing w:after="240"/>
    </w:pPr>
    <w:rPr>
      <w:sz w:val="24"/>
    </w:rPr>
  </w:style>
  <w:style w:type="character" w:styleId="FootnoteReference">
    <w:name w:val="footnote reference"/>
    <w:aliases w:val="o,fr,Style 3,o1,o2,o3,o4,o5,o6,o11,o21,o7"/>
    <w:semiHidden/>
    <w:rPr>
      <w:sz w:val="24"/>
      <w:vertAlign w:val="superscript"/>
    </w:rPr>
  </w:style>
  <w:style w:type="paragraph" w:customStyle="1" w:styleId="standard">
    <w:name w:val="standard"/>
    <w:basedOn w:val="Normal"/>
    <w:link w:val="standardChar"/>
    <w:pPr>
      <w:spacing w:line="360" w:lineRule="auto"/>
      <w:ind w:firstLine="720"/>
    </w:pPr>
  </w:style>
  <w:style w:type="paragraph" w:styleId="Subtitle">
    <w:name w:val="Subtitle"/>
    <w:basedOn w:val="Normal"/>
    <w:qFormat/>
    <w:pPr>
      <w:spacing w:after="60"/>
      <w:jc w:val="center"/>
    </w:pPr>
    <w:rPr>
      <w:rFonts w:ascii="Arial" w:hAnsi="Arial"/>
    </w:rPr>
  </w:style>
  <w:style w:type="paragraph" w:customStyle="1" w:styleId="Quote1">
    <w:name w:val="Quote1"/>
    <w:basedOn w:val="standard"/>
    <w:next w:val="standard"/>
    <w:pPr>
      <w:spacing w:before="120" w:after="240" w:line="240" w:lineRule="auto"/>
      <w:ind w:left="720" w:right="720" w:firstLine="0"/>
    </w:pPr>
  </w:style>
  <w:style w:type="paragraph" w:customStyle="1" w:styleId="letter">
    <w:name w:val="letter"/>
    <w:basedOn w:val="num1"/>
    <w:pPr>
      <w:spacing w:after="120" w:line="240" w:lineRule="auto"/>
      <w:ind w:left="994" w:hanging="274"/>
    </w:pPr>
  </w:style>
  <w:style w:type="paragraph" w:styleId="TOC4">
    <w:name w:val="toc 4"/>
    <w:basedOn w:val="Normal"/>
    <w:next w:val="Normal"/>
    <w:semiHidden/>
    <w:pPr>
      <w:tabs>
        <w:tab w:val="right" w:leader="dot" w:pos="9360"/>
      </w:tabs>
      <w:ind w:left="720"/>
    </w:pPr>
  </w:style>
  <w:style w:type="paragraph" w:customStyle="1" w:styleId="main">
    <w:name w:val="main"/>
    <w:basedOn w:val="Normal"/>
    <w:link w:val="mainChar"/>
    <w:pPr>
      <w:jc w:val="center"/>
    </w:pPr>
    <w:rPr>
      <w:rFonts w:ascii="Helvetica" w:hAnsi="Helvetica"/>
      <w:b/>
    </w:rPr>
  </w:style>
  <w:style w:type="paragraph" w:customStyle="1" w:styleId="mainex">
    <w:name w:val="mainex"/>
    <w:basedOn w:val="main"/>
    <w:pPr>
      <w:keepNext/>
    </w:pPr>
    <w:rPr>
      <w:spacing w:val="120"/>
    </w:rPr>
  </w:style>
  <w:style w:type="paragraph" w:customStyle="1" w:styleId="num1">
    <w:name w:val="num1"/>
    <w:basedOn w:val="Normal"/>
    <w:pPr>
      <w:tabs>
        <w:tab w:val="left" w:pos="-720"/>
      </w:tabs>
      <w:suppressAutoHyphens/>
      <w:spacing w:line="360" w:lineRule="auto"/>
      <w:ind w:firstLine="360"/>
    </w:pPr>
  </w:style>
  <w:style w:type="paragraph" w:styleId="Header">
    <w:name w:val="header"/>
    <w:basedOn w:val="Normal"/>
    <w:link w:val="HeaderChar"/>
    <w:pPr>
      <w:widowControl w:val="0"/>
      <w:tabs>
        <w:tab w:val="center" w:pos="4320"/>
        <w:tab w:val="right" w:pos="8640"/>
      </w:tabs>
    </w:pPr>
  </w:style>
  <w:style w:type="paragraph" w:customStyle="1" w:styleId="num2">
    <w:name w:val="num2"/>
    <w:basedOn w:val="num1"/>
    <w:pPr>
      <w:ind w:firstLine="270"/>
    </w:pPr>
  </w:style>
  <w:style w:type="paragraph" w:styleId="Footer">
    <w:name w:val="footer"/>
    <w:basedOn w:val="Normal"/>
    <w:link w:val="FooterChar"/>
    <w:uiPriority w:val="99"/>
    <w:pPr>
      <w:tabs>
        <w:tab w:val="center" w:pos="4320"/>
        <w:tab w:val="right" w:pos="8640"/>
      </w:tabs>
      <w:jc w:val="center"/>
    </w:pPr>
  </w:style>
  <w:style w:type="paragraph" w:customStyle="1" w:styleId="sub1">
    <w:name w:val="sub1"/>
    <w:basedOn w:val="Normal"/>
    <w:pPr>
      <w:spacing w:line="360" w:lineRule="auto"/>
      <w:ind w:firstLine="1440"/>
    </w:pPr>
  </w:style>
  <w:style w:type="paragraph" w:customStyle="1" w:styleId="titlebar">
    <w:name w:val="title bar"/>
    <w:basedOn w:val="main"/>
    <w:pPr>
      <w:keepNext/>
      <w:suppressAutoHyphens/>
    </w:pPr>
  </w:style>
  <w:style w:type="character" w:styleId="PageNumber">
    <w:name w:val="page number"/>
    <w:basedOn w:val="DefaultParagraphFont"/>
  </w:style>
  <w:style w:type="paragraph" w:customStyle="1" w:styleId="sub2">
    <w:name w:val="sub2"/>
    <w:basedOn w:val="Normal"/>
    <w:pPr>
      <w:spacing w:line="360" w:lineRule="auto"/>
      <w:ind w:firstLine="2160"/>
    </w:pPr>
  </w:style>
  <w:style w:type="paragraph" w:customStyle="1" w:styleId="sub3">
    <w:name w:val="sub3"/>
    <w:basedOn w:val="Normal"/>
    <w:pPr>
      <w:spacing w:line="360" w:lineRule="auto"/>
      <w:ind w:firstLine="2880"/>
    </w:pPr>
  </w:style>
  <w:style w:type="paragraph" w:customStyle="1" w:styleId="sub4">
    <w:name w:val="sub4"/>
    <w:basedOn w:val="Normal"/>
    <w:pPr>
      <w:ind w:firstLine="3600"/>
    </w:pPr>
  </w:style>
  <w:style w:type="paragraph" w:customStyle="1" w:styleId="dummy">
    <w:name w:val="dummy"/>
    <w:basedOn w:val="Heading1"/>
    <w:pPr>
      <w:outlineLvl w:val="9"/>
    </w:pPr>
  </w:style>
  <w:style w:type="character" w:customStyle="1" w:styleId="standardChar">
    <w:name w:val="standard Char"/>
    <w:link w:val="standard"/>
    <w:rPr>
      <w:rFonts w:ascii="Palatino" w:hAnsi="Palatino"/>
      <w:sz w:val="26"/>
      <w:lang w:val="en-US" w:eastAsia="en-US" w:bidi="ar-SA"/>
    </w:rPr>
  </w:style>
  <w:style w:type="paragraph" w:styleId="BodyTextIndent">
    <w:name w:val="Body Text Indent"/>
    <w:basedOn w:val="Normal"/>
    <w:pPr>
      <w:spacing w:after="120"/>
      <w:ind w:left="360"/>
    </w:pPr>
  </w:style>
  <w:style w:type="character" w:customStyle="1" w:styleId="mainChar">
    <w:name w:val="main Char"/>
    <w:link w:val="main"/>
    <w:rPr>
      <w:rFonts w:ascii="Helvetica" w:hAnsi="Helvetica"/>
      <w:b/>
      <w:sz w:val="26"/>
      <w:lang w:val="en-US" w:eastAsia="en-US" w:bidi="ar-SA"/>
    </w:rPr>
  </w:style>
  <w:style w:type="character" w:customStyle="1" w:styleId="HeaderChar">
    <w:name w:val="Header Char"/>
    <w:link w:val="Header"/>
    <w:rsid w:val="00731B58"/>
    <w:rPr>
      <w:rFonts w:ascii="Palatino" w:hAnsi="Palatino"/>
      <w:sz w:val="26"/>
    </w:rPr>
  </w:style>
  <w:style w:type="character" w:customStyle="1" w:styleId="FootnoteTextChar">
    <w:name w:val="Footnote Text Char"/>
    <w:aliases w:val="Footnote Text Char1 Char,Footnote Text Char Char Char1,Footnote Text Char2 Char Char,Footnote Text Char Char Char Char,Footnote Text Char2 Char Char Char Char,Footnote Text Char Char Char Char Char Char,fn Char,Footnote Text Cha Char"/>
    <w:link w:val="FootnoteText"/>
    <w:rsid w:val="00503DF3"/>
    <w:rPr>
      <w:rFonts w:ascii="Palatino" w:hAnsi="Palatino"/>
      <w:sz w:val="24"/>
    </w:rPr>
  </w:style>
  <w:style w:type="paragraph" w:customStyle="1" w:styleId="Default">
    <w:name w:val="Default"/>
    <w:rsid w:val="00AC5387"/>
    <w:pPr>
      <w:autoSpaceDE w:val="0"/>
      <w:autoSpaceDN w:val="0"/>
      <w:adjustRightInd w:val="0"/>
    </w:pPr>
    <w:rPr>
      <w:rFonts w:ascii="Book Antiqua" w:hAnsi="Book Antiqua" w:cs="Book Antiqua"/>
      <w:color w:val="000000"/>
      <w:sz w:val="24"/>
      <w:szCs w:val="24"/>
    </w:rPr>
  </w:style>
  <w:style w:type="paragraph" w:styleId="ListParagraph">
    <w:name w:val="List Paragraph"/>
    <w:basedOn w:val="Normal"/>
    <w:uiPriority w:val="34"/>
    <w:qFormat/>
    <w:rsid w:val="00C51857"/>
    <w:pPr>
      <w:ind w:left="720"/>
      <w:contextualSpacing/>
    </w:pPr>
  </w:style>
  <w:style w:type="character" w:styleId="CommentReference">
    <w:name w:val="annotation reference"/>
    <w:basedOn w:val="DefaultParagraphFont"/>
    <w:rsid w:val="00D14BA0"/>
    <w:rPr>
      <w:sz w:val="16"/>
      <w:szCs w:val="16"/>
    </w:rPr>
  </w:style>
  <w:style w:type="paragraph" w:styleId="CommentText">
    <w:name w:val="annotation text"/>
    <w:basedOn w:val="Normal"/>
    <w:link w:val="CommentTextChar"/>
    <w:rsid w:val="00D14BA0"/>
    <w:rPr>
      <w:sz w:val="20"/>
    </w:rPr>
  </w:style>
  <w:style w:type="character" w:customStyle="1" w:styleId="CommentTextChar">
    <w:name w:val="Comment Text Char"/>
    <w:basedOn w:val="DefaultParagraphFont"/>
    <w:link w:val="CommentText"/>
    <w:rsid w:val="00D14BA0"/>
    <w:rPr>
      <w:rFonts w:ascii="Palatino" w:hAnsi="Palatino"/>
    </w:rPr>
  </w:style>
  <w:style w:type="paragraph" w:styleId="CommentSubject">
    <w:name w:val="annotation subject"/>
    <w:basedOn w:val="CommentText"/>
    <w:next w:val="CommentText"/>
    <w:link w:val="CommentSubjectChar"/>
    <w:rsid w:val="00D14BA0"/>
    <w:rPr>
      <w:b/>
      <w:bCs/>
    </w:rPr>
  </w:style>
  <w:style w:type="character" w:customStyle="1" w:styleId="CommentSubjectChar">
    <w:name w:val="Comment Subject Char"/>
    <w:basedOn w:val="CommentTextChar"/>
    <w:link w:val="CommentSubject"/>
    <w:rsid w:val="00D14BA0"/>
    <w:rPr>
      <w:rFonts w:ascii="Palatino" w:hAnsi="Palatino"/>
      <w:b/>
      <w:bCs/>
    </w:rPr>
  </w:style>
  <w:style w:type="paragraph" w:styleId="BalloonText">
    <w:name w:val="Balloon Text"/>
    <w:basedOn w:val="Normal"/>
    <w:link w:val="BalloonTextChar"/>
    <w:rsid w:val="00D14BA0"/>
    <w:rPr>
      <w:rFonts w:ascii="Tahoma" w:hAnsi="Tahoma" w:cs="Tahoma"/>
      <w:sz w:val="16"/>
      <w:szCs w:val="16"/>
    </w:rPr>
  </w:style>
  <w:style w:type="character" w:customStyle="1" w:styleId="BalloonTextChar">
    <w:name w:val="Balloon Text Char"/>
    <w:basedOn w:val="DefaultParagraphFont"/>
    <w:link w:val="BalloonText"/>
    <w:rsid w:val="00D14BA0"/>
    <w:rPr>
      <w:rFonts w:ascii="Tahoma" w:hAnsi="Tahoma" w:cs="Tahoma"/>
      <w:sz w:val="16"/>
      <w:szCs w:val="16"/>
    </w:rPr>
  </w:style>
  <w:style w:type="paragraph" w:styleId="NormalWeb">
    <w:name w:val="Normal (Web)"/>
    <w:basedOn w:val="Normal"/>
    <w:uiPriority w:val="99"/>
    <w:semiHidden/>
    <w:unhideWhenUsed/>
    <w:rsid w:val="00953C72"/>
    <w:pPr>
      <w:spacing w:after="150"/>
    </w:pPr>
    <w:rPr>
      <w:rFonts w:ascii="Times New Roman" w:hAnsi="Times New Roman"/>
      <w:sz w:val="24"/>
      <w:szCs w:val="24"/>
    </w:rPr>
  </w:style>
  <w:style w:type="character" w:customStyle="1" w:styleId="added-material">
    <w:name w:val="added-material"/>
    <w:basedOn w:val="DefaultParagraphFont"/>
    <w:rsid w:val="00151453"/>
  </w:style>
  <w:style w:type="character" w:customStyle="1" w:styleId="FooterChar">
    <w:name w:val="Footer Char"/>
    <w:basedOn w:val="DefaultParagraphFont"/>
    <w:link w:val="Footer"/>
    <w:uiPriority w:val="99"/>
    <w:rsid w:val="00ED45AC"/>
    <w:rPr>
      <w:rFonts w:ascii="Palatino" w:hAnsi="Palatino"/>
      <w:sz w:val="26"/>
    </w:rPr>
  </w:style>
  <w:style w:type="paragraph" w:styleId="TOC2">
    <w:name w:val="toc 2"/>
    <w:basedOn w:val="Normal"/>
    <w:next w:val="Normal"/>
    <w:autoRedefine/>
    <w:uiPriority w:val="39"/>
    <w:unhideWhenUsed/>
    <w:rsid w:val="00B03C9E"/>
    <w:pPr>
      <w:tabs>
        <w:tab w:val="left" w:pos="1350"/>
        <w:tab w:val="right" w:leader="dot" w:pos="9350"/>
      </w:tabs>
      <w:spacing w:after="100"/>
      <w:ind w:left="540" w:hanging="540"/>
    </w:pPr>
  </w:style>
  <w:style w:type="paragraph" w:styleId="TOC3">
    <w:name w:val="toc 3"/>
    <w:basedOn w:val="Normal"/>
    <w:next w:val="Normal"/>
    <w:autoRedefine/>
    <w:uiPriority w:val="39"/>
    <w:unhideWhenUsed/>
    <w:rsid w:val="00B03C9E"/>
    <w:pPr>
      <w:tabs>
        <w:tab w:val="left" w:pos="1260"/>
        <w:tab w:val="right" w:leader="dot" w:pos="9350"/>
      </w:tabs>
      <w:spacing w:after="100"/>
      <w:ind w:left="1260" w:hanging="720"/>
    </w:pPr>
  </w:style>
  <w:style w:type="paragraph" w:styleId="TOC5">
    <w:name w:val="toc 5"/>
    <w:basedOn w:val="Normal"/>
    <w:next w:val="Normal"/>
    <w:autoRedefine/>
    <w:semiHidden/>
    <w:unhideWhenUsed/>
    <w:rsid w:val="00ED45AC"/>
    <w:pPr>
      <w:spacing w:after="100"/>
      <w:ind w:left="1040"/>
    </w:pPr>
  </w:style>
  <w:style w:type="character" w:styleId="Hyperlink">
    <w:name w:val="Hyperlink"/>
    <w:uiPriority w:val="99"/>
    <w:rsid w:val="00ED45AC"/>
    <w:rPr>
      <w:color w:val="0000FF"/>
      <w:u w:val="single"/>
    </w:rPr>
  </w:style>
  <w:style w:type="paragraph" w:styleId="TOC1">
    <w:name w:val="toc 1"/>
    <w:basedOn w:val="Normal"/>
    <w:next w:val="Normal"/>
    <w:autoRedefine/>
    <w:uiPriority w:val="39"/>
    <w:unhideWhenUsed/>
    <w:rsid w:val="00ED45AC"/>
    <w:pPr>
      <w:spacing w:after="100"/>
    </w:pPr>
  </w:style>
  <w:style w:type="paragraph" w:styleId="Quote">
    <w:name w:val="Quote"/>
    <w:basedOn w:val="standard"/>
    <w:next w:val="Normal"/>
    <w:link w:val="QuoteChar"/>
    <w:uiPriority w:val="29"/>
    <w:qFormat/>
    <w:rsid w:val="006A1956"/>
    <w:pPr>
      <w:spacing w:after="240" w:line="240" w:lineRule="auto"/>
      <w:ind w:left="720" w:right="1440" w:firstLine="0"/>
    </w:pPr>
    <w:rPr>
      <w:szCs w:val="26"/>
    </w:rPr>
  </w:style>
  <w:style w:type="character" w:customStyle="1" w:styleId="QuoteChar">
    <w:name w:val="Quote Char"/>
    <w:basedOn w:val="DefaultParagraphFont"/>
    <w:link w:val="Quote"/>
    <w:uiPriority w:val="29"/>
    <w:rsid w:val="006A1956"/>
    <w:rPr>
      <w:rFonts w:ascii="Palatino" w:hAnsi="Palatino"/>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907790">
      <w:bodyDiv w:val="1"/>
      <w:marLeft w:val="0"/>
      <w:marRight w:val="0"/>
      <w:marTop w:val="0"/>
      <w:marBottom w:val="0"/>
      <w:divBdr>
        <w:top w:val="none" w:sz="0" w:space="0" w:color="auto"/>
        <w:left w:val="none" w:sz="0" w:space="0" w:color="auto"/>
        <w:bottom w:val="none" w:sz="0" w:space="0" w:color="auto"/>
        <w:right w:val="none" w:sz="0" w:space="0" w:color="auto"/>
      </w:divBdr>
    </w:div>
    <w:div w:id="1151026228">
      <w:bodyDiv w:val="1"/>
      <w:marLeft w:val="0"/>
      <w:marRight w:val="0"/>
      <w:marTop w:val="0"/>
      <w:marBottom w:val="0"/>
      <w:divBdr>
        <w:top w:val="none" w:sz="0" w:space="0" w:color="auto"/>
        <w:left w:val="none" w:sz="0" w:space="0" w:color="auto"/>
        <w:bottom w:val="none" w:sz="0" w:space="0" w:color="auto"/>
        <w:right w:val="none" w:sz="0" w:space="0" w:color="auto"/>
      </w:divBdr>
      <w:divsChild>
        <w:div w:id="793866973">
          <w:marLeft w:val="0"/>
          <w:marRight w:val="0"/>
          <w:marTop w:val="0"/>
          <w:marBottom w:val="0"/>
          <w:divBdr>
            <w:top w:val="none" w:sz="0" w:space="0" w:color="auto"/>
            <w:left w:val="none" w:sz="0" w:space="0" w:color="auto"/>
            <w:bottom w:val="none" w:sz="0" w:space="0" w:color="auto"/>
            <w:right w:val="none" w:sz="0" w:space="0" w:color="auto"/>
          </w:divBdr>
          <w:divsChild>
            <w:div w:id="163239751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1980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20AFC-F29D-4F76-B282-87489E6C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6361</Words>
  <Characters>36262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Decision</vt:lpstr>
    </vt:vector>
  </TitlesOfParts>
  <Company>California Public Utilities Commission (CPUC)</Company>
  <LinksUpToDate>false</LinksUpToDate>
  <CharactersWithSpaces>42538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dc:title>
  <dc:creator>Rico, Andrew J.</dc:creator>
  <cp:lastModifiedBy>ECMadmin</cp:lastModifiedBy>
  <cp:revision>4</cp:revision>
  <cp:lastPrinted>2018-12-06T21:03:00Z</cp:lastPrinted>
  <dcterms:created xsi:type="dcterms:W3CDTF">2018-12-06T20:46:00Z</dcterms:created>
  <dcterms:modified xsi:type="dcterms:W3CDTF">2018-12-06T21:03:00Z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sAAAXRTqSjcrLAqzuiegB6TAJmuwWuyvqHmriLN6WH59kp4=</vt:lpwstr>
  </property>
  <property fmtid="{D5CDD505-2E9C-101B-9397-08002B2CF9AE}" pid="3" name="MAIL_MSG_ID1">
    <vt:lpwstr>oFAAspTNh41gn7Bb/ek2idnNEsl1za8KxhrTF3lsCoOyvTtroDDmqdrfHeiKYCX2XHCcpNwbce/uC7DA
RwY/JNZ9QlyAzUFskf5SJ3zQ5YSWi9KWGqV6AAiiYKeGg9zLkceaDXoHdL8B6kvARwY/JNZ9QlyA
zUFskf5SJ3zQ5YSWi9KWGqV6AAiiYCLcZDW5pCA6Ss2Bc3MiNYyaz3ZTIYgXXUtb+XrUf7kksZXi
OB6p18c36ILZylwXi</vt:lpwstr>
  </property>
  <property fmtid="{D5CDD505-2E9C-101B-9397-08002B2CF9AE}" pid="4" name="MAIL_MSG_ID2">
    <vt:lpwstr>81WEyGGtLbwA5UrcDOXmBK56IFC/+jdS1bhIsWTMpjJDnW04k9g1aWpDupC
L8gExv+SfzCqVgiPO/XIAtHjczgDf7uuaEe8k906pHx/1TR3</vt:lpwstr>
  </property>
  <property fmtid="{D5CDD505-2E9C-101B-9397-08002B2CF9AE}" pid="5" name="EMAIL_OWNER_ADDRESS">
    <vt:lpwstr>4AAA9DNYQidmug6ZyMifLcTdT+J4q/4Y+1kq4P8yaLq9F6/For0IxUB0Lw==</vt:lpwstr>
  </property>
</Properties>
</file>