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7C969" w14:textId="77777777" w:rsidR="00744D0F" w:rsidRDefault="00744D0F" w:rsidP="002D2ACC">
      <w:pPr>
        <w:spacing w:before="360"/>
        <w:jc w:val="both"/>
      </w:pPr>
    </w:p>
    <w:p w14:paraId="6DC6967C" w14:textId="77777777" w:rsidR="00744D0F" w:rsidRDefault="00C0130D" w:rsidP="002D2ACC">
      <w:pPr>
        <w:spacing w:after="60"/>
        <w:jc w:val="both"/>
      </w:pPr>
      <w:r>
        <w:rPr>
          <w:b/>
          <w:bCs/>
          <w:color w:val="1F3864"/>
          <w:sz w:val="56"/>
          <w:szCs w:val="56"/>
        </w:rPr>
        <w:t>Secuura × VIT POC</w:t>
      </w:r>
    </w:p>
    <w:p w14:paraId="76880EFA" w14:textId="77777777" w:rsidR="00744D0F" w:rsidRDefault="00C0130D" w:rsidP="002D2ACC">
      <w:pPr>
        <w:pBdr>
          <w:bottom w:val="single" w:sz="8" w:space="6" w:color="2E75B6"/>
        </w:pBdr>
        <w:spacing w:after="40"/>
        <w:jc w:val="both"/>
      </w:pPr>
      <w:r>
        <w:rPr>
          <w:color w:val="2E75B6"/>
          <w:sz w:val="36"/>
          <w:szCs w:val="36"/>
        </w:rPr>
        <w:t>Prototype Delivery Plan</w:t>
      </w:r>
    </w:p>
    <w:p w14:paraId="5CB37771" w14:textId="77777777" w:rsidR="00744D0F" w:rsidRDefault="00C0130D" w:rsidP="002D2ACC">
      <w:pPr>
        <w:spacing w:before="20" w:after="120"/>
        <w:jc w:val="both"/>
      </w:pPr>
      <w:r>
        <w:rPr>
          <w:color w:val="888888"/>
          <w:sz w:val="24"/>
          <w:szCs w:val="24"/>
        </w:rPr>
        <w:t>Internal Implementation Reference</w:t>
      </w:r>
    </w:p>
    <w:p w14:paraId="6BFA162C" w14:textId="77777777" w:rsidR="00744D0F" w:rsidRDefault="00C0130D" w:rsidP="002D2ACC">
      <w:pPr>
        <w:pBdr>
          <w:left w:val="single" w:sz="12" w:space="8" w:color="2E75B6"/>
        </w:pBdr>
        <w:shd w:val="clear" w:color="auto" w:fill="D9E2F3"/>
        <w:spacing w:before="80" w:after="80"/>
        <w:ind w:left="360" w:right="360"/>
        <w:jc w:val="both"/>
      </w:pPr>
      <w:r>
        <w:rPr>
          <w:i/>
          <w:iCs/>
          <w:color w:val="444444"/>
        </w:rPr>
        <w:t>This document covers the prototype delivery scope, team responsibilities, cost reality, and demo boundaries for the Secuura × VIT POC. It is an internal reference for the project team and supervisors, and accompanies the Architecture Reference Document.</w:t>
      </w:r>
    </w:p>
    <w:p w14:paraId="743173F1" w14:textId="77777777" w:rsidR="00744D0F" w:rsidRDefault="00744D0F" w:rsidP="002D2ACC">
      <w:pPr>
        <w:spacing w:before="80" w:after="80"/>
        <w:jc w:val="both"/>
      </w:pPr>
    </w:p>
    <w:p w14:paraId="2839DC5D" w14:textId="77777777" w:rsidR="00744D0F" w:rsidRDefault="00C0130D" w:rsidP="002D2ACC">
      <w:pPr>
        <w:pStyle w:val="Heading1"/>
        <w:pBdr>
          <w:bottom w:val="single" w:sz="4" w:space="4" w:color="2E75B6"/>
        </w:pBdr>
        <w:jc w:val="both"/>
      </w:pPr>
      <w:r>
        <w:t>1</w:t>
      </w:r>
      <w:r>
        <w:t>. Project Roadmap</w:t>
      </w:r>
    </w:p>
    <w:p w14:paraId="4EC7A058" w14:textId="77777777" w:rsidR="00744D0F" w:rsidRDefault="00C0130D" w:rsidP="002D2ACC">
      <w:pPr>
        <w:pStyle w:val="Heading3"/>
        <w:jc w:val="both"/>
      </w:pPr>
      <w:r>
        <w:t>Phase 1</w:t>
      </w:r>
    </w:p>
    <w:p w14:paraId="5B5F3186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Identity, session creation, one-time upload tokens, transient storage.</w:t>
      </w:r>
    </w:p>
    <w:p w14:paraId="6DFBCE8C" w14:textId="77777777" w:rsidR="00744D0F" w:rsidRDefault="00C0130D" w:rsidP="002D2ACC">
      <w:pPr>
        <w:pStyle w:val="Heading3"/>
        <w:jc w:val="both"/>
      </w:pPr>
      <w:r>
        <w:t>Phase 2</w:t>
      </w:r>
    </w:p>
    <w:p w14:paraId="702FCE23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Durable workflow state, worker lease control, cleanup controller.</w:t>
      </w:r>
    </w:p>
    <w:p w14:paraId="75040986" w14:textId="77777777" w:rsidR="00744D0F" w:rsidRDefault="00C0130D" w:rsidP="002D2ACC">
      <w:pPr>
        <w:pStyle w:val="Heading3"/>
        <w:jc w:val="both"/>
      </w:pPr>
      <w:r>
        <w:t>Phase 3</w:t>
      </w:r>
    </w:p>
    <w:p w14:paraId="36EE60C7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Text PDF parsing, local OCR, canonical schema extraction.</w:t>
      </w:r>
    </w:p>
    <w:p w14:paraId="720378F3" w14:textId="77777777" w:rsidR="00744D0F" w:rsidRDefault="00C0130D" w:rsidP="002D2ACC">
      <w:pPr>
        <w:pStyle w:val="Heading3"/>
        <w:jc w:val="both"/>
      </w:pPr>
      <w:r>
        <w:t>Phase 4</w:t>
      </w:r>
    </w:p>
    <w:p w14:paraId="0A43E722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Spatial grounding and secure reviewer UI.</w:t>
      </w:r>
    </w:p>
    <w:p w14:paraId="6A06C9B5" w14:textId="77777777" w:rsidR="00744D0F" w:rsidRDefault="00C0130D" w:rsidP="002D2ACC">
      <w:pPr>
        <w:pStyle w:val="Heading3"/>
        <w:jc w:val="both"/>
      </w:pPr>
      <w:r>
        <w:t>Phase 5</w:t>
      </w:r>
    </w:p>
    <w:p w14:paraId="21751419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VIT registry connector and connector broker.</w:t>
      </w:r>
    </w:p>
    <w:p w14:paraId="2390D9C7" w14:textId="77777777" w:rsidR="00744D0F" w:rsidRDefault="00C0130D" w:rsidP="002D2ACC">
      <w:pPr>
        <w:pStyle w:val="Heading3"/>
        <w:jc w:val="both"/>
      </w:pPr>
      <w:r>
        <w:t>Phase 6</w:t>
      </w:r>
    </w:p>
    <w:p w14:paraId="06FF60D7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Trust engine with assurance-class timeout policy.</w:t>
      </w:r>
    </w:p>
    <w:p w14:paraId="0E32DEC4" w14:textId="77777777" w:rsidR="00744D0F" w:rsidRDefault="00C0130D" w:rsidP="002D2ACC">
      <w:pPr>
        <w:pStyle w:val="Heading3"/>
        <w:jc w:val="both"/>
      </w:pPr>
      <w:r>
        <w:t>Phase 7</w:t>
      </w:r>
    </w:p>
    <w:p w14:paraId="5098C3B1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Audit commitment service, append-only audit store, recovery vault.</w:t>
      </w:r>
    </w:p>
    <w:p w14:paraId="0F9849E0" w14:textId="77777777" w:rsidR="00744D0F" w:rsidRDefault="00C0130D" w:rsidP="002D2ACC">
      <w:pPr>
        <w:pStyle w:val="Heading3"/>
        <w:jc w:val="both"/>
      </w:pPr>
      <w:r>
        <w:t>Phase 8</w:t>
      </w:r>
    </w:p>
    <w:p w14:paraId="6056D16B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Network hardening, S</w:t>
      </w:r>
      <w:r>
        <w:rPr>
          <w:color w:val="333333"/>
        </w:rPr>
        <w:t>IEM integration, security testing baseline.</w:t>
      </w:r>
    </w:p>
    <w:p w14:paraId="7DACD4CD" w14:textId="77777777" w:rsidR="00744D0F" w:rsidRDefault="00C0130D" w:rsidP="002D2ACC">
      <w:pPr>
        <w:pStyle w:val="Heading3"/>
        <w:jc w:val="both"/>
      </w:pPr>
      <w:r>
        <w:t>Phase 9</w:t>
      </w:r>
    </w:p>
    <w:p w14:paraId="6A6CC1FE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VC linkage for selected supported samples.</w:t>
      </w:r>
    </w:p>
    <w:p w14:paraId="695B217C" w14:textId="77777777" w:rsidR="00744D0F" w:rsidRDefault="00C0130D" w:rsidP="002D2ACC">
      <w:pPr>
        <w:pStyle w:val="Heading3"/>
        <w:jc w:val="both"/>
      </w:pPr>
      <w:r>
        <w:t>Phase 10</w:t>
      </w:r>
    </w:p>
    <w:p w14:paraId="682087AF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Optional Cardano anchoring.</w:t>
      </w:r>
    </w:p>
    <w:p w14:paraId="43022528" w14:textId="77777777" w:rsidR="00744D0F" w:rsidRDefault="00744D0F" w:rsidP="002D2ACC">
      <w:pPr>
        <w:spacing w:before="80" w:after="80"/>
        <w:jc w:val="both"/>
      </w:pPr>
    </w:p>
    <w:p w14:paraId="44584E8A" w14:textId="77777777" w:rsidR="00744D0F" w:rsidRDefault="00C0130D" w:rsidP="002D2ACC">
      <w:pPr>
        <w:pStyle w:val="Heading1"/>
        <w:pBdr>
          <w:bottom w:val="single" w:sz="4" w:space="4" w:color="2E75B6"/>
        </w:pBdr>
        <w:jc w:val="both"/>
      </w:pPr>
      <w:r>
        <w:t>2. Resource and Cost Reality</w:t>
      </w:r>
    </w:p>
    <w:p w14:paraId="0AC9EA43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The development environment runs entirely on Docker Compose on a single machine with no paid i</w:t>
      </w:r>
      <w:r>
        <w:rPr>
          <w:color w:val="333333"/>
        </w:rPr>
        <w:t>nfrastructure required. The only optional external cost is a demo VM for approximately $20–30 for one month, and that cost is likely to be covered by student cloud credits.</w:t>
      </w:r>
    </w:p>
    <w:p w14:paraId="7F2CD5EA" w14:textId="77777777" w:rsidR="00744D0F" w:rsidRDefault="00C0130D" w:rsidP="002D2ACC">
      <w:pPr>
        <w:pStyle w:val="Heading2"/>
        <w:jc w:val="both"/>
      </w:pPr>
      <w:r>
        <w:lastRenderedPageBreak/>
        <w:t>Free resources available to the team</w:t>
      </w:r>
    </w:p>
    <w:p w14:paraId="76178072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GitHub Student Developer Pack</w:t>
      </w:r>
    </w:p>
    <w:p w14:paraId="7EA77ACA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AWS Educate</w:t>
      </w:r>
    </w:p>
    <w:p w14:paraId="7A1E8E71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 xml:space="preserve">GCP </w:t>
      </w:r>
      <w:r>
        <w:rPr>
          <w:color w:val="333333"/>
        </w:rPr>
        <w:t>free tier</w:t>
      </w:r>
    </w:p>
    <w:p w14:paraId="014B7705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Open-source stack: PyMuPDF, pdfplumber, Tesseract, PaddleOCR, FastAPI, React, PostgreSQL</w:t>
      </w:r>
    </w:p>
    <w:p w14:paraId="4721B8EF" w14:textId="77777777" w:rsidR="00744D0F" w:rsidRDefault="00C0130D" w:rsidP="002D2ACC">
      <w:pPr>
        <w:pStyle w:val="Heading2"/>
        <w:jc w:val="both"/>
      </w:pPr>
      <w:r>
        <w:t>Estimated out-of-pocket team cost</w:t>
      </w:r>
    </w:p>
    <w:p w14:paraId="73C0728D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 xml:space="preserve">The estimated out-of-pocket cost for the full team is $0–45 total, depending on the availability of cloud credits and </w:t>
      </w:r>
      <w:r>
        <w:rPr>
          <w:color w:val="333333"/>
        </w:rPr>
        <w:t>whether a short-lived demo VM is required. Split across 5 students, this remains a minimal prototype delivery cost.</w:t>
      </w:r>
    </w:p>
    <w:p w14:paraId="38F78CB3" w14:textId="77777777" w:rsidR="00744D0F" w:rsidRDefault="00744D0F" w:rsidP="002D2ACC">
      <w:pPr>
        <w:spacing w:before="80" w:after="80"/>
        <w:jc w:val="both"/>
      </w:pPr>
    </w:p>
    <w:p w14:paraId="4C208699" w14:textId="77777777" w:rsidR="00744D0F" w:rsidRDefault="00C0130D" w:rsidP="002D2ACC">
      <w:pPr>
        <w:pStyle w:val="Heading1"/>
        <w:pBdr>
          <w:bottom w:val="single" w:sz="4" w:space="4" w:color="2E75B6"/>
        </w:pBdr>
        <w:jc w:val="both"/>
      </w:pPr>
      <w:r>
        <w:t>3. Demo Scope and Honest Boundaries</w:t>
      </w:r>
    </w:p>
    <w:p w14:paraId="16D8702E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The Architecture Reference Document describes the full production control model. This Prototype Delive</w:t>
      </w:r>
      <w:r>
        <w:rPr>
          <w:color w:val="333333"/>
        </w:rPr>
        <w:t>ry Plan covers how that model is demonstrated through the prototype, which implements the core verification flows and trust logic on delivery-ready prototype infrastructure. Infrastructure-heavy elements are mocked or simulated where noted, but the securit</w:t>
      </w:r>
      <w:r>
        <w:rPr>
          <w:color w:val="333333"/>
        </w:rPr>
        <w:t>y reasoning, trust model, audit design, and content-minimised retention controls remain the governing architecture for the system. This framing can be stated directly during the demo to distinguish what is live in the prototype from what is a production ta</w:t>
      </w:r>
      <w:r>
        <w:rPr>
          <w:color w:val="333333"/>
        </w:rPr>
        <w:t>rget.</w:t>
      </w:r>
    </w:p>
    <w:p w14:paraId="08544AF6" w14:textId="77777777" w:rsidR="00744D0F" w:rsidRDefault="00C0130D" w:rsidP="002D2ACC">
      <w:pPr>
        <w:pStyle w:val="Heading2"/>
        <w:jc w:val="both"/>
      </w:pPr>
      <w:r>
        <w:t>Live and Demonstrable on Demo Day</w:t>
      </w:r>
    </w:p>
    <w:p w14:paraId="24CC8654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upload flow and one-time token</w:t>
      </w:r>
    </w:p>
    <w:p w14:paraId="5549F884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PDF extraction and OCR</w:t>
      </w:r>
    </w:p>
    <w:p w14:paraId="11CFBC0B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spatial grounding with viewer highlights</w:t>
      </w:r>
    </w:p>
    <w:p w14:paraId="696DAE89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trust engine decisions with reason codes</w:t>
      </w:r>
    </w:p>
    <w:p w14:paraId="2FCDB4FB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connector broker with mock connectors returning structured responses</w:t>
      </w:r>
    </w:p>
    <w:p w14:paraId="01A4DAA7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 xml:space="preserve">audit </w:t>
      </w:r>
      <w:r>
        <w:rPr>
          <w:color w:val="333333"/>
        </w:rPr>
        <w:t>commitment and signed receipt generation</w:t>
      </w:r>
    </w:p>
    <w:p w14:paraId="2C64E780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secure deletion of content after session close</w:t>
      </w:r>
    </w:p>
    <w:p w14:paraId="3611E122" w14:textId="77777777" w:rsidR="00744D0F" w:rsidRDefault="00C0130D" w:rsidP="002D2ACC">
      <w:pPr>
        <w:pStyle w:val="Heading2"/>
        <w:jc w:val="both"/>
      </w:pPr>
      <w:r>
        <w:t>Mocked or Deferred to Production Phase</w:t>
      </w:r>
    </w:p>
    <w:p w14:paraId="66F6AD34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real VIT registry integration</w:t>
      </w:r>
    </w:p>
    <w:p w14:paraId="205F8FF1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real VC issuer integration</w:t>
      </w:r>
    </w:p>
    <w:p w14:paraId="0D21C12F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enterprise identity and SSO</w:t>
      </w:r>
    </w:p>
    <w:p w14:paraId="62FCD721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hardware key management</w:t>
      </w:r>
    </w:p>
    <w:p w14:paraId="18D5E987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live blockchain anch</w:t>
      </w:r>
      <w:r>
        <w:rPr>
          <w:color w:val="333333"/>
        </w:rPr>
        <w:t>oring</w:t>
      </w:r>
    </w:p>
    <w:p w14:paraId="616CA008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production orchestration infrastructure</w:t>
      </w:r>
    </w:p>
    <w:p w14:paraId="1F443165" w14:textId="77777777" w:rsidR="00744D0F" w:rsidRDefault="00C0130D" w:rsidP="002D2ACC">
      <w:pPr>
        <w:pStyle w:val="Heading2"/>
        <w:jc w:val="both"/>
      </w:pPr>
      <w:r>
        <w:t>Demo Day Preparation Note</w:t>
      </w:r>
    </w:p>
    <w:p w14:paraId="1627A50B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 xml:space="preserve">Live OCR processing on a free-tier or student VM carries a real failure risk during the demo. To guarantee reliable demonstration of the spatial grounding and trust engine logic, </w:t>
      </w:r>
      <w:r>
        <w:rPr>
          <w:color w:val="333333"/>
        </w:rPr>
        <w:t>the team should prepare as follows before demo day:</w:t>
      </w:r>
    </w:p>
    <w:p w14:paraId="09F35710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Select two or three specific PDF samples in advance and run the full extraction and grounding pipeline on those samples on the development machine, not on the demo VM</w:t>
      </w:r>
    </w:p>
    <w:p w14:paraId="575FBFE7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Cache the extraction results and boun</w:t>
      </w:r>
      <w:r>
        <w:rPr>
          <w:color w:val="333333"/>
        </w:rPr>
        <w:t>ding box coordinates for each sample</w:t>
      </w:r>
    </w:p>
    <w:p w14:paraId="0F51D883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On demo day, serve those cached results through the live trust engine and audit commitment flow</w:t>
      </w:r>
    </w:p>
    <w:p w14:paraId="51EBDA07" w14:textId="36D8140C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lastRenderedPageBreak/>
        <w:t>The extraction and OCR are genuinely implemented</w:t>
      </w:r>
      <w:r w:rsidR="00236BAA">
        <w:rPr>
          <w:color w:val="333333"/>
        </w:rPr>
        <w:t>; that is,</w:t>
      </w:r>
      <w:r>
        <w:rPr>
          <w:color w:val="333333"/>
        </w:rPr>
        <w:t xml:space="preserve"> they ran during pre-processing, not </w:t>
      </w:r>
      <w:proofErr w:type="gramStart"/>
      <w:r>
        <w:rPr>
          <w:color w:val="333333"/>
        </w:rPr>
        <w:t>live in</w:t>
      </w:r>
      <w:proofErr w:type="gramEnd"/>
      <w:r>
        <w:rPr>
          <w:color w:val="333333"/>
        </w:rPr>
        <w:t xml:space="preserve"> front of the audienc</w:t>
      </w:r>
      <w:r>
        <w:rPr>
          <w:color w:val="333333"/>
        </w:rPr>
        <w:t>e</w:t>
      </w:r>
    </w:p>
    <w:p w14:paraId="60182079" w14:textId="77777777" w:rsidR="00744D0F" w:rsidRDefault="00C0130D" w:rsidP="002D2AC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color w:val="333333"/>
        </w:rPr>
        <w:t>The trust engine, connector broker, audit commitment, and secure deletion must execute live during the demo</w:t>
      </w:r>
    </w:p>
    <w:p w14:paraId="18A2AB4F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 xml:space="preserve">This approach demonstrates the full system logic reliably without depending on free-tier compute to process a PDF in real time under presentation </w:t>
      </w:r>
      <w:r>
        <w:rPr>
          <w:color w:val="333333"/>
        </w:rPr>
        <w:t>conditions.</w:t>
      </w:r>
    </w:p>
    <w:p w14:paraId="3392B803" w14:textId="77777777" w:rsidR="00744D0F" w:rsidRDefault="00744D0F" w:rsidP="002D2ACC">
      <w:pPr>
        <w:spacing w:before="80" w:after="80"/>
        <w:jc w:val="both"/>
      </w:pPr>
    </w:p>
    <w:p w14:paraId="7EEA808E" w14:textId="77777777" w:rsidR="00744D0F" w:rsidRDefault="00C0130D" w:rsidP="002D2ACC">
      <w:pPr>
        <w:pStyle w:val="Heading1"/>
        <w:pBdr>
          <w:bottom w:val="single" w:sz="4" w:space="4" w:color="2E75B6"/>
        </w:pBdr>
        <w:jc w:val="both"/>
      </w:pPr>
      <w:r>
        <w:t>4. Milestones and Success Criteria</w:t>
      </w:r>
    </w:p>
    <w:p w14:paraId="0552B9A1" w14:textId="77777777" w:rsidR="00744D0F" w:rsidRDefault="00C0130D" w:rsidP="002D2ACC">
      <w:pPr>
        <w:pStyle w:val="Heading3"/>
        <w:jc w:val="both"/>
      </w:pPr>
      <w:r>
        <w:t>Milestone 1 — Controlled intake</w:t>
      </w:r>
    </w:p>
    <w:p w14:paraId="51A81AA5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secure upload token lifecycle, file-size enforcement, malformed PDF rejection, partial-upload cleanup.</w:t>
      </w:r>
    </w:p>
    <w:p w14:paraId="39131EE2" w14:textId="77777777" w:rsidR="00744D0F" w:rsidRDefault="00C0130D" w:rsidP="002D2ACC">
      <w:pPr>
        <w:pStyle w:val="Heading3"/>
        <w:jc w:val="both"/>
      </w:pPr>
      <w:r>
        <w:t>Milestone 2 — Deterministic extraction</w:t>
      </w:r>
    </w:p>
    <w:p w14:paraId="2D949001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text-PDF extrac</w:t>
      </w:r>
      <w:r>
        <w:rPr>
          <w:color w:val="333333"/>
        </w:rPr>
        <w:t>tion and local OCR fallback working with canonical field mapping.</w:t>
      </w:r>
    </w:p>
    <w:p w14:paraId="37655047" w14:textId="77777777" w:rsidR="00744D0F" w:rsidRDefault="00C0130D" w:rsidP="002D2ACC">
      <w:pPr>
        <w:pStyle w:val="Heading3"/>
        <w:jc w:val="both"/>
      </w:pPr>
      <w:r>
        <w:t>Milestone 3 — Grounded evidence</w:t>
      </w:r>
    </w:p>
    <w:p w14:paraId="44C58C6F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reviewer can see temporary page-level evidence for extracted fields.</w:t>
      </w:r>
    </w:p>
    <w:p w14:paraId="69A95397" w14:textId="77777777" w:rsidR="00744D0F" w:rsidRDefault="00C0130D" w:rsidP="002D2ACC">
      <w:pPr>
        <w:pStyle w:val="Heading3"/>
        <w:jc w:val="both"/>
      </w:pPr>
      <w:r>
        <w:t>Milestone 4 — High-assurance verification</w:t>
      </w:r>
    </w:p>
    <w:p w14:paraId="1FF8BCD2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VIT transcript path reaches G</w:t>
      </w:r>
      <w:r>
        <w:rPr>
          <w:color w:val="333333"/>
        </w:rPr>
        <w:t>reen only on trusted match; mandatory-connector timeout returns Red.</w:t>
      </w:r>
    </w:p>
    <w:p w14:paraId="24708C86" w14:textId="77777777" w:rsidR="00744D0F" w:rsidRDefault="00C0130D" w:rsidP="002D2ACC">
      <w:pPr>
        <w:pStyle w:val="Heading3"/>
        <w:jc w:val="both"/>
      </w:pPr>
      <w:r>
        <w:t>Milestone 5 — Content-minimised retention</w:t>
      </w:r>
    </w:p>
    <w:p w14:paraId="0CCBA80E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document and derived artifacts are absent from persistent stores after session close; purge status recorded.</w:t>
      </w:r>
    </w:p>
    <w:p w14:paraId="7BFADD7A" w14:textId="77777777" w:rsidR="00744D0F" w:rsidRDefault="00C0130D" w:rsidP="002D2ACC">
      <w:pPr>
        <w:pStyle w:val="Heading3"/>
        <w:jc w:val="both"/>
      </w:pPr>
      <w:r>
        <w:t xml:space="preserve">Milestone 6 — </w:t>
      </w:r>
      <w:r>
        <w:t>Privacy-preserving auditability</w:t>
      </w:r>
    </w:p>
    <w:p w14:paraId="620F7A98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signed receipt validation works; commitment and sealed nonce separation verified; routine audit requires no document.</w:t>
      </w:r>
    </w:p>
    <w:p w14:paraId="06DEFB01" w14:textId="77777777" w:rsidR="00744D0F" w:rsidRDefault="00C0130D" w:rsidP="002D2ACC">
      <w:pPr>
        <w:pStyle w:val="Heading3"/>
        <w:jc w:val="both"/>
      </w:pPr>
      <w:r>
        <w:t>Milestone 7 — Reliability and recovery</w:t>
      </w:r>
    </w:p>
    <w:p w14:paraId="33500A6A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PostgreSQL-backed session state preserves cleanup</w:t>
      </w:r>
      <w:r>
        <w:rPr>
          <w:color w:val="333333"/>
        </w:rPr>
        <w:t xml:space="preserve"> ownership across service restarts; worker crash recovers safely; backup and restore of the single PostgreSQL container is tested.</w:t>
      </w:r>
    </w:p>
    <w:p w14:paraId="20AC4F10" w14:textId="77777777" w:rsidR="00744D0F" w:rsidRDefault="00C0130D" w:rsidP="002D2ACC">
      <w:pPr>
        <w:pStyle w:val="Heading3"/>
        <w:jc w:val="both"/>
      </w:pPr>
      <w:r>
        <w:t>Milestone 8 — Security validation</w:t>
      </w:r>
    </w:p>
    <w:p w14:paraId="0D61E864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>Success: SAST, dependency scanning, DAST, and parser fuzzing completed; known findings docu</w:t>
      </w:r>
      <w:r>
        <w:rPr>
          <w:color w:val="333333"/>
        </w:rPr>
        <w:t>mented and prioritised. Penetration test is recommended before any production pilot and is out of scope for the prototype phase.</w:t>
      </w:r>
    </w:p>
    <w:p w14:paraId="001CF410" w14:textId="77777777" w:rsidR="00744D0F" w:rsidRDefault="00744D0F" w:rsidP="002D2ACC">
      <w:pPr>
        <w:spacing w:before="80" w:after="80"/>
        <w:jc w:val="both"/>
      </w:pPr>
    </w:p>
    <w:p w14:paraId="71CBB1F9" w14:textId="77777777" w:rsidR="00744D0F" w:rsidRDefault="00744D0F" w:rsidP="002D2ACC">
      <w:pPr>
        <w:pageBreakBefore/>
        <w:spacing w:before="240"/>
        <w:jc w:val="both"/>
      </w:pPr>
    </w:p>
    <w:p w14:paraId="2E778516" w14:textId="77777777" w:rsidR="00744D0F" w:rsidRDefault="00C0130D" w:rsidP="002D2ACC">
      <w:pPr>
        <w:pStyle w:val="Heading1"/>
        <w:pBdr>
          <w:bottom w:val="single" w:sz="4" w:space="4" w:color="2E75B6"/>
        </w:pBdr>
        <w:jc w:val="both"/>
      </w:pPr>
      <w:r>
        <w:t>5. Implementation Feasibility</w:t>
      </w:r>
    </w:p>
    <w:p w14:paraId="3A3966F2" w14:textId="77777777" w:rsidR="00744D0F" w:rsidRDefault="00C0130D" w:rsidP="002D2ACC">
      <w:pPr>
        <w:pStyle w:val="Heading2"/>
        <w:jc w:val="both"/>
      </w:pPr>
      <w:r>
        <w:t>Part 1 — Team Responsibility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44D0F" w14:paraId="107F8AC7" w14:textId="77777777">
        <w:trPr>
          <w:tblHeader/>
        </w:trPr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3678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6A4A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</w:tr>
      <w:tr w:rsidR="00744D0F" w14:paraId="1776924E" w14:textId="77777777"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AB5E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Backend core including session service, upload token, FastAPI skeleton, and Docker Compose setup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9FC07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Backend Engineer</w:t>
            </w:r>
          </w:p>
        </w:tc>
      </w:tr>
      <w:tr w:rsidR="00744D0F" w14:paraId="309D7DE5" w14:textId="77777777"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742E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Extraction pipeline including PyMuPDF, OCR, canonical schema, and field normalisation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EB3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Extraction Engineer</w:t>
            </w:r>
          </w:p>
        </w:tc>
      </w:tr>
      <w:tr w:rsidR="00744D0F" w14:paraId="65526965" w14:textId="77777777"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820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Connector framework </w:t>
            </w:r>
            <w:r>
              <w:rPr>
                <w:color w:val="333333"/>
                <w:sz w:val="20"/>
                <w:szCs w:val="20"/>
              </w:rPr>
              <w:t>including broker interface, VIT mock, VC mock, and trust engine logic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E79E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Integration Engineer</w:t>
            </w:r>
          </w:p>
        </w:tc>
      </w:tr>
      <w:tr w:rsidR="00744D0F" w14:paraId="392326DE" w14:textId="77777777"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22F18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Frontend including React viewer, PDF rendering, grounding highlights, and trust result display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78AB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Frontend Engineer</w:t>
            </w:r>
          </w:p>
        </w:tc>
      </w:tr>
      <w:tr w:rsidR="00744D0F" w14:paraId="47D22DFA" w14:textId="77777777"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6D7F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Audit and security including PostgreSQL </w:t>
            </w:r>
            <w:r>
              <w:rPr>
                <w:color w:val="333333"/>
                <w:sz w:val="20"/>
                <w:szCs w:val="20"/>
              </w:rPr>
              <w:t>schema, audit receipt, HMAC commitment, cleanup controller, and log redaction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AC84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Audit and Security Engineer</w:t>
            </w:r>
          </w:p>
        </w:tc>
      </w:tr>
    </w:tbl>
    <w:p w14:paraId="653AAA8E" w14:textId="77777777" w:rsidR="00744D0F" w:rsidRDefault="00744D0F" w:rsidP="002D2ACC">
      <w:pPr>
        <w:spacing w:before="80" w:after="80"/>
        <w:jc w:val="both"/>
      </w:pPr>
    </w:p>
    <w:p w14:paraId="16AE0884" w14:textId="77777777" w:rsidR="00744D0F" w:rsidRDefault="00C0130D" w:rsidP="002D2ACC">
      <w:pPr>
        <w:pStyle w:val="Heading2"/>
        <w:jc w:val="both"/>
      </w:pPr>
      <w:r>
        <w:t>Part 2 — Phase Feasibility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4645"/>
        <w:gridCol w:w="1794"/>
        <w:gridCol w:w="2091"/>
      </w:tblGrid>
      <w:tr w:rsidR="00744D0F" w14:paraId="4E2CEB9A" w14:textId="77777777">
        <w:trPr>
          <w:tblHeader/>
        </w:trPr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7E41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5656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E91A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Feasibility Rating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C4557" w14:textId="77777777" w:rsidR="00744D0F" w:rsidRDefault="00C0130D" w:rsidP="002D2ACC">
            <w:pPr>
              <w:jc w:val="both"/>
            </w:pPr>
            <w:r>
              <w:rPr>
                <w:b/>
                <w:bCs/>
                <w:color w:val="FFFFFF"/>
                <w:sz w:val="20"/>
                <w:szCs w:val="20"/>
              </w:rPr>
              <w:t>Estimated Time</w:t>
            </w:r>
          </w:p>
        </w:tc>
      </w:tr>
      <w:tr w:rsidR="00744D0F" w14:paraId="78D72395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5A59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1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D549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Identity, session creation, one-time upload </w:t>
            </w:r>
            <w:r>
              <w:rPr>
                <w:color w:val="333333"/>
                <w:sz w:val="20"/>
                <w:szCs w:val="20"/>
              </w:rPr>
              <w:t>tokens, transient storage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19E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Easy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7839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 week</w:t>
            </w:r>
          </w:p>
        </w:tc>
      </w:tr>
      <w:tr w:rsidR="00744D0F" w14:paraId="1AB376F7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F52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2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B3E9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Durable workflow state, worker lease control, cleanup controller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A3E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6A01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1–1.5 weeks</w:t>
            </w:r>
          </w:p>
        </w:tc>
      </w:tr>
      <w:tr w:rsidR="00744D0F" w14:paraId="1EDCE539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A9F5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3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201A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Text PDF parsing, local OCR, canonical schema extraction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C684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35A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1.5–2 weeks</w:t>
            </w:r>
          </w:p>
        </w:tc>
      </w:tr>
      <w:tr w:rsidR="00744D0F" w14:paraId="138119FC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2781A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4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405B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 xml:space="preserve">Spatial grounding and </w:t>
            </w:r>
            <w:r>
              <w:rPr>
                <w:color w:val="333333"/>
                <w:sz w:val="20"/>
                <w:szCs w:val="20"/>
              </w:rPr>
              <w:t>secure reviewer UI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C4C4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67A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1.5 weeks</w:t>
            </w:r>
          </w:p>
        </w:tc>
      </w:tr>
      <w:tr w:rsidR="00744D0F" w14:paraId="43D39333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E8162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5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66637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VIT registry connector and connector broker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2F1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Easy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2AEC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 week</w:t>
            </w:r>
          </w:p>
        </w:tc>
      </w:tr>
      <w:tr w:rsidR="00744D0F" w14:paraId="22F2D819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E1D9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6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FEE7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Trust engine with assurance-class timeout policy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98D1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6CE8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 week</w:t>
            </w:r>
          </w:p>
        </w:tc>
      </w:tr>
      <w:tr w:rsidR="00744D0F" w14:paraId="0DA7993C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0C6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7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E872A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Audit commitment service, append-only audit store, recovery vault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40BC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Medium-Hard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240B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1.5–2 weeks</w:t>
            </w:r>
          </w:p>
        </w:tc>
      </w:tr>
      <w:tr w:rsidR="00744D0F" w14:paraId="2E8E3547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E411A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8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6606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Network hardening, SIEM integration, security testing baseline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DD74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Medium-Hard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8CDA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1–1.5 weeks</w:t>
            </w:r>
          </w:p>
        </w:tc>
      </w:tr>
      <w:tr w:rsidR="00744D0F" w14:paraId="1A43C4FA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B378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9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D1CC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VC linkage for selected supported samples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325C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D68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1 week</w:t>
            </w:r>
          </w:p>
        </w:tc>
      </w:tr>
      <w:tr w:rsidR="00744D0F" w14:paraId="3A5996F1" w14:textId="77777777">
        <w:tc>
          <w:tcPr>
            <w:tcW w:w="7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77EC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Phase 10</w:t>
            </w:r>
          </w:p>
        </w:tc>
        <w:tc>
          <w:tcPr>
            <w:tcW w:w="468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F0D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Optional Cardano anchoring</w:t>
            </w:r>
          </w:p>
        </w:tc>
        <w:tc>
          <w:tcPr>
            <w:tcW w:w="18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2928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2100" w:type="dxa"/>
            <w:tcBorders>
              <w:top w:val="single" w:sz="1" w:space="0" w:color="BDC7E0"/>
              <w:left w:val="single" w:sz="1" w:space="0" w:color="BDC7E0"/>
              <w:bottom w:val="single" w:sz="1" w:space="0" w:color="BDC7E0"/>
              <w:right w:val="single" w:sz="1" w:space="0" w:color="BDC7E0"/>
            </w:tcBorders>
            <w:shd w:val="clear" w:color="auto" w:fill="EB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86F" w14:textId="77777777" w:rsidR="00744D0F" w:rsidRDefault="00C0130D" w:rsidP="002D2ACC">
            <w:pPr>
              <w:jc w:val="both"/>
            </w:pPr>
            <w:r>
              <w:rPr>
                <w:color w:val="333333"/>
                <w:sz w:val="20"/>
                <w:szCs w:val="20"/>
              </w:rPr>
              <w:t>0.5–1 week</w:t>
            </w:r>
          </w:p>
        </w:tc>
      </w:tr>
    </w:tbl>
    <w:p w14:paraId="1A00735F" w14:textId="77777777" w:rsidR="00744D0F" w:rsidRDefault="00744D0F" w:rsidP="002D2ACC">
      <w:pPr>
        <w:spacing w:before="80" w:after="80"/>
        <w:jc w:val="both"/>
      </w:pPr>
    </w:p>
    <w:p w14:paraId="1E56B27F" w14:textId="77777777" w:rsidR="00744D0F" w:rsidRDefault="00C0130D" w:rsidP="002D2ACC">
      <w:pPr>
        <w:spacing w:before="80" w:after="80"/>
        <w:jc w:val="both"/>
      </w:pPr>
      <w:r>
        <w:rPr>
          <w:b/>
          <w:bCs/>
          <w:color w:val="1F3864"/>
        </w:rPr>
        <w:t xml:space="preserve">Note: </w:t>
      </w:r>
      <w:r>
        <w:rPr>
          <w:color w:val="333333"/>
        </w:rPr>
        <w:t xml:space="preserve">Phases 1–7 </w:t>
      </w:r>
      <w:proofErr w:type="gramStart"/>
      <w:r>
        <w:rPr>
          <w:color w:val="333333"/>
        </w:rPr>
        <w:t>are</w:t>
      </w:r>
      <w:proofErr w:type="gramEnd"/>
      <w:r>
        <w:rPr>
          <w:color w:val="333333"/>
        </w:rPr>
        <w:t xml:space="preserve"> core demo scope. Phases 8–10 are stretch goals and should be treated as optional.</w:t>
      </w:r>
    </w:p>
    <w:p w14:paraId="7F0A6157" w14:textId="77777777" w:rsidR="00744D0F" w:rsidRDefault="00C0130D" w:rsidP="002D2ACC">
      <w:pPr>
        <w:pStyle w:val="Heading2"/>
        <w:jc w:val="both"/>
      </w:pPr>
      <w:r>
        <w:t>Part 3 — Timeline Statement</w:t>
      </w:r>
    </w:p>
    <w:p w14:paraId="4C453114" w14:textId="77777777" w:rsidR="00744D0F" w:rsidRDefault="00C0130D" w:rsidP="002D2ACC">
      <w:pPr>
        <w:spacing w:before="60" w:after="60"/>
        <w:jc w:val="both"/>
      </w:pPr>
      <w:r>
        <w:rPr>
          <w:color w:val="333333"/>
        </w:rPr>
        <w:t xml:space="preserve">Development occurs part time alongside coursework. The total estimated timeline is </w:t>
      </w:r>
      <w:r>
        <w:rPr>
          <w:b/>
          <w:bCs/>
          <w:color w:val="333333"/>
        </w:rPr>
        <w:t>10–14 weeks</w:t>
      </w:r>
      <w:r>
        <w:rPr>
          <w:color w:val="333333"/>
        </w:rPr>
        <w:t>, and the core demo scope is achievab</w:t>
      </w:r>
      <w:r>
        <w:rPr>
          <w:color w:val="333333"/>
        </w:rPr>
        <w:t>le within that window if Phases 8–10 are deprioritised.</w:t>
      </w:r>
    </w:p>
    <w:sectPr w:rsidR="00744D0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BF213" w14:textId="77777777" w:rsidR="00C0130D" w:rsidRDefault="00C0130D">
      <w:r>
        <w:separator/>
      </w:r>
    </w:p>
  </w:endnote>
  <w:endnote w:type="continuationSeparator" w:id="0">
    <w:p w14:paraId="46F70C7A" w14:textId="77777777" w:rsidR="00C0130D" w:rsidRDefault="00C01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F623D" w14:textId="77777777" w:rsidR="00744D0F" w:rsidRDefault="00C0130D">
    <w:pPr>
      <w:pBdr>
        <w:top w:val="single" w:sz="4" w:space="4" w:color="BDC7E0"/>
      </w:pBdr>
      <w:tabs>
        <w:tab w:val="right" w:pos="9360"/>
      </w:tabs>
    </w:pPr>
    <w:r>
      <w:rPr>
        <w:color w:val="AAAAAA"/>
        <w:sz w:val="16"/>
        <w:szCs w:val="16"/>
      </w:rPr>
      <w:t>Confidential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11979" w14:textId="77777777" w:rsidR="00C0130D" w:rsidRDefault="00C0130D">
      <w:r>
        <w:separator/>
      </w:r>
    </w:p>
  </w:footnote>
  <w:footnote w:type="continuationSeparator" w:id="0">
    <w:p w14:paraId="7313454F" w14:textId="77777777" w:rsidR="00C0130D" w:rsidRDefault="00C013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B2EC2" w14:textId="77777777" w:rsidR="00744D0F" w:rsidRDefault="00C0130D">
    <w:pPr>
      <w:pBdr>
        <w:bottom w:val="single" w:sz="6" w:space="4" w:color="2E75B6"/>
      </w:pBdr>
    </w:pPr>
    <w:r>
      <w:rPr>
        <w:color w:val="888888"/>
        <w:sz w:val="18"/>
        <w:szCs w:val="18"/>
      </w:rPr>
      <w:t xml:space="preserve">Secuura × VIT </w:t>
    </w:r>
    <w:proofErr w:type="gramStart"/>
    <w:r>
      <w:rPr>
        <w:color w:val="888888"/>
        <w:sz w:val="18"/>
        <w:szCs w:val="18"/>
      </w:rPr>
      <w:t>POC  |</w:t>
    </w:r>
    <w:proofErr w:type="gramEnd"/>
    <w:r>
      <w:rPr>
        <w:color w:val="888888"/>
        <w:sz w:val="18"/>
        <w:szCs w:val="18"/>
      </w:rPr>
      <w:t xml:space="preserve">  Prototype Delivery Plan  |  Internal Implementation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6D417A"/>
    <w:multiLevelType w:val="hybridMultilevel"/>
    <w:tmpl w:val="B5AE6FB8"/>
    <w:lvl w:ilvl="0" w:tplc="66347A40">
      <w:start w:val="1"/>
      <w:numFmt w:val="bullet"/>
      <w:lvlText w:val="●"/>
      <w:lvlJc w:val="left"/>
      <w:pPr>
        <w:ind w:left="720" w:hanging="360"/>
      </w:pPr>
    </w:lvl>
    <w:lvl w:ilvl="1" w:tplc="4E7EB9A4">
      <w:start w:val="1"/>
      <w:numFmt w:val="bullet"/>
      <w:lvlText w:val="○"/>
      <w:lvlJc w:val="left"/>
      <w:pPr>
        <w:ind w:left="1440" w:hanging="360"/>
      </w:pPr>
    </w:lvl>
    <w:lvl w:ilvl="2" w:tplc="4B9AB39C">
      <w:start w:val="1"/>
      <w:numFmt w:val="bullet"/>
      <w:lvlText w:val="■"/>
      <w:lvlJc w:val="left"/>
      <w:pPr>
        <w:ind w:left="2160" w:hanging="360"/>
      </w:pPr>
    </w:lvl>
    <w:lvl w:ilvl="3" w:tplc="EAE6383C">
      <w:start w:val="1"/>
      <w:numFmt w:val="bullet"/>
      <w:lvlText w:val="●"/>
      <w:lvlJc w:val="left"/>
      <w:pPr>
        <w:ind w:left="2880" w:hanging="360"/>
      </w:pPr>
    </w:lvl>
    <w:lvl w:ilvl="4" w:tplc="C68ED0CE">
      <w:start w:val="1"/>
      <w:numFmt w:val="bullet"/>
      <w:lvlText w:val="○"/>
      <w:lvlJc w:val="left"/>
      <w:pPr>
        <w:ind w:left="3600" w:hanging="360"/>
      </w:pPr>
    </w:lvl>
    <w:lvl w:ilvl="5" w:tplc="1D04A3AC">
      <w:start w:val="1"/>
      <w:numFmt w:val="bullet"/>
      <w:lvlText w:val="■"/>
      <w:lvlJc w:val="left"/>
      <w:pPr>
        <w:ind w:left="4320" w:hanging="360"/>
      </w:pPr>
    </w:lvl>
    <w:lvl w:ilvl="6" w:tplc="89E45410">
      <w:start w:val="1"/>
      <w:numFmt w:val="bullet"/>
      <w:lvlText w:val="●"/>
      <w:lvlJc w:val="left"/>
      <w:pPr>
        <w:ind w:left="5040" w:hanging="360"/>
      </w:pPr>
    </w:lvl>
    <w:lvl w:ilvl="7" w:tplc="6CFECF34">
      <w:start w:val="1"/>
      <w:numFmt w:val="bullet"/>
      <w:lvlText w:val="●"/>
      <w:lvlJc w:val="left"/>
      <w:pPr>
        <w:ind w:left="5760" w:hanging="360"/>
      </w:pPr>
    </w:lvl>
    <w:lvl w:ilvl="8" w:tplc="A45ABB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6C5C5E"/>
    <w:multiLevelType w:val="hybridMultilevel"/>
    <w:tmpl w:val="7CF690F4"/>
    <w:lvl w:ilvl="0" w:tplc="56661CE2">
      <w:start w:val="1"/>
      <w:numFmt w:val="bullet"/>
      <w:lvlText w:val="•"/>
      <w:lvlJc w:val="left"/>
      <w:pPr>
        <w:ind w:left="720" w:hanging="360"/>
      </w:pPr>
    </w:lvl>
    <w:lvl w:ilvl="1" w:tplc="90B856C6">
      <w:numFmt w:val="decimal"/>
      <w:lvlText w:val=""/>
      <w:lvlJc w:val="left"/>
    </w:lvl>
    <w:lvl w:ilvl="2" w:tplc="6254B0FC">
      <w:numFmt w:val="decimal"/>
      <w:lvlText w:val=""/>
      <w:lvlJc w:val="left"/>
    </w:lvl>
    <w:lvl w:ilvl="3" w:tplc="67BC25C6">
      <w:numFmt w:val="decimal"/>
      <w:lvlText w:val=""/>
      <w:lvlJc w:val="left"/>
    </w:lvl>
    <w:lvl w:ilvl="4" w:tplc="A288D0A8">
      <w:numFmt w:val="decimal"/>
      <w:lvlText w:val=""/>
      <w:lvlJc w:val="left"/>
    </w:lvl>
    <w:lvl w:ilvl="5" w:tplc="78EC91F4">
      <w:numFmt w:val="decimal"/>
      <w:lvlText w:val=""/>
      <w:lvlJc w:val="left"/>
    </w:lvl>
    <w:lvl w:ilvl="6" w:tplc="DED2A856">
      <w:numFmt w:val="decimal"/>
      <w:lvlText w:val=""/>
      <w:lvlJc w:val="left"/>
    </w:lvl>
    <w:lvl w:ilvl="7" w:tplc="598CB828">
      <w:numFmt w:val="decimal"/>
      <w:lvlText w:val=""/>
      <w:lvlJc w:val="left"/>
    </w:lvl>
    <w:lvl w:ilvl="8" w:tplc="8D00AEC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D0F"/>
    <w:rsid w:val="00236BAA"/>
    <w:rsid w:val="002D2ACC"/>
    <w:rsid w:val="00556848"/>
    <w:rsid w:val="00744D0F"/>
    <w:rsid w:val="0095506C"/>
    <w:rsid w:val="00AA5525"/>
    <w:rsid w:val="00C0130D"/>
    <w:rsid w:val="00EF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07D7"/>
  <w15:docId w15:val="{BD79E340-912C-4C4A-8D06-CDAC6BF0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1068</Words>
  <Characters>6090</Characters>
  <Application>Microsoft Office Word</Application>
  <DocSecurity>0</DocSecurity>
  <Lines>50</Lines>
  <Paragraphs>14</Paragraphs>
  <ScaleCrop>false</ScaleCrop>
  <Company/>
  <LinksUpToDate>false</LinksUpToDate>
  <CharactersWithSpaces>7144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D</cp:lastModifiedBy>
  <cp:revision>2</cp:revision>
  <dcterms:created xsi:type="dcterms:W3CDTF">2026-03-10T13:25:00Z</dcterms:created>
  <dcterms:modified xsi:type="dcterms:W3CDTF">2026-03-10T13:25:00Z</dcterms:modified>
</cp:coreProperties>
</file>