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8911E" w14:textId="77777777" w:rsidR="00801D7A" w:rsidRDefault="00000000">
      <w:pPr>
        <w:jc w:val="center"/>
      </w:pPr>
      <w:r>
        <w:rPr>
          <w:b/>
          <w:sz w:val="36"/>
        </w:rPr>
        <w:t>Preliminary Statistical Analysis of Chronic Kidney Disease Identification and Risk Patterns Using NHANES 2021-2023</w:t>
      </w:r>
    </w:p>
    <w:p w14:paraId="79A40A15" w14:textId="5AB9FE7D" w:rsidR="00801D7A" w:rsidRDefault="00000000">
      <w:pPr>
        <w:jc w:val="center"/>
      </w:pPr>
      <w:r>
        <w:rPr>
          <w:i/>
          <w:sz w:val="23"/>
        </w:rPr>
        <w:t xml:space="preserve"> Research Report</w:t>
      </w:r>
    </w:p>
    <w:p w14:paraId="2523ADD5" w14:textId="77777777" w:rsidR="00801D7A" w:rsidRDefault="00000000">
      <w:pPr>
        <w:jc w:val="center"/>
      </w:pPr>
      <w:r>
        <w:t>Denis Folitse</w:t>
      </w:r>
      <w:r>
        <w:br/>
        <w:t>Department of Mathematics and Statistics, University of Massachusetts Amherst</w:t>
      </w:r>
      <w:r>
        <w:br/>
        <w:t>October 2026</w:t>
      </w:r>
    </w:p>
    <w:tbl>
      <w:tblPr>
        <w:tblW w:w="0" w:type="auto"/>
        <w:jc w:val="center"/>
        <w:tblLook w:val="04A0" w:firstRow="1" w:lastRow="0" w:firstColumn="1" w:lastColumn="0" w:noHBand="0" w:noVBand="1"/>
      </w:tblPr>
      <w:tblGrid>
        <w:gridCol w:w="10080"/>
      </w:tblGrid>
      <w:tr w:rsidR="00801D7A" w14:paraId="30EE2C0E" w14:textId="77777777">
        <w:trPr>
          <w:jc w:val="center"/>
        </w:trPr>
        <w:tc>
          <w:tcPr>
            <w:tcW w:w="10080" w:type="dxa"/>
            <w:shd w:val="clear" w:color="auto" w:fill="F2F2F2"/>
            <w:vAlign w:val="center"/>
          </w:tcPr>
          <w:p w14:paraId="64D094ED" w14:textId="77777777" w:rsidR="00801D7A" w:rsidRDefault="00000000">
            <w:r>
              <w:rPr>
                <w:b/>
              </w:rPr>
              <w:t xml:space="preserve">Research objective. </w:t>
            </w:r>
            <w:r>
              <w:t>This ongoing project examines chronic kidney disease (CKD) identification and risk patterns in U.S. adults using NHANES 2021-2023, with an initial focus on serum uric acid, demographic adjustment, nonlinear risk relationships, survey-aware inference, and reproducible statistical analysis.</w:t>
            </w:r>
          </w:p>
        </w:tc>
      </w:tr>
    </w:tbl>
    <w:p w14:paraId="3C1CD467" w14:textId="77777777" w:rsidR="00801D7A" w:rsidRDefault="00000000">
      <w:pPr>
        <w:pStyle w:val="Heading1"/>
      </w:pPr>
      <w:r>
        <w:t>1. Background and Research Objective</w:t>
      </w:r>
    </w:p>
    <w:p w14:paraId="390D398D" w14:textId="77777777" w:rsidR="00801D7A" w:rsidRDefault="00000000">
      <w:r>
        <w:t>Chronic kidney disease is a major population-health problem for which earlier identification and improved risk assessment remain important statistical and clinical challenges. This research is part of a broader program to develop and evaluate statistical methods for CKD identification, individualized risk assessment, and, in later longitudinal work, disease progression modeling.</w:t>
      </w:r>
    </w:p>
    <w:p w14:paraId="4B65B0A9" w14:textId="77777777" w:rsidR="00801D7A" w:rsidRDefault="00000000">
      <w:r>
        <w:t>The first empirical phase uses contemporary U.S. population data to establish a transparent and reproducible analytic foundation. The initial research question is: among U.S. adults represented in NHANES 2021-2023, how is serum uric acid associated with single-visit laboratory-defined CKD after accounting for key demographic factors, does the relationship show evidence of nonlinearity, and does allowing nonlinear structure materially improve in-sample probability accuracy?</w:t>
      </w:r>
    </w:p>
    <w:p w14:paraId="17372674" w14:textId="77777777" w:rsidR="00801D7A" w:rsidRDefault="00000000">
      <w:r>
        <w:t>The project is intentionally method-focused. The current analysis does not claim that CKD prediction models or nonlinear analyses are new. Instead, it establishes a reproducible platform for subsequent work on interpretable continuous risk relationships, heterogeneity, calibration, validation, and methodological development.</w:t>
      </w:r>
    </w:p>
    <w:p w14:paraId="39CAE890" w14:textId="77777777" w:rsidR="00801D7A" w:rsidRDefault="00000000">
      <w:pPr>
        <w:pStyle w:val="Heading1"/>
      </w:pPr>
      <w:r>
        <w:t>2. Data and Analytic Sample</w:t>
      </w:r>
    </w:p>
    <w:p w14:paraId="3848AD89" w14:textId="77777777" w:rsidR="00801D7A" w:rsidRDefault="00000000">
      <w:r>
        <w:t>The analysis uses the 2021-2023 National Health and Nutrition Examination Survey (NHANES). Three components were integrated by participant identifier: demographic data (DEMO_L), urine albumin and creatinine data (ALB_CR_L), and standard biochemistry profile data (BIOPRO_L). The demographic component contained 11,933 participants. Restricting to adults aged 20 years or older yielded 7,809 participants.</w:t>
      </w:r>
    </w:p>
    <w:p w14:paraId="573636B6" w14:textId="77777777" w:rsidR="00801D7A" w:rsidRDefault="00000000">
      <w:pPr>
        <w:pStyle w:val="Heading2"/>
      </w:pPr>
      <w:r>
        <w:t>2.1 Sample construction</w:t>
      </w:r>
    </w:p>
    <w:tbl>
      <w:tblPr>
        <w:tblStyle w:val="TableGrid"/>
        <w:tblW w:w="0" w:type="auto"/>
        <w:jc w:val="center"/>
        <w:tblLook w:val="04A0" w:firstRow="1" w:lastRow="0" w:firstColumn="1" w:lastColumn="0" w:noHBand="0" w:noVBand="1"/>
      </w:tblPr>
      <w:tblGrid>
        <w:gridCol w:w="5040"/>
        <w:gridCol w:w="5040"/>
      </w:tblGrid>
      <w:tr w:rsidR="00801D7A" w14:paraId="5B19F61A" w14:textId="77777777">
        <w:trPr>
          <w:jc w:val="center"/>
        </w:trPr>
        <w:tc>
          <w:tcPr>
            <w:tcW w:w="5040" w:type="dxa"/>
          </w:tcPr>
          <w:p w14:paraId="55DDCB11" w14:textId="77777777" w:rsidR="00801D7A" w:rsidRDefault="00000000">
            <w:r>
              <w:t>Sample stage</w:t>
            </w:r>
          </w:p>
        </w:tc>
        <w:tc>
          <w:tcPr>
            <w:tcW w:w="5040" w:type="dxa"/>
          </w:tcPr>
          <w:p w14:paraId="38C43B0B" w14:textId="77777777" w:rsidR="00801D7A" w:rsidRDefault="00000000">
            <w:r>
              <w:t>N</w:t>
            </w:r>
          </w:p>
        </w:tc>
      </w:tr>
      <w:tr w:rsidR="00801D7A" w14:paraId="02927974" w14:textId="77777777">
        <w:trPr>
          <w:jc w:val="center"/>
        </w:trPr>
        <w:tc>
          <w:tcPr>
            <w:tcW w:w="5040" w:type="dxa"/>
          </w:tcPr>
          <w:p w14:paraId="0E032CDF" w14:textId="77777777" w:rsidR="00801D7A" w:rsidRDefault="00000000">
            <w:r>
              <w:t>NHANES participants</w:t>
            </w:r>
          </w:p>
        </w:tc>
        <w:tc>
          <w:tcPr>
            <w:tcW w:w="5040" w:type="dxa"/>
          </w:tcPr>
          <w:p w14:paraId="2ADD304B" w14:textId="77777777" w:rsidR="00801D7A" w:rsidRDefault="00000000">
            <w:r>
              <w:t>11,933</w:t>
            </w:r>
          </w:p>
        </w:tc>
      </w:tr>
      <w:tr w:rsidR="00801D7A" w14:paraId="63742121" w14:textId="77777777">
        <w:trPr>
          <w:jc w:val="center"/>
        </w:trPr>
        <w:tc>
          <w:tcPr>
            <w:tcW w:w="5040" w:type="dxa"/>
          </w:tcPr>
          <w:p w14:paraId="484A0033" w14:textId="77777777" w:rsidR="00801D7A" w:rsidRDefault="00000000">
            <w:r>
              <w:t>Adults aged 20 years or older</w:t>
            </w:r>
          </w:p>
        </w:tc>
        <w:tc>
          <w:tcPr>
            <w:tcW w:w="5040" w:type="dxa"/>
          </w:tcPr>
          <w:p w14:paraId="59F6930C" w14:textId="77777777" w:rsidR="00801D7A" w:rsidRDefault="00000000">
            <w:r>
              <w:t>7,809</w:t>
            </w:r>
          </w:p>
        </w:tc>
      </w:tr>
      <w:tr w:rsidR="00801D7A" w14:paraId="2415AB9C" w14:textId="77777777">
        <w:trPr>
          <w:jc w:val="center"/>
        </w:trPr>
        <w:tc>
          <w:tcPr>
            <w:tcW w:w="5040" w:type="dxa"/>
          </w:tcPr>
          <w:p w14:paraId="7927CCCC" w14:textId="77777777" w:rsidR="00801D7A" w:rsidRDefault="00000000">
            <w:r>
              <w:t>Serum creatinine observed</w:t>
            </w:r>
          </w:p>
        </w:tc>
        <w:tc>
          <w:tcPr>
            <w:tcW w:w="5040" w:type="dxa"/>
          </w:tcPr>
          <w:p w14:paraId="06E897D6" w14:textId="77777777" w:rsidR="00801D7A" w:rsidRDefault="00000000">
            <w:r>
              <w:t>5,443</w:t>
            </w:r>
          </w:p>
        </w:tc>
      </w:tr>
      <w:tr w:rsidR="00801D7A" w14:paraId="133CBB98" w14:textId="77777777">
        <w:trPr>
          <w:jc w:val="center"/>
        </w:trPr>
        <w:tc>
          <w:tcPr>
            <w:tcW w:w="5040" w:type="dxa"/>
          </w:tcPr>
          <w:p w14:paraId="6E65425B" w14:textId="77777777" w:rsidR="00801D7A" w:rsidRDefault="00000000">
            <w:r>
              <w:t>Urine albumin-creatinine ratio observed</w:t>
            </w:r>
          </w:p>
        </w:tc>
        <w:tc>
          <w:tcPr>
            <w:tcW w:w="5040" w:type="dxa"/>
          </w:tcPr>
          <w:p w14:paraId="3DAF9039" w14:textId="77777777" w:rsidR="00801D7A" w:rsidRDefault="00000000">
            <w:r>
              <w:t>5,910</w:t>
            </w:r>
          </w:p>
        </w:tc>
      </w:tr>
      <w:tr w:rsidR="00801D7A" w14:paraId="38D39565" w14:textId="77777777">
        <w:trPr>
          <w:jc w:val="center"/>
        </w:trPr>
        <w:tc>
          <w:tcPr>
            <w:tcW w:w="5040" w:type="dxa"/>
          </w:tcPr>
          <w:p w14:paraId="1BF56461" w14:textId="77777777" w:rsidR="00801D7A" w:rsidRDefault="00000000">
            <w:r>
              <w:t>Serum uric acid observed</w:t>
            </w:r>
          </w:p>
        </w:tc>
        <w:tc>
          <w:tcPr>
            <w:tcW w:w="5040" w:type="dxa"/>
          </w:tcPr>
          <w:p w14:paraId="30188C85" w14:textId="77777777" w:rsidR="00801D7A" w:rsidRDefault="00000000">
            <w:r>
              <w:t>5,446</w:t>
            </w:r>
          </w:p>
        </w:tc>
      </w:tr>
      <w:tr w:rsidR="00801D7A" w14:paraId="6DCCF86F" w14:textId="77777777">
        <w:trPr>
          <w:jc w:val="center"/>
        </w:trPr>
        <w:tc>
          <w:tcPr>
            <w:tcW w:w="5040" w:type="dxa"/>
          </w:tcPr>
          <w:p w14:paraId="28171DAF" w14:textId="77777777" w:rsidR="00801D7A" w:rsidRDefault="00000000">
            <w:r>
              <w:t>Complete kidney markers and serum uric acid</w:t>
            </w:r>
          </w:p>
        </w:tc>
        <w:tc>
          <w:tcPr>
            <w:tcW w:w="5040" w:type="dxa"/>
          </w:tcPr>
          <w:p w14:paraId="19DA7BD2" w14:textId="77777777" w:rsidR="00801D7A" w:rsidRDefault="00000000">
            <w:r>
              <w:t>5,343</w:t>
            </w:r>
          </w:p>
        </w:tc>
      </w:tr>
      <w:tr w:rsidR="00801D7A" w14:paraId="1FAEB1CD" w14:textId="77777777">
        <w:trPr>
          <w:jc w:val="center"/>
        </w:trPr>
        <w:tc>
          <w:tcPr>
            <w:tcW w:w="5040" w:type="dxa"/>
          </w:tcPr>
          <w:p w14:paraId="6B63AFA9" w14:textId="77777777" w:rsidR="00801D7A" w:rsidRDefault="00000000">
            <w:r>
              <w:t>Primary analytic sample</w:t>
            </w:r>
          </w:p>
        </w:tc>
        <w:tc>
          <w:tcPr>
            <w:tcW w:w="5040" w:type="dxa"/>
          </w:tcPr>
          <w:p w14:paraId="6A56D177" w14:textId="77777777" w:rsidR="00801D7A" w:rsidRDefault="00000000">
            <w:r>
              <w:t>5,343</w:t>
            </w:r>
          </w:p>
        </w:tc>
      </w:tr>
    </w:tbl>
    <w:p w14:paraId="0BE7CAB6" w14:textId="77777777" w:rsidR="00801D7A" w:rsidRDefault="00000000">
      <w:r>
        <w:t>The primary analytic sample therefore contained 5,343 adults with serum creatinine, urine albumin-creatinine ratio (UACR), serum uric acid, and the survey-design variables required for the current analysis. All variables used in the initial crude and demographically adjusted regression models were complete in this sample.</w:t>
      </w:r>
    </w:p>
    <w:p w14:paraId="5658554C" w14:textId="77777777" w:rsidR="00801D7A" w:rsidRDefault="00000000">
      <w:r>
        <w:lastRenderedPageBreak/>
        <w:t>As an analytic-sample diagnostic, adults included and not included in the primary sample were compared on basic demographic characteristics. Mean age was 53.9 years in the primary sample and 53.1 years among adults not included; 54.9% and 56.2%, respectively, were female. Some differences in race/ethnicity composition were observed, including a higher unweighted proportion of non-Hispanic White adults in the primary sample (60.0% versus 54.8%) and a lower proportion of non-Hispanic Black adults (11.5% versus 15.4%). These comparisons are descriptive diagnostics and do not establish absence of selection effects.</w:t>
      </w:r>
    </w:p>
    <w:p w14:paraId="15CD32C2" w14:textId="77777777" w:rsidR="00801D7A" w:rsidRDefault="00000000">
      <w:pPr>
        <w:pStyle w:val="Heading1"/>
      </w:pPr>
      <w:r>
        <w:t>3. Outcome and Primary Risk Factor</w:t>
      </w:r>
    </w:p>
    <w:p w14:paraId="7C20F066" w14:textId="77777777" w:rsidR="00801D7A" w:rsidRDefault="00000000">
      <w:pPr>
        <w:pStyle w:val="Heading2"/>
      </w:pPr>
      <w:r>
        <w:t>3.1 Laboratory-defined CKD</w:t>
      </w:r>
    </w:p>
    <w:p w14:paraId="16B3748A" w14:textId="77777777" w:rsidR="00801D7A" w:rsidRDefault="00000000">
      <w:r>
        <w:t>Estimated glomerular filtration rate (eGFR) was calculated from serum creatinine using the 2021 race-free CKD-EPI creatinine equation. The primary outcome was defined from a single NHANES examination as eGFR below 60 mL/min/1.73 m^2 or UACR of at least 30 mg/g. Participants meeting either criterion were classified as having laboratory-defined CKD for this analysis.</w:t>
      </w:r>
    </w:p>
    <w:p w14:paraId="7D8A92CB" w14:textId="77777777" w:rsidR="00801D7A" w:rsidRDefault="00000000">
      <w:r>
        <w:t>This operational definition is not equivalent to a clinically confirmed CKD diagnosis. Clinical CKD requires persistence of kidney abnormalities for at least three months, whereas NHANES provides cross-sectional, single-visit laboratory measurements. Accordingly, this report uses the terms 'laboratory-defined CKD' and 'single-visit laboratory criteria' and does not infer chronicity.</w:t>
      </w:r>
    </w:p>
    <w:p w14:paraId="482E6C95" w14:textId="77777777" w:rsidR="00801D7A" w:rsidRDefault="00000000">
      <w:pPr>
        <w:pStyle w:val="Heading2"/>
      </w:pPr>
      <w:r>
        <w:t>3.2 Serum uric acid</w:t>
      </w:r>
    </w:p>
    <w:p w14:paraId="38086D1E" w14:textId="77777777" w:rsidR="00801D7A" w:rsidRDefault="00000000">
      <w:r>
        <w:t>Serum uric acid (mg/dL) was the initial continuous risk factor examined. This first analysis was designed to study its functional relationship with laboratory-defined CKD rather than to make causal claims about uric acid or to construct a definitive clinical prediction model.</w:t>
      </w:r>
    </w:p>
    <w:p w14:paraId="364EDB56" w14:textId="77777777" w:rsidR="00801D7A" w:rsidRDefault="00000000">
      <w:pPr>
        <w:pStyle w:val="Heading1"/>
      </w:pPr>
      <w:r>
        <w:t>4. Statistical Methods</w:t>
      </w:r>
    </w:p>
    <w:p w14:paraId="0A413801" w14:textId="77777777" w:rsidR="00801D7A" w:rsidRDefault="00000000">
      <w:r>
        <w:t>Descriptive population estimates and the primary association models incorporated the NHANES complex survey design. The phlebotomy examination weight (WTPH2YR) was used because the analysis requires serum biochemistry measurements. Masked variance strata (SDMVSTRA) and primary sampling units (SDMVPSU) were incorporated in the survey design.</w:t>
      </w:r>
    </w:p>
    <w:p w14:paraId="030E35F7" w14:textId="77777777" w:rsidR="00801D7A" w:rsidRDefault="00000000">
      <w:pPr>
        <w:pStyle w:val="Heading2"/>
      </w:pPr>
      <w:r>
        <w:t>4.1 Descriptive analysis</w:t>
      </w:r>
    </w:p>
    <w:p w14:paraId="5338EFAA" w14:textId="77777777" w:rsidR="00801D7A" w:rsidRDefault="00000000">
      <w:r>
        <w:t>Survey-weighted prevalence estimates were calculated for laboratory-defined CKD, reduced eGFR, and albuminuria. Weighted demographic and laboratory characteristics were summarized by CKD status. Unweighted counts were retained to document the observed analytic sample.</w:t>
      </w:r>
    </w:p>
    <w:p w14:paraId="4A4F29AC" w14:textId="77777777" w:rsidR="00801D7A" w:rsidRDefault="00000000">
      <w:pPr>
        <w:pStyle w:val="Heading2"/>
      </w:pPr>
      <w:r>
        <w:t>4.2 Survey-weighted logistic regression</w:t>
      </w:r>
    </w:p>
    <w:p w14:paraId="59FE7EF4" w14:textId="77777777" w:rsidR="00801D7A" w:rsidRDefault="00000000">
      <w:r>
        <w:t>Two survey-weighted logistic regression models were fitted. Model 1 estimated the crude association between serum uric acid and laboratory-defined CKD. Model 2 adjusted for age, sex, and race/ethnicity. The serum uric acid effect was summarized as an odds ratio for a 1 mg/dL higher concentration. Confidence intervals and p-values used survey-design-based inference.</w:t>
      </w:r>
    </w:p>
    <w:p w14:paraId="13593DD2" w14:textId="77777777" w:rsidR="00801D7A" w:rsidRDefault="00000000">
      <w:pPr>
        <w:pStyle w:val="Heading2"/>
      </w:pPr>
      <w:r>
        <w:t>4.3 Nonlinear functional-form assessment</w:t>
      </w:r>
    </w:p>
    <w:p w14:paraId="61A55955" w14:textId="77777777" w:rsidR="00801D7A" w:rsidRDefault="00000000">
      <w:r>
        <w:t>A generalized additive model (GAM) was used to examine whether the adjusted uric-acid relationship materially departed from linearity. The smooth for serum uric acid used a restricted basis dimension (k = 5). NHANES phlebotomy weights were normalized to have mean 1 before use in the GAM, preserving relative weighting while avoiding artificial inflation of the effective information from the numerical scale of the raw sampling weights.</w:t>
      </w:r>
    </w:p>
    <w:p w14:paraId="1F610CFD" w14:textId="77777777" w:rsidR="00801D7A" w:rsidRDefault="00000000">
      <w:r>
        <w:t>The GAM does not incorporate the full complex-survey variance structure in the same manner as the survey-weighted logistic regression. It is therefore treated primarily as a functional-form assessment rather than as the primary source of population-level hypothesis testing. In-sample probability accuracy was summarized with the weighted Brier score; no external validation was performed.</w:t>
      </w:r>
    </w:p>
    <w:p w14:paraId="693C0A18" w14:textId="77777777" w:rsidR="00801D7A" w:rsidRDefault="00000000">
      <w:pPr>
        <w:pStyle w:val="Heading1"/>
      </w:pPr>
      <w:r>
        <w:lastRenderedPageBreak/>
        <w:t>5. Preliminary Results</w:t>
      </w:r>
    </w:p>
    <w:p w14:paraId="3F5C1FCC" w14:textId="77777777" w:rsidR="00801D7A" w:rsidRDefault="00000000">
      <w:pPr>
        <w:pStyle w:val="Heading2"/>
      </w:pPr>
      <w:r>
        <w:t>5.1 CKD prevalence and components</w:t>
      </w:r>
    </w:p>
    <w:p w14:paraId="4C3CB039" w14:textId="77777777" w:rsidR="00801D7A" w:rsidRDefault="00000000">
      <w:r>
        <w:t>Among the 5,343 adults in the primary analytic sample, 925 met at least one laboratory criterion for CKD and 4,418 met neither criterion. The survey-weighted prevalence of laboratory-defined CKD was 14.0% (95% CI: 12.6%-15.6%). Weighted prevalence was 6.21% for reduced eGFR and 9.84% for albuminuria.</w:t>
      </w:r>
    </w:p>
    <w:tbl>
      <w:tblPr>
        <w:tblStyle w:val="TableGrid"/>
        <w:tblW w:w="0" w:type="auto"/>
        <w:jc w:val="center"/>
        <w:tblLook w:val="04A0" w:firstRow="1" w:lastRow="0" w:firstColumn="1" w:lastColumn="0" w:noHBand="0" w:noVBand="1"/>
      </w:tblPr>
      <w:tblGrid>
        <w:gridCol w:w="3360"/>
        <w:gridCol w:w="3360"/>
        <w:gridCol w:w="3360"/>
      </w:tblGrid>
      <w:tr w:rsidR="00801D7A" w14:paraId="58D1355B" w14:textId="77777777">
        <w:trPr>
          <w:jc w:val="center"/>
        </w:trPr>
        <w:tc>
          <w:tcPr>
            <w:tcW w:w="3360" w:type="dxa"/>
          </w:tcPr>
          <w:p w14:paraId="4F414FC0" w14:textId="77777777" w:rsidR="00801D7A" w:rsidRDefault="00000000">
            <w:r>
              <w:t>Outcome</w:t>
            </w:r>
          </w:p>
        </w:tc>
        <w:tc>
          <w:tcPr>
            <w:tcW w:w="3360" w:type="dxa"/>
          </w:tcPr>
          <w:p w14:paraId="179D58D0" w14:textId="77777777" w:rsidR="00801D7A" w:rsidRDefault="00000000">
            <w:r>
              <w:t>Unweighted count</w:t>
            </w:r>
          </w:p>
        </w:tc>
        <w:tc>
          <w:tcPr>
            <w:tcW w:w="3360" w:type="dxa"/>
          </w:tcPr>
          <w:p w14:paraId="0A64D1CC" w14:textId="77777777" w:rsidR="00801D7A" w:rsidRDefault="00000000">
            <w:r>
              <w:t>Survey-weighted estimate</w:t>
            </w:r>
          </w:p>
        </w:tc>
      </w:tr>
      <w:tr w:rsidR="00801D7A" w14:paraId="717815CF" w14:textId="77777777">
        <w:trPr>
          <w:jc w:val="center"/>
        </w:trPr>
        <w:tc>
          <w:tcPr>
            <w:tcW w:w="3360" w:type="dxa"/>
          </w:tcPr>
          <w:p w14:paraId="6CF8D160" w14:textId="77777777" w:rsidR="00801D7A" w:rsidRDefault="00000000">
            <w:r>
              <w:t>Laboratory-defined CKD</w:t>
            </w:r>
          </w:p>
        </w:tc>
        <w:tc>
          <w:tcPr>
            <w:tcW w:w="3360" w:type="dxa"/>
          </w:tcPr>
          <w:p w14:paraId="2085509B" w14:textId="77777777" w:rsidR="00801D7A" w:rsidRDefault="00000000">
            <w:r>
              <w:t>925</w:t>
            </w:r>
          </w:p>
        </w:tc>
        <w:tc>
          <w:tcPr>
            <w:tcW w:w="3360" w:type="dxa"/>
          </w:tcPr>
          <w:p w14:paraId="35720008" w14:textId="77777777" w:rsidR="00801D7A" w:rsidRDefault="00000000">
            <w:r>
              <w:t>14.0% (95% CI 12.6%-15.6%)</w:t>
            </w:r>
          </w:p>
        </w:tc>
      </w:tr>
      <w:tr w:rsidR="00801D7A" w14:paraId="0023C52D" w14:textId="77777777">
        <w:trPr>
          <w:jc w:val="center"/>
        </w:trPr>
        <w:tc>
          <w:tcPr>
            <w:tcW w:w="3360" w:type="dxa"/>
          </w:tcPr>
          <w:p w14:paraId="26E99D69" w14:textId="77777777" w:rsidR="00801D7A" w:rsidRDefault="00000000">
            <w:r>
              <w:t>Reduced eGFR</w:t>
            </w:r>
          </w:p>
        </w:tc>
        <w:tc>
          <w:tcPr>
            <w:tcW w:w="3360" w:type="dxa"/>
          </w:tcPr>
          <w:p w14:paraId="6B489EAE" w14:textId="77777777" w:rsidR="00801D7A" w:rsidRDefault="00000000">
            <w:r>
              <w:t>454</w:t>
            </w:r>
          </w:p>
        </w:tc>
        <w:tc>
          <w:tcPr>
            <w:tcW w:w="3360" w:type="dxa"/>
          </w:tcPr>
          <w:p w14:paraId="5BFC7BBC" w14:textId="77777777" w:rsidR="00801D7A" w:rsidRDefault="00000000">
            <w:r>
              <w:t>6.21%</w:t>
            </w:r>
          </w:p>
        </w:tc>
      </w:tr>
      <w:tr w:rsidR="00801D7A" w14:paraId="25D5558A" w14:textId="77777777">
        <w:trPr>
          <w:jc w:val="center"/>
        </w:trPr>
        <w:tc>
          <w:tcPr>
            <w:tcW w:w="3360" w:type="dxa"/>
          </w:tcPr>
          <w:p w14:paraId="774FF5B5" w14:textId="77777777" w:rsidR="00801D7A" w:rsidRDefault="00000000">
            <w:r>
              <w:t>Albuminuria</w:t>
            </w:r>
          </w:p>
        </w:tc>
        <w:tc>
          <w:tcPr>
            <w:tcW w:w="3360" w:type="dxa"/>
          </w:tcPr>
          <w:p w14:paraId="519220F5" w14:textId="77777777" w:rsidR="00801D7A" w:rsidRDefault="00000000">
            <w:r>
              <w:t>614</w:t>
            </w:r>
          </w:p>
        </w:tc>
        <w:tc>
          <w:tcPr>
            <w:tcW w:w="3360" w:type="dxa"/>
          </w:tcPr>
          <w:p w14:paraId="6E0736FC" w14:textId="77777777" w:rsidR="00801D7A" w:rsidRDefault="00000000">
            <w:r>
              <w:t>9.84%</w:t>
            </w:r>
          </w:p>
        </w:tc>
      </w:tr>
    </w:tbl>
    <w:p w14:paraId="043F4982" w14:textId="77777777" w:rsidR="00801D7A" w:rsidRDefault="00000000">
      <w:pPr>
        <w:pStyle w:val="Heading2"/>
      </w:pPr>
      <w:r>
        <w:t>5.2 Descriptive characteristics</w:t>
      </w:r>
    </w:p>
    <w:p w14:paraId="0AF3A073" w14:textId="77777777" w:rsidR="00801D7A" w:rsidRDefault="00000000">
      <w:r>
        <w:t>Adults meeting the laboratory-defined CKD criteria were older on average than adults meeting neither criterion (survey-weighted mean age 61.9 versus 46.5 years). Approximately 61.4% of the CKD group was aged 60 years or older, compared with 25.5% of the non-CKD group. Weighted mean serum uric acid was 5.54 mg/dL in the CKD group and 5.12 mg/dL in the non-CKD group.</w:t>
      </w:r>
    </w:p>
    <w:p w14:paraId="3F5F134D" w14:textId="77777777" w:rsidR="00801D7A" w:rsidRDefault="00000000">
      <w:r>
        <w:t>The weighted sex distribution was similar across groups (53.0% female among adults meeting CKD criteria versus 51.1% among those meeting neither criterion). Race/ethnicity distributions also differed descriptively; for example, non-Hispanic Black adults represented 15.2% of the CKD group and 10.1% of the non-CKD group. These comparisons are descriptive and should not be interpreted causally.</w:t>
      </w:r>
    </w:p>
    <w:p w14:paraId="3D743B4D" w14:textId="77777777" w:rsidR="00801D7A" w:rsidRDefault="00000000">
      <w:pPr>
        <w:pStyle w:val="Heading2"/>
      </w:pPr>
      <w:r>
        <w:t>5.3 Survey-weighted association with serum uric acid</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01D7A" w14:paraId="413FF6A9" w14:textId="77777777">
        <w:trPr>
          <w:jc w:val="center"/>
        </w:trPr>
        <w:tc>
          <w:tcPr>
            <w:tcW w:w="2016" w:type="dxa"/>
          </w:tcPr>
          <w:p w14:paraId="2F13DA02" w14:textId="77777777" w:rsidR="00801D7A" w:rsidRDefault="00000000">
            <w:r>
              <w:t>Model</w:t>
            </w:r>
          </w:p>
        </w:tc>
        <w:tc>
          <w:tcPr>
            <w:tcW w:w="2016" w:type="dxa"/>
          </w:tcPr>
          <w:p w14:paraId="279F3AD2" w14:textId="77777777" w:rsidR="00801D7A" w:rsidRDefault="00000000">
            <w:r>
              <w:t>OR per 1 mg/dL</w:t>
            </w:r>
          </w:p>
        </w:tc>
        <w:tc>
          <w:tcPr>
            <w:tcW w:w="2016" w:type="dxa"/>
          </w:tcPr>
          <w:p w14:paraId="22A057B1" w14:textId="77777777" w:rsidR="00801D7A" w:rsidRDefault="00000000">
            <w:r>
              <w:t>95% CI</w:t>
            </w:r>
          </w:p>
        </w:tc>
        <w:tc>
          <w:tcPr>
            <w:tcW w:w="2016" w:type="dxa"/>
          </w:tcPr>
          <w:p w14:paraId="7C50ED20" w14:textId="77777777" w:rsidR="00801D7A" w:rsidRDefault="00000000">
            <w:r>
              <w:t>p-value</w:t>
            </w:r>
          </w:p>
        </w:tc>
        <w:tc>
          <w:tcPr>
            <w:tcW w:w="2016" w:type="dxa"/>
          </w:tcPr>
          <w:p w14:paraId="47A5DDEF" w14:textId="77777777" w:rsidR="00801D7A" w:rsidRDefault="00000000">
            <w:r>
              <w:t>Adjustment</w:t>
            </w:r>
          </w:p>
        </w:tc>
      </w:tr>
      <w:tr w:rsidR="00801D7A" w14:paraId="4B9BFA06" w14:textId="77777777">
        <w:trPr>
          <w:jc w:val="center"/>
        </w:trPr>
        <w:tc>
          <w:tcPr>
            <w:tcW w:w="2016" w:type="dxa"/>
          </w:tcPr>
          <w:p w14:paraId="4DE68D42" w14:textId="77777777" w:rsidR="00801D7A" w:rsidRDefault="00000000">
            <w:r>
              <w:t>Model 1</w:t>
            </w:r>
          </w:p>
        </w:tc>
        <w:tc>
          <w:tcPr>
            <w:tcW w:w="2016" w:type="dxa"/>
          </w:tcPr>
          <w:p w14:paraId="20C5EAFB" w14:textId="77777777" w:rsidR="00801D7A" w:rsidRDefault="00000000">
            <w:r>
              <w:t>1.22</w:t>
            </w:r>
          </w:p>
        </w:tc>
        <w:tc>
          <w:tcPr>
            <w:tcW w:w="2016" w:type="dxa"/>
          </w:tcPr>
          <w:p w14:paraId="63D45607" w14:textId="77777777" w:rsidR="00801D7A" w:rsidRDefault="00000000">
            <w:r>
              <w:t>1.14-1.31</w:t>
            </w:r>
          </w:p>
        </w:tc>
        <w:tc>
          <w:tcPr>
            <w:tcW w:w="2016" w:type="dxa"/>
          </w:tcPr>
          <w:p w14:paraId="63F5493F" w14:textId="77777777" w:rsidR="00801D7A" w:rsidRDefault="00000000">
            <w:r>
              <w:t>&lt;0.001</w:t>
            </w:r>
          </w:p>
        </w:tc>
        <w:tc>
          <w:tcPr>
            <w:tcW w:w="2016" w:type="dxa"/>
          </w:tcPr>
          <w:p w14:paraId="5407D5A5" w14:textId="77777777" w:rsidR="00801D7A" w:rsidRDefault="00000000">
            <w:r>
              <w:t>None</w:t>
            </w:r>
          </w:p>
        </w:tc>
      </w:tr>
      <w:tr w:rsidR="00801D7A" w14:paraId="7884FA96" w14:textId="77777777">
        <w:trPr>
          <w:jc w:val="center"/>
        </w:trPr>
        <w:tc>
          <w:tcPr>
            <w:tcW w:w="2016" w:type="dxa"/>
          </w:tcPr>
          <w:p w14:paraId="39D3A547" w14:textId="77777777" w:rsidR="00801D7A" w:rsidRDefault="00000000">
            <w:r>
              <w:t>Model 2</w:t>
            </w:r>
          </w:p>
        </w:tc>
        <w:tc>
          <w:tcPr>
            <w:tcW w:w="2016" w:type="dxa"/>
          </w:tcPr>
          <w:p w14:paraId="07785A41" w14:textId="77777777" w:rsidR="00801D7A" w:rsidRDefault="00000000">
            <w:r>
              <w:t>1.26</w:t>
            </w:r>
          </w:p>
        </w:tc>
        <w:tc>
          <w:tcPr>
            <w:tcW w:w="2016" w:type="dxa"/>
          </w:tcPr>
          <w:p w14:paraId="2F2B31B4" w14:textId="77777777" w:rsidR="00801D7A" w:rsidRDefault="00000000">
            <w:r>
              <w:t>1.16-1.37</w:t>
            </w:r>
          </w:p>
        </w:tc>
        <w:tc>
          <w:tcPr>
            <w:tcW w:w="2016" w:type="dxa"/>
          </w:tcPr>
          <w:p w14:paraId="271E81D0" w14:textId="77777777" w:rsidR="00801D7A" w:rsidRDefault="00000000">
            <w:r>
              <w:t>&lt;0.001</w:t>
            </w:r>
          </w:p>
        </w:tc>
        <w:tc>
          <w:tcPr>
            <w:tcW w:w="2016" w:type="dxa"/>
          </w:tcPr>
          <w:p w14:paraId="5866BD9C" w14:textId="77777777" w:rsidR="00801D7A" w:rsidRDefault="00000000">
            <w:r>
              <w:t>Age, sex, race/ethnicity</w:t>
            </w:r>
          </w:p>
        </w:tc>
      </w:tr>
    </w:tbl>
    <w:p w14:paraId="208E426E" w14:textId="77777777" w:rsidR="00801D7A" w:rsidRDefault="00000000">
      <w:r>
        <w:t>In the crude survey-weighted model, each 1 mg/dL higher serum uric acid concentration was associated with 22% higher odds of meeting the laboratory-defined CKD criteria. After adjustment for age, sex, and race/ethnicity, the estimated odds ratio was 1.26 (95% CI: 1.16-1.37; design-based p &lt; 0.001). Thus, demographic adjustment did not attenuate the observed uric-acid association in this preliminary model.</w:t>
      </w:r>
    </w:p>
    <w:p w14:paraId="0C974C0F" w14:textId="77777777" w:rsidR="00801D7A" w:rsidRDefault="00000000">
      <w:r>
        <w:t>Age was also strongly associated with the outcome in the adjusted model. The estimated age coefficient was 0.0590 on the log-odds scale, corresponding to an odds ratio of approximately 1.06 per additional year under the model's linear-age specification. These associations are cross-sectional and do not establish causality.</w:t>
      </w:r>
    </w:p>
    <w:p w14:paraId="234D839D" w14:textId="77777777" w:rsidR="00801D7A" w:rsidRDefault="00000000">
      <w:pPr>
        <w:pStyle w:val="Heading2"/>
      </w:pPr>
      <w:r>
        <w:t>5.4 Nonlinear assessment and probability accuracy</w:t>
      </w:r>
    </w:p>
    <w:p w14:paraId="6FBEDF4C" w14:textId="77777777" w:rsidR="00801D7A" w:rsidRDefault="00000000">
      <w:r>
        <w:t>The normalized-weight GAM indicated curvature in the adjusted serum uric acid relationship. With k = 5, the smooth term had an estimated degrees of freedom of 3.00, rather than approximately 1 as would be expected for an essentially linear smooth. This result supports continued investigation of nonlinear functional forms. Because the GAM is not a full design-based NHANES model, its approximate significance tests are not used as the principal inferential evidence.</w:t>
      </w:r>
    </w:p>
    <w:tbl>
      <w:tblPr>
        <w:tblStyle w:val="TableGrid"/>
        <w:tblW w:w="0" w:type="auto"/>
        <w:jc w:val="center"/>
        <w:tblLook w:val="04A0" w:firstRow="1" w:lastRow="0" w:firstColumn="1" w:lastColumn="0" w:noHBand="0" w:noVBand="1"/>
      </w:tblPr>
      <w:tblGrid>
        <w:gridCol w:w="5040"/>
        <w:gridCol w:w="5040"/>
      </w:tblGrid>
      <w:tr w:rsidR="00801D7A" w14:paraId="4A685078" w14:textId="77777777">
        <w:trPr>
          <w:jc w:val="center"/>
        </w:trPr>
        <w:tc>
          <w:tcPr>
            <w:tcW w:w="5040" w:type="dxa"/>
          </w:tcPr>
          <w:p w14:paraId="08894878" w14:textId="77777777" w:rsidR="00801D7A" w:rsidRDefault="00000000">
            <w:r>
              <w:t>Model</w:t>
            </w:r>
          </w:p>
        </w:tc>
        <w:tc>
          <w:tcPr>
            <w:tcW w:w="5040" w:type="dxa"/>
          </w:tcPr>
          <w:p w14:paraId="15ADDF9D" w14:textId="77777777" w:rsidR="00801D7A" w:rsidRDefault="00000000">
            <w:r>
              <w:t>Weighted Brier score</w:t>
            </w:r>
          </w:p>
        </w:tc>
      </w:tr>
      <w:tr w:rsidR="00801D7A" w14:paraId="53A90A75" w14:textId="77777777">
        <w:trPr>
          <w:jc w:val="center"/>
        </w:trPr>
        <w:tc>
          <w:tcPr>
            <w:tcW w:w="5040" w:type="dxa"/>
          </w:tcPr>
          <w:p w14:paraId="1EE3DB8B" w14:textId="77777777" w:rsidR="00801D7A" w:rsidRDefault="00000000">
            <w:r>
              <w:t>Survey-weighted logistic model</w:t>
            </w:r>
          </w:p>
        </w:tc>
        <w:tc>
          <w:tcPr>
            <w:tcW w:w="5040" w:type="dxa"/>
          </w:tcPr>
          <w:p w14:paraId="266A3612" w14:textId="77777777" w:rsidR="00801D7A" w:rsidRDefault="00000000">
            <w:r>
              <w:t>0.103</w:t>
            </w:r>
          </w:p>
        </w:tc>
      </w:tr>
      <w:tr w:rsidR="00801D7A" w14:paraId="1E8C611E" w14:textId="77777777">
        <w:trPr>
          <w:jc w:val="center"/>
        </w:trPr>
        <w:tc>
          <w:tcPr>
            <w:tcW w:w="5040" w:type="dxa"/>
          </w:tcPr>
          <w:p w14:paraId="17031401" w14:textId="77777777" w:rsidR="00801D7A" w:rsidRDefault="00000000">
            <w:r>
              <w:t>Weighted GAM</w:t>
            </w:r>
          </w:p>
        </w:tc>
        <w:tc>
          <w:tcPr>
            <w:tcW w:w="5040" w:type="dxa"/>
          </w:tcPr>
          <w:p w14:paraId="6C233A9C" w14:textId="77777777" w:rsidR="00801D7A" w:rsidRDefault="00000000">
            <w:r>
              <w:t>0.102</w:t>
            </w:r>
          </w:p>
        </w:tc>
      </w:tr>
    </w:tbl>
    <w:p w14:paraId="0A768BB3" w14:textId="77777777" w:rsidR="00801D7A" w:rsidRDefault="00000000">
      <w:r>
        <w:t>Despite the observed curvature, the GAM's weighted in-sample Brier score (0.102) was only slightly lower than that of the demographically adjusted survey-weighted logistic model (0.103). The preliminary result therefore does not suggest a dramatic gain in overall probability accuracy from the more flexible specification.</w:t>
      </w:r>
    </w:p>
    <w:p w14:paraId="00DA16AA" w14:textId="77777777" w:rsidR="00801D7A" w:rsidRDefault="00000000">
      <w:pPr>
        <w:pStyle w:val="Heading1"/>
      </w:pPr>
      <w:r>
        <w:lastRenderedPageBreak/>
        <w:t>6. Interpretation, Limitations, and Next Steps</w:t>
      </w:r>
    </w:p>
    <w:p w14:paraId="49A439EB" w14:textId="77777777" w:rsidR="00801D7A" w:rsidRDefault="00000000">
      <w:r>
        <w:t>The preliminary analysis provides evidence that serum uric acid is associated with single-visit laboratory-defined CKD after demographic adjustment and that the adjusted relationship may contain nonlinear structure. At the same time, the small difference in Brier scores illustrates why detecting curvature should not automatically be equated with a large improvement in predictive performance.</w:t>
      </w:r>
    </w:p>
    <w:p w14:paraId="3C4ED51F" w14:textId="77777777" w:rsidR="00801D7A" w:rsidRDefault="00000000">
      <w:pPr>
        <w:ind w:left="288"/>
      </w:pPr>
      <w:r>
        <w:rPr>
          <w:b/>
        </w:rPr>
        <w:t xml:space="preserve">• </w:t>
      </w:r>
      <w:r>
        <w:t>NHANES is cross-sectional; the analysis cannot establish the three-month chronicity required for a clinical CKD diagnosis or model future CKD progression.</w:t>
      </w:r>
    </w:p>
    <w:p w14:paraId="3752E905" w14:textId="77777777" w:rsidR="00801D7A" w:rsidRDefault="00000000">
      <w:pPr>
        <w:ind w:left="288"/>
      </w:pPr>
      <w:r>
        <w:rPr>
          <w:b/>
        </w:rPr>
        <w:t xml:space="preserve">• </w:t>
      </w:r>
      <w:r>
        <w:t>The current outcome is laboratory-defined from single-visit eGFR and UACR measurements and should not be interpreted as clinically adjudicated CKD.</w:t>
      </w:r>
    </w:p>
    <w:p w14:paraId="02C227BB" w14:textId="77777777" w:rsidR="00801D7A" w:rsidRDefault="00000000">
      <w:pPr>
        <w:ind w:left="288"/>
      </w:pPr>
      <w:r>
        <w:rPr>
          <w:b/>
        </w:rPr>
        <w:t xml:space="preserve">• </w:t>
      </w:r>
      <w:r>
        <w:t>The initial adjusted model includes demographic covariates only. It is not presented as a fully adjusted etiologic or clinical risk model.</w:t>
      </w:r>
    </w:p>
    <w:p w14:paraId="6D7AEC46" w14:textId="77777777" w:rsidR="00801D7A" w:rsidRDefault="00000000">
      <w:pPr>
        <w:ind w:left="288"/>
      </w:pPr>
      <w:r>
        <w:rPr>
          <w:b/>
        </w:rPr>
        <w:t xml:space="preserve">• </w:t>
      </w:r>
      <w:r>
        <w:t>The GAM is used to examine functional form with normalized sampling weights; it is not treated as equivalent to full design-based survey inference.</w:t>
      </w:r>
    </w:p>
    <w:p w14:paraId="1FC7343E" w14:textId="77777777" w:rsidR="00801D7A" w:rsidRDefault="00000000">
      <w:pPr>
        <w:ind w:left="288"/>
      </w:pPr>
      <w:r>
        <w:rPr>
          <w:b/>
        </w:rPr>
        <w:t xml:space="preserve">• </w:t>
      </w:r>
      <w:r>
        <w:t>Model-performance results are in-sample. External validation, transportability assessment, and more complete calibration evaluation remain future work.</w:t>
      </w:r>
    </w:p>
    <w:p w14:paraId="382BEDD7" w14:textId="77777777" w:rsidR="00801D7A" w:rsidRDefault="00000000">
      <w:pPr>
        <w:ind w:left="288"/>
      </w:pPr>
      <w:r>
        <w:rPr>
          <w:b/>
        </w:rPr>
        <w:t xml:space="preserve">• </w:t>
      </w:r>
      <w:r>
        <w:t>The primary analytic sample depends on availability of laboratory components. Demographic comparisons showed some differences between included and nonincluded adults, which will be considered in interpretation and future sensitivity analyses.</w:t>
      </w:r>
    </w:p>
    <w:p w14:paraId="0850173E" w14:textId="77777777" w:rsidR="00801D7A" w:rsidRDefault="00000000">
      <w:r>
        <w:t>The next stages of the research program will extend this foundation to richer risk-factor assessment, interpretable nonlinear modeling, subgroup heterogeneity, calibration and validation, and methodological work on individualized risk assessment. Longitudinal datasets will be required for the later objective of modeling CKD progression.</w:t>
      </w:r>
    </w:p>
    <w:p w14:paraId="0398599A" w14:textId="77777777" w:rsidR="00801D7A" w:rsidRDefault="00000000">
      <w:pPr>
        <w:pStyle w:val="Heading1"/>
      </w:pPr>
      <w:r>
        <w:t>7. Reproducibility and Ongoing Research Record</w:t>
      </w:r>
    </w:p>
    <w:p w14:paraId="06B225A4" w14:textId="77777777" w:rsidR="00801D7A" w:rsidRDefault="00000000">
      <w:r>
        <w:t>The project is organized as a reproducible research repository. The workflow separates literature and gap assessment, data and variable inventory, data preparation, exploratory analysis, statistical modeling, figures, tables, and the research report. Raw and processed restricted working data are excluded from the public repository, while code and non-sensitive research outputs document the analytic workflow.</w:t>
      </w:r>
    </w:p>
    <w:p w14:paraId="7B5ABCFF" w14:textId="77777777" w:rsidR="00801D7A" w:rsidRDefault="00000000">
      <w:r>
        <w:t>Core scripts include: 01_data_preparation.R for NHANES integration and outcome construction; 02_exploratory_analysis.R for survey-aware descriptive analysis and analytic-sample diagnostics; and 03_risk_modeling.R for survey-weighted logistic regression, nonlinear functional-form assessment, and preliminary model evaluation.</w:t>
      </w:r>
    </w:p>
    <w:p w14:paraId="63117A38" w14:textId="77777777" w:rsidR="00801D7A" w:rsidRDefault="00000000">
      <w:pPr>
        <w:pStyle w:val="Heading1"/>
      </w:pPr>
      <w:r>
        <w:t>8. Preliminary Conclusion</w:t>
      </w:r>
    </w:p>
    <w:p w14:paraId="308AB2A7" w14:textId="77777777" w:rsidR="00801D7A" w:rsidRDefault="00000000">
      <w:r>
        <w:t>In this preliminary analysis of NHANES 2021-2023, higher serum uric acid was associated with greater odds of meeting single-visit laboratory criteria for CKD after demographic adjustment. Exploratory nonlinear modeling suggested that the relationship may not be adequately characterized by a strictly linear functional form, although allowing nonlinear structure produced only a small improvement in in-sample probability accuracy. These findings motivate continued investigation of interpretable nonlinear risk relationships, population heterogeneity, calibration, and validation as part of the broader CKD statistical research program.</w:t>
      </w:r>
    </w:p>
    <w:p w14:paraId="53F47141" w14:textId="77777777" w:rsidR="00801D7A" w:rsidRDefault="00000000">
      <w:pPr>
        <w:pStyle w:val="Heading1"/>
      </w:pPr>
      <w:r>
        <w:t>Research Status Note</w:t>
      </w:r>
    </w:p>
    <w:p w14:paraId="63A9BA7B" w14:textId="77777777" w:rsidR="00801D7A" w:rsidRDefault="00000000">
      <w:r>
        <w:t>This document reports ongoing preliminary research as of October 2026. It is intended to document the development and implementation of the research program and should not be read as a peer-reviewed publication, a completed clinical prediction model, or a causal analysis.</w:t>
      </w:r>
    </w:p>
    <w:sectPr w:rsidR="00801D7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C6CCA" w14:textId="77777777" w:rsidR="00A5100F" w:rsidRDefault="00A5100F">
      <w:pPr>
        <w:spacing w:after="0" w:line="240" w:lineRule="auto"/>
      </w:pPr>
      <w:r>
        <w:separator/>
      </w:r>
    </w:p>
  </w:endnote>
  <w:endnote w:type="continuationSeparator" w:id="0">
    <w:p w14:paraId="7E0E07D4" w14:textId="77777777" w:rsidR="00A5100F" w:rsidRDefault="00A51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A5AA01" w14:textId="77777777" w:rsidR="00801D7A" w:rsidRDefault="00000000">
    <w:pPr>
      <w:pStyle w:val="Footer"/>
      <w:jc w:val="center"/>
    </w:pPr>
    <w:r>
      <w:t xml:space="preserve">Denis Folitse | Preliminary CKD Analysis | </w:t>
    </w:r>
    <w:r>
      <w:fldChar w:fldCharType="begin"/>
    </w:r>
    <w:r>
      <w:instrText>PAGE</w:instrText>
    </w:r>
    <w:r w:rsidR="00105404">
      <w:fldChar w:fldCharType="separate"/>
    </w:r>
    <w:r w:rsidR="001054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64F5A" w14:textId="77777777" w:rsidR="00A5100F" w:rsidRDefault="00A5100F">
      <w:pPr>
        <w:spacing w:after="0" w:line="240" w:lineRule="auto"/>
      </w:pPr>
      <w:r>
        <w:separator/>
      </w:r>
    </w:p>
  </w:footnote>
  <w:footnote w:type="continuationSeparator" w:id="0">
    <w:p w14:paraId="3101A295" w14:textId="77777777" w:rsidR="00A5100F" w:rsidRDefault="00A51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059950">
    <w:abstractNumId w:val="8"/>
  </w:num>
  <w:num w:numId="2" w16cid:durableId="312371131">
    <w:abstractNumId w:val="6"/>
  </w:num>
  <w:num w:numId="3" w16cid:durableId="1499543209">
    <w:abstractNumId w:val="5"/>
  </w:num>
  <w:num w:numId="4" w16cid:durableId="1890334532">
    <w:abstractNumId w:val="4"/>
  </w:num>
  <w:num w:numId="5" w16cid:durableId="901015569">
    <w:abstractNumId w:val="7"/>
  </w:num>
  <w:num w:numId="6" w16cid:durableId="1440876961">
    <w:abstractNumId w:val="3"/>
  </w:num>
  <w:num w:numId="7" w16cid:durableId="293557745">
    <w:abstractNumId w:val="2"/>
  </w:num>
  <w:num w:numId="8" w16cid:durableId="2004164788">
    <w:abstractNumId w:val="1"/>
  </w:num>
  <w:num w:numId="9" w16cid:durableId="1281187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04"/>
    <w:rsid w:val="0015074B"/>
    <w:rsid w:val="0029639D"/>
    <w:rsid w:val="00326F90"/>
    <w:rsid w:val="00801D7A"/>
    <w:rsid w:val="00824609"/>
    <w:rsid w:val="00A51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E53FF"/>
  <w14:defaultImageDpi w14:val="300"/>
  <w15:docId w15:val="{4F702724-3D50-1C46-A659-561CD0F5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1966</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 Folitse</cp:lastModifiedBy>
  <cp:revision>2</cp:revision>
  <dcterms:created xsi:type="dcterms:W3CDTF">2013-12-23T23:15:00Z</dcterms:created>
  <dcterms:modified xsi:type="dcterms:W3CDTF">2026-10-30T03:10:00Z</dcterms:modified>
  <cp:category/>
</cp:coreProperties>
</file>