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right"/>
      </w:pPr>
      <w:r>
        <w:rPr>
          <w:rFonts w:ascii="Roboto" w:cs="Roboto" w:eastAsia="Roboto" w:hAnsi="Roboto"/>
          <w:i/>
          <w:iCs/>
          <w:color w:val="1A1A1A"/>
          <w:sz w:val="21"/>
          <w:szCs w:val="21"/>
        </w:rPr>
        <w:t xml:space="preserve">Ciudad de México, a [__] de octubre de 2026</w:t>
      </w:r>
    </w:p>
    <w:p>
      <w:pPr>
        <w:spacing w:after="60"/>
        <w:jc w:val="center"/>
      </w:pPr>
      <w:r>
        <w:rPr>
          <w:rFonts w:ascii="Cabin" w:cs="Cabin" w:eastAsia="Cabin" w:hAnsi="Cabin"/>
          <w:b/>
          <w:bCs/>
          <w:color w:val="9D2148"/>
          <w:sz w:val="30"/>
          <w:szCs w:val="30"/>
        </w:rPr>
        <w:t xml:space="preserve">NOTA INFORMATIVA</w:t>
      </w:r>
    </w:p>
    <w:p>
      <w:pPr>
        <w:spacing w:after="200"/>
        <w:jc w:val="center"/>
      </w:pPr>
      <w:r>
        <w:rPr>
          <w:rFonts w:ascii="Roboto" w:cs="Roboto" w:eastAsia="Roboto" w:hAnsi="Roboto"/>
          <w:b/>
          <w:bCs/>
          <w:color w:val="3A3C3E"/>
          <w:sz w:val="22"/>
          <w:szCs w:val="22"/>
        </w:rPr>
        <w:t xml:space="preserve">Para la Unidad de Transparencia de la Secretaría del Medio Ambiente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80"/>
            </w:pPr>
            <w:r>
              <w:rPr>
                <w:rFonts w:ascii="Roboto" w:cs="Roboto" w:eastAsia="Roboto" w:hAnsi="Roboto"/>
                <w:b/>
                <w:bCs/>
                <w:color w:val="9D2148"/>
                <w:sz w:val="21"/>
                <w:szCs w:val="21"/>
              </w:rPr>
              <w:t xml:space="preserve">Asunto: </w:t>
            </w:r>
            <w:r>
              <w:rPr>
                <w:rFonts w:ascii="Roboto" w:cs="Roboto" w:eastAsia="Roboto" w:hAnsi="Roboto"/>
                <w:color w:val="1A1A1A"/>
                <w:sz w:val="21"/>
                <w:szCs w:val="21"/>
              </w:rPr>
              <w:t xml:space="preserve">Solicitud de revisión de los avisos de privacidad, adecuados a la Ley de Protección de Datos Personales en Posesión de Sujetos Obligados de la Ciudad de México vigente, y orientación para el registro del sistema de datos personales de la herramienta «Modelo de priorización de reforestación urbana».</w:t>
            </w:r>
          </w:p>
        </w:tc>
      </w:tr>
    </w:tbl>
    <w:p>
      <w:pPr>
        <w:keepNext/>
        <w:pBdr>
          <w:bottom w:val="single" w:color="B28E5C" w:sz="6" w:space="4"/>
        </w:pBdr>
        <w:spacing w:after="140" w:before="280"/>
      </w:pPr>
      <w:r>
        <w:rPr>
          <w:rFonts w:ascii="Cabin" w:cs="Cabin" w:eastAsia="Cabin" w:hAnsi="Cabin"/>
          <w:b/>
          <w:bCs/>
          <w:color w:val="9D2148"/>
          <w:sz w:val="25"/>
          <w:szCs w:val="25"/>
        </w:rPr>
        <w:t xml:space="preserve">1. Objeto y antecedentes</w:t>
      </w:r>
    </w:p>
    <w:p>
      <w:pPr>
        <w:spacing w:after="140" w:before="0" w:line="300"/>
        <w:jc w:val="both"/>
      </w:pPr>
      <w:r>
        <w:rPr>
          <w:rFonts w:ascii="Roboto" w:cs="Roboto" w:eastAsia="Roboto" w:hAnsi="Roboto"/>
          <w:color w:val="1A1A1A"/>
          <w:sz w:val="21"/>
          <w:szCs w:val="21"/>
        </w:rPr>
        <w:t xml:space="preserve">La Oficina de la Secretaría, por medio del Sistema de Información Ambiental (SIA), desarrolló la herramienta </w:t>
      </w:r>
      <w:r>
        <w:rPr>
          <w:rFonts w:ascii="Roboto" w:cs="Roboto" w:eastAsia="Roboto" w:hAnsi="Roboto"/>
          <w:b/>
          <w:bCs/>
          <w:color w:val="1A1A1A"/>
          <w:sz w:val="21"/>
          <w:szCs w:val="21"/>
        </w:rPr>
        <w:t xml:space="preserve">Modelo de priorización de reforestación urbana</w:t>
      </w:r>
      <w:r>
        <w:rPr>
          <w:rFonts w:ascii="Roboto" w:cs="Roboto" w:eastAsia="Roboto" w:hAnsi="Roboto"/>
          <w:color w:val="1A1A1A"/>
          <w:sz w:val="21"/>
          <w:szCs w:val="21"/>
        </w:rPr>
        <w:t xml:space="preserve">: un mapa de consulta para que las alcaldías y las dependencias del Gobierno de la Ciudad identifiquen las colonias, calles y vialidades primarias que conviene reforestar primero, según el modelo de priorización de la Secretaría.</w:t>
      </w:r>
    </w:p>
    <w:p>
      <w:pPr>
        <w:spacing w:after="140" w:before="0" w:line="300"/>
        <w:jc w:val="left"/>
      </w:pPr>
      <w:r>
        <w:rPr>
          <w:rFonts w:ascii="Roboto" w:cs="Roboto" w:eastAsia="Roboto" w:hAnsi="Roboto"/>
          <w:color w:val="1A1A1A"/>
          <w:sz w:val="21"/>
          <w:szCs w:val="21"/>
        </w:rPr>
        <w:t xml:space="preserve">Para su instalación en el dominio </w:t>
      </w:r>
      <w:r>
        <w:rPr>
          <w:rFonts w:ascii="Consolas" w:cs="Consolas" w:eastAsia="Consolas" w:hAnsi="Consolas"/>
          <w:b w:val="false"/>
          <w:bCs w:val="false"/>
          <w:color w:val="1A1A1A"/>
          <w:sz w:val="21"/>
          <w:szCs w:val="21"/>
        </w:rPr>
        <w:t xml:space="preserve">sedema.sia.cdmx.gob.mx</w:t>
      </w:r>
      <w:r>
        <w:rPr>
          <w:rFonts w:ascii="Roboto" w:cs="Roboto" w:eastAsia="Roboto" w:hAnsi="Roboto"/>
          <w:color w:val="1A1A1A"/>
          <w:sz w:val="21"/>
          <w:szCs w:val="21"/>
        </w:rPr>
        <w:t xml:space="preserve">, la Secretaría determinó que el acceso sea </w:t>
      </w:r>
      <w:r>
        <w:rPr>
          <w:rFonts w:ascii="Roboto" w:cs="Roboto" w:eastAsia="Roboto" w:hAnsi="Roboto"/>
          <w:b/>
          <w:bCs/>
          <w:color w:val="1A1A1A"/>
          <w:sz w:val="21"/>
          <w:szCs w:val="21"/>
        </w:rPr>
        <w:t xml:space="preserve">restringido a cuentas autorizadas</w:t>
      </w:r>
      <w:r>
        <w:rPr>
          <w:rFonts w:ascii="Roboto" w:cs="Roboto" w:eastAsia="Roboto" w:hAnsi="Roboto"/>
          <w:color w:val="1A1A1A"/>
          <w:sz w:val="21"/>
          <w:szCs w:val="21"/>
        </w:rPr>
        <w:t xml:space="preserve"> y que se </w:t>
      </w:r>
      <w:r>
        <w:rPr>
          <w:rFonts w:ascii="Roboto" w:cs="Roboto" w:eastAsia="Roboto" w:hAnsi="Roboto"/>
          <w:b/>
          <w:bCs/>
          <w:color w:val="1A1A1A"/>
          <w:sz w:val="21"/>
          <w:szCs w:val="21"/>
        </w:rPr>
        <w:t xml:space="preserve">registre su uso</w:t>
      </w:r>
      <w:r>
        <w:rPr>
          <w:rFonts w:ascii="Roboto" w:cs="Roboto" w:eastAsia="Roboto" w:hAnsi="Roboto"/>
          <w:color w:val="1A1A1A"/>
          <w:sz w:val="21"/>
          <w:szCs w:val="21"/>
        </w:rPr>
        <w:t xml:space="preserve">: accesos, territorios consultados y archivos descargados. Con ello se controla quién accede y se conoce qué instituciones y alcaldías la utilizan.</w:t>
      </w:r>
    </w:p>
    <w:p>
      <w:pPr>
        <w:spacing w:after="140" w:before="0" w:line="300"/>
        <w:jc w:val="both"/>
      </w:pPr>
      <w:r>
        <w:rPr>
          <w:rFonts w:ascii="Roboto" w:cs="Roboto" w:eastAsia="Roboto" w:hAnsi="Roboto"/>
          <w:color w:val="1A1A1A"/>
          <w:sz w:val="21"/>
          <w:szCs w:val="21"/>
        </w:rPr>
        <w:t xml:space="preserve">Este registro constituye un tratamiento de datos personales nuevo. Los avisos de privacidad se redactaron en octubre con la ley de 2018, que fue abrogada por la </w:t>
      </w:r>
      <w:r>
        <w:rPr>
          <w:rFonts w:ascii="Roboto" w:cs="Roboto" w:eastAsia="Roboto" w:hAnsi="Roboto"/>
          <w:b/>
          <w:bCs/>
          <w:color w:val="1A1A1A"/>
          <w:sz w:val="21"/>
          <w:szCs w:val="21"/>
        </w:rPr>
        <w:t xml:space="preserve">Ley de Protección de Datos Personales en Posesión de Sujetos Obligados de la Ciudad de México publicada en la Gaceta Oficial el 13 de julio de 2026</w:t>
      </w:r>
      <w:r>
        <w:rPr>
          <w:rStyle w:val="FootnoteReference"/>
        </w:rPr>
        <w:footnoteReference w:id="1"/>
      </w:r>
      <w:r>
        <w:rPr>
          <w:rFonts w:ascii="Roboto" w:cs="Roboto" w:eastAsia="Roboto" w:hAnsi="Roboto"/>
          <w:color w:val="1A1A1A"/>
          <w:sz w:val="21"/>
          <w:szCs w:val="21"/>
        </w:rPr>
        <w:t xml:space="preserve">. Una revisión interna del 19 de octubre detectó que el aviso integral citaba el artículo 21 Ter de la ley abrogada y que le faltaban apartados que exige la vigente. Esta nota acompaña los avisos ya adecuados.</w:t>
      </w:r>
    </w:p>
    <w:p>
      <w:pPr>
        <w:spacing w:after="140" w:before="0" w:line="300"/>
        <w:jc w:val="both"/>
      </w:pPr>
      <w:r>
        <w:rPr>
          <w:rFonts w:ascii="Roboto" w:cs="Roboto" w:eastAsia="Roboto" w:hAnsi="Roboto"/>
          <w:color w:val="1A1A1A"/>
          <w:sz w:val="21"/>
          <w:szCs w:val="21"/>
        </w:rPr>
        <w:t xml:space="preserve">El módulo de inicio de sesión está construido y probado, pero </w:t>
      </w:r>
      <w:r>
        <w:rPr>
          <w:rFonts w:ascii="Roboto" w:cs="Roboto" w:eastAsia="Roboto" w:hAnsi="Roboto"/>
          <w:b/>
          <w:bCs/>
          <w:color w:val="1A1A1A"/>
          <w:sz w:val="21"/>
          <w:szCs w:val="21"/>
        </w:rPr>
        <w:t xml:space="preserve">no se pondrá en operación</w:t>
      </w:r>
      <w:r>
        <w:rPr>
          <w:rFonts w:ascii="Roboto" w:cs="Roboto" w:eastAsia="Roboto" w:hAnsi="Roboto"/>
          <w:color w:val="1A1A1A"/>
          <w:sz w:val="21"/>
          <w:szCs w:val="21"/>
        </w:rPr>
        <w:t xml:space="preserve"> hasta que esa Unidad apruebe por escrito los avisos de privacidad y se determine la figura del sistema de datos personales.</w:t>
      </w:r>
    </w:p>
    <w:p>
      <w:pPr>
        <w:keepNext/>
        <w:pBdr>
          <w:bottom w:val="single" w:color="B28E5C" w:sz="6" w:space="4"/>
        </w:pBdr>
        <w:spacing w:after="140" w:before="280"/>
      </w:pPr>
      <w:r>
        <w:rPr>
          <w:rFonts w:ascii="Cabin" w:cs="Cabin" w:eastAsia="Cabin" w:hAnsi="Cabin"/>
          <w:b/>
          <w:bCs/>
          <w:color w:val="9D2148"/>
          <w:sz w:val="25"/>
          <w:szCs w:val="25"/>
        </w:rPr>
        <w:t xml:space="preserve">2. Marco jurídico aplicable</w:t>
      </w:r>
    </w:p>
    <w:p>
      <w:pPr>
        <w:spacing w:after="140" w:before="0" w:line="300"/>
        <w:jc w:val="both"/>
      </w:pPr>
      <w:r>
        <w:rPr>
          <w:rFonts w:ascii="Roboto" w:cs="Roboto" w:eastAsia="Roboto" w:hAnsi="Roboto"/>
          <w:color w:val="1A1A1A"/>
          <w:sz w:val="21"/>
          <w:szCs w:val="21"/>
        </w:rPr>
        <w:t xml:space="preserve">Sin perjuicio de la revisión que esa Unidad y el área jurídica realicen, se proponen las siguientes disposiciones, cotejadas con el texto oficial vigente. Los textos literales de la ley de datos personales están en el Anexo 1.</w:t>
      </w:r>
    </w:p>
    <w:p>
      <w:pPr>
        <w:pStyle w:val="ListParagraph"/>
        <w:numPr>
          <w:ilvl w:val="0"/>
          <w:numId w:val="1"/>
        </w:numPr>
        <w:spacing w:after="80" w:line="290"/>
        <w:jc w:val="both"/>
      </w:pPr>
      <w:r>
        <w:rPr>
          <w:rFonts w:ascii="Roboto" w:cs="Roboto" w:eastAsia="Roboto" w:hAnsi="Roboto"/>
          <w:b/>
          <w:bCs/>
          <w:color w:val="1A1A1A"/>
          <w:sz w:val="21"/>
          <w:szCs w:val="21"/>
        </w:rPr>
        <w:t xml:space="preserve">Ley Ambiental de la Ciudad de México</w:t>
      </w:r>
      <w:r>
        <w:rPr>
          <w:rFonts w:ascii="Roboto" w:cs="Roboto" w:eastAsia="Roboto" w:hAnsi="Roboto"/>
          <w:color w:val="1A1A1A"/>
          <w:sz w:val="21"/>
          <w:szCs w:val="21"/>
        </w:rPr>
        <w:t xml:space="preserve">, artículos 7, fracción XXXV, y 270: atribución de la Secretaría para desarrollar el Sistema de Información Ambiental de la Ciudad de México.</w:t>
      </w:r>
    </w:p>
    <w:p>
      <w:pPr>
        <w:pStyle w:val="ListParagraph"/>
        <w:numPr>
          <w:ilvl w:val="0"/>
          <w:numId w:val="1"/>
        </w:numPr>
        <w:spacing w:after="80" w:line="290"/>
        <w:jc w:val="both"/>
      </w:pPr>
      <w:r>
        <w:rPr>
          <w:rFonts w:ascii="Roboto" w:cs="Roboto" w:eastAsia="Roboto" w:hAnsi="Roboto"/>
          <w:b/>
          <w:bCs/>
          <w:color w:val="1A1A1A"/>
          <w:sz w:val="21"/>
          <w:szCs w:val="21"/>
        </w:rPr>
        <w:t xml:space="preserve">Ley de Protección de Datos Personales en Posesión de Sujetos Obligados de la Ciudad de México</w:t>
      </w:r>
      <w:r>
        <w:rPr>
          <w:rFonts w:ascii="Roboto" w:cs="Roboto" w:eastAsia="Roboto" w:hAnsi="Roboto"/>
          <w:color w:val="1A1A1A"/>
          <w:sz w:val="21"/>
          <w:szCs w:val="21"/>
        </w:rPr>
        <w:t xml:space="preserve"> (GOCDMX 13-07-2026):</w:t>
      </w:r>
    </w:p>
    <w:p>
      <w:pPr>
        <w:pStyle w:val="ListParagraph"/>
        <w:numPr>
          <w:ilvl w:val="1"/>
          <w:numId w:val="1"/>
        </w:numPr>
        <w:spacing w:after="80" w:line="290"/>
        <w:jc w:val="both"/>
      </w:pPr>
      <w:r>
        <w:rPr>
          <w:rFonts w:ascii="Roboto" w:cs="Roboto" w:eastAsia="Roboto" w:hAnsi="Roboto"/>
          <w:color w:val="1A1A1A"/>
          <w:sz w:val="21"/>
          <w:szCs w:val="21"/>
        </w:rPr>
        <w:t xml:space="preserve">artículo 15, fracción I: el tratamiento para el ejercicio de las atribuciones legales no requiere consentimiento;</w:t>
      </w:r>
    </w:p>
    <w:p>
      <w:pPr>
        <w:pStyle w:val="ListParagraph"/>
        <w:numPr>
          <w:ilvl w:val="1"/>
          <w:numId w:val="1"/>
        </w:numPr>
        <w:spacing w:after="80" w:line="290"/>
        <w:jc w:val="both"/>
      </w:pPr>
      <w:r>
        <w:rPr>
          <w:rFonts w:ascii="Roboto" w:cs="Roboto" w:eastAsia="Roboto" w:hAnsi="Roboto"/>
          <w:color w:val="1A1A1A"/>
          <w:sz w:val="21"/>
          <w:szCs w:val="21"/>
        </w:rPr>
        <w:t xml:space="preserve">artículos 19 a 23: avisos de privacidad simplificado (art. 21) e integral (art. 23), que ahora exige el nombre del sistema, un apartado de transferencias y los derechos ARCOP;</w:t>
      </w:r>
    </w:p>
    <w:p>
      <w:pPr>
        <w:pStyle w:val="ListParagraph"/>
        <w:numPr>
          <w:ilvl w:val="1"/>
          <w:numId w:val="1"/>
        </w:numPr>
        <w:spacing w:after="80" w:line="290"/>
        <w:jc w:val="both"/>
      </w:pPr>
      <w:r>
        <w:rPr>
          <w:rFonts w:ascii="Roboto" w:cs="Roboto" w:eastAsia="Roboto" w:hAnsi="Roboto"/>
          <w:color w:val="1A1A1A"/>
          <w:sz w:val="21"/>
          <w:szCs w:val="21"/>
        </w:rPr>
        <w:t xml:space="preserve">artículos 38 a 40: creación del sistema de datos personales, su aviso en la Gaceta Oficial y su inscripción en el registro;</w:t>
      </w:r>
    </w:p>
    <w:p>
      <w:pPr>
        <w:pStyle w:val="ListParagraph"/>
        <w:numPr>
          <w:ilvl w:val="1"/>
          <w:numId w:val="1"/>
        </w:numPr>
        <w:spacing w:after="80" w:line="290"/>
        <w:jc w:val="both"/>
      </w:pPr>
      <w:r>
        <w:rPr>
          <w:rFonts w:ascii="Roboto" w:cs="Roboto" w:eastAsia="Roboto" w:hAnsi="Roboto"/>
          <w:color w:val="1A1A1A"/>
          <w:sz w:val="21"/>
          <w:szCs w:val="21"/>
        </w:rPr>
        <w:t xml:space="preserve">artículos 43, 50, 51 y 53: derechos ARCOP, acreditación de identidad, gratuidad y presentación de solicitudes ante la Unidad de Transparencia;</w:t>
      </w:r>
    </w:p>
    <w:p>
      <w:pPr>
        <w:pStyle w:val="ListParagraph"/>
        <w:numPr>
          <w:ilvl w:val="1"/>
          <w:numId w:val="1"/>
        </w:numPr>
        <w:spacing w:after="80" w:line="290"/>
        <w:jc w:val="both"/>
      </w:pPr>
      <w:r>
        <w:rPr>
          <w:rFonts w:ascii="Roboto" w:cs="Roboto" w:eastAsia="Roboto" w:hAnsi="Roboto"/>
          <w:color w:val="1A1A1A"/>
          <w:sz w:val="21"/>
          <w:szCs w:val="21"/>
        </w:rPr>
        <w:t xml:space="preserve">artículo 70: transferencias sin consentimiento;</w:t>
      </w:r>
    </w:p>
    <w:p>
      <w:pPr>
        <w:pStyle w:val="ListParagraph"/>
        <w:numPr>
          <w:ilvl w:val="1"/>
          <w:numId w:val="1"/>
        </w:numPr>
        <w:spacing w:after="80" w:line="290"/>
        <w:jc w:val="both"/>
      </w:pPr>
      <w:r>
        <w:rPr>
          <w:rFonts w:ascii="Roboto" w:cs="Roboto" w:eastAsia="Roboto" w:hAnsi="Roboto"/>
          <w:color w:val="1A1A1A"/>
          <w:sz w:val="21"/>
          <w:szCs w:val="21"/>
        </w:rPr>
        <w:t xml:space="preserve">transitorio cuarto: abrogación de la ley de 2018.</w:t>
      </w:r>
    </w:p>
    <w:p>
      <w:pPr>
        <w:pStyle w:val="ListParagraph"/>
        <w:numPr>
          <w:ilvl w:val="0"/>
          <w:numId w:val="1"/>
        </w:numPr>
        <w:spacing w:after="80" w:line="290"/>
        <w:jc w:val="both"/>
      </w:pPr>
      <w:r>
        <w:rPr>
          <w:rFonts w:ascii="Roboto" w:cs="Roboto" w:eastAsia="Roboto" w:hAnsi="Roboto"/>
          <w:b/>
          <w:bCs/>
          <w:color w:val="1A1A1A"/>
          <w:sz w:val="21"/>
          <w:szCs w:val="21"/>
        </w:rPr>
        <w:t xml:space="preserve">Reglamento Interior del Poder Ejecutivo y de la Administración Pública de la Ciudad de México</w:t>
      </w:r>
      <w:r>
        <w:rPr>
          <w:rFonts w:ascii="Roboto" w:cs="Roboto" w:eastAsia="Roboto" w:hAnsi="Roboto"/>
          <w:color w:val="1A1A1A"/>
          <w:sz w:val="21"/>
          <w:szCs w:val="21"/>
        </w:rPr>
        <w:t xml:space="preserve">, artículo 7, fracción X, que adscribe las unidades administrativas a la Secretaría, y [Art. __, fracc. __] de la unidad que opera el SIA, por precisar.</w:t>
      </w:r>
      <w:r>
        <w:rPr>
          <w:rStyle w:val="FootnoteReference"/>
        </w:rPr>
        <w:footnoteReference w:id="2"/>
      </w:r>
    </w:p>
    <w:p>
      <w:pPr>
        <w:pStyle w:val="ListParagraph"/>
        <w:numPr>
          <w:ilvl w:val="0"/>
          <w:numId w:val="1"/>
        </w:numPr>
        <w:spacing w:after="80" w:line="290"/>
        <w:jc w:val="both"/>
      </w:pPr>
      <w:r>
        <w:rPr>
          <w:rFonts w:ascii="Roboto" w:cs="Roboto" w:eastAsia="Roboto" w:hAnsi="Roboto"/>
          <w:color w:val="1A1A1A"/>
          <w:sz w:val="21"/>
          <w:szCs w:val="21"/>
        </w:rPr>
        <w:t xml:space="preserve">Lineamientos aplicables en materia de protección de datos personales en la Ciudad de México [denominación y numerales vigentes por confirmar].</w:t>
      </w:r>
    </w:p>
    <w:p>
      <w:pPr>
        <w:keepNext/>
        <w:pBdr>
          <w:bottom w:val="single" w:color="B28E5C" w:sz="6" w:space="4"/>
        </w:pBdr>
        <w:spacing w:after="140" w:before="280"/>
      </w:pPr>
      <w:r>
        <w:rPr>
          <w:rFonts w:ascii="Cabin" w:cs="Cabin" w:eastAsia="Cabin" w:hAnsi="Cabin"/>
          <w:b/>
          <w:bCs/>
          <w:color w:val="9D2148"/>
          <w:sz w:val="25"/>
          <w:szCs w:val="25"/>
        </w:rPr>
        <w:t xml:space="preserve">3. Desarrollo</w:t>
      </w:r>
    </w:p>
    <w:p>
      <w:pPr>
        <w:spacing w:after="140" w:before="0" w:line="300"/>
        <w:jc w:val="both"/>
      </w:pPr>
      <w:r>
        <w:rPr>
          <w:rFonts w:ascii="Roboto" w:cs="Roboto" w:eastAsia="Roboto" w:hAnsi="Roboto"/>
          <w:color w:val="1A1A1A"/>
          <w:sz w:val="21"/>
          <w:szCs w:val="21"/>
        </w:rPr>
        <w:t xml:space="preserve">Las personas titulares de los datos son servidoras y servidores públicos de las alcaldías, de dependencias del Gobierno de la Ciudad y de la Secretaría, que usan la herramienta por razón de su función. La Tabla 1 resume el tratamiento con los elementos que pide el artículo 39, fracción II, de la ley para el sistema de datos personales.</w:t>
      </w:r>
    </w:p>
    <w:p>
      <w:pPr>
        <w:keepNext/>
        <w:spacing w:after="100" w:before="160" w:line="240"/>
      </w:pPr>
      <w:r>
        <w:rPr>
          <w:rFonts w:ascii="Roboto" w:cs="Roboto" w:eastAsia="Roboto" w:hAnsi="Roboto"/>
          <w:b/>
          <w:bCs/>
          <w:color w:val="9D2148"/>
          <w:sz w:val="19"/>
          <w:szCs w:val="19"/>
        </w:rPr>
        <w:t xml:space="preserve">Tabla 1. </w:t>
      </w:r>
      <w:r>
        <w:rPr>
          <w:rFonts w:ascii="Roboto" w:cs="Roboto" w:eastAsia="Roboto" w:hAnsi="Roboto"/>
          <w:color w:val="1A1A1A"/>
          <w:sz w:val="19"/>
          <w:szCs w:val="19"/>
        </w:rPr>
        <w:t xml:space="preserve">Inventario del tratamiento de datos personales.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700"/>
        <w:gridCol w:w="7272"/>
      </w:tblGrid>
      <w:tr>
        <w:trPr>
          <w:tblHeader/>
        </w:trPr>
        <w:tc>
          <w:tcPr>
            <w:tcW w:type="dxa" w:w="2700"/>
            <w:tcBorders>
              <w:top w:val="single" w:color="D9D2CA" w:sz="4"/>
              <w:left w:val="single" w:color="D9D2CA" w:sz="4"/>
              <w:bottom w:val="single" w:color="D9D2CA" w:sz="4"/>
              <w:right w:val="single" w:color="D9D2CA" w:sz="4"/>
            </w:tcBorders>
            <w:shd w:fill="9D2148" w:color="auto" w:val="clear"/>
            <w:tcMar>
              <w:top w:type="dxa" w:w="60"/>
              <w:left w:type="dxa" w:w="90"/>
              <w:bottom w:type="dxa" w:w="60"/>
              <w:right w:type="dxa" w:w="90"/>
            </w:tcMar>
            <w:vAlign w:val="center"/>
          </w:tcPr>
          <w:p>
            <w:pPr>
              <w:spacing w:after="0" w:line="250"/>
              <w:jc w:val="left"/>
            </w:pPr>
            <w:r>
              <w:rPr>
                <w:rFonts w:ascii="Roboto" w:cs="Roboto" w:eastAsia="Roboto" w:hAnsi="Roboto"/>
                <w:b/>
                <w:bCs/>
                <w:color w:val="FFFFFF"/>
                <w:sz w:val="18"/>
                <w:szCs w:val="18"/>
              </w:rPr>
              <w:t xml:space="preserve">Elemento</w:t>
            </w:r>
          </w:p>
        </w:tc>
        <w:tc>
          <w:tcPr>
            <w:tcW w:type="dxa" w:w="7272"/>
            <w:tcBorders>
              <w:top w:val="single" w:color="D9D2CA" w:sz="4"/>
              <w:left w:val="single" w:color="D9D2CA" w:sz="4"/>
              <w:bottom w:val="single" w:color="D9D2CA" w:sz="4"/>
              <w:right w:val="single" w:color="D9D2CA" w:sz="4"/>
            </w:tcBorders>
            <w:shd w:fill="9D2148" w:color="auto" w:val="clear"/>
            <w:tcMar>
              <w:top w:type="dxa" w:w="60"/>
              <w:left w:type="dxa" w:w="90"/>
              <w:bottom w:type="dxa" w:w="60"/>
              <w:right w:type="dxa" w:w="90"/>
            </w:tcMar>
            <w:vAlign w:val="center"/>
          </w:tcPr>
          <w:p>
            <w:pPr>
              <w:spacing w:after="0" w:line="250"/>
              <w:jc w:val="left"/>
            </w:pPr>
            <w:r>
              <w:rPr>
                <w:rFonts w:ascii="Roboto" w:cs="Roboto" w:eastAsia="Roboto" w:hAnsi="Roboto"/>
                <w:b/>
                <w:bCs/>
                <w:color w:val="FFFFFF"/>
                <w:sz w:val="18"/>
                <w:szCs w:val="18"/>
              </w:rPr>
              <w:t xml:space="preserve">Descripción</w:t>
            </w:r>
          </w:p>
        </w:tc>
      </w:tr>
      <w:tr>
        <w:trPr>
          <w:cantSplit/>
        </w:trPr>
        <w:tc>
          <w:tcPr>
            <w:tcW w:type="dxa" w:w="27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Nombre propuesto</w:t>
            </w:r>
          </w:p>
        </w:tc>
        <w:tc>
          <w:tcPr>
            <w:tcW w:type="dxa" w:w="72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Cuentas de acceso y bitácora de uso de la herramienta Modelo de priorización de reforestación urbana</w:t>
            </w:r>
          </w:p>
        </w:tc>
      </w:tr>
      <w:tr>
        <w:trPr>
          <w:cantSplit/>
        </w:trPr>
        <w:tc>
          <w:tcPr>
            <w:tcW w:type="dxa" w:w="27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Unidad responsable</w:t>
            </w:r>
          </w:p>
        </w:tc>
        <w:tc>
          <w:tcPr>
            <w:tcW w:type="dxa" w:w="72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Oficina de la Secretaría · Sistema de Información Ambiental</w:t>
            </w:r>
          </w:p>
        </w:tc>
      </w:tr>
      <w:tr>
        <w:trPr>
          <w:cantSplit/>
        </w:trPr>
        <w:tc>
          <w:tcPr>
            <w:tcW w:type="dxa" w:w="27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Personas titulares</w:t>
            </w:r>
          </w:p>
        </w:tc>
        <w:tc>
          <w:tcPr>
            <w:tcW w:type="dxa" w:w="72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Personal de las alcaldías, de dependencias del Gobierno de la Ciudad y de la Secretaría que usa la herramienta por razón de su función</w:t>
            </w:r>
          </w:p>
        </w:tc>
      </w:tr>
      <w:tr>
        <w:trPr>
          <w:cantSplit/>
        </w:trPr>
        <w:tc>
          <w:tcPr>
            <w:tcW w:type="dxa" w:w="27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Datos identificativos</w:t>
            </w:r>
          </w:p>
        </w:tc>
        <w:tc>
          <w:tcPr>
            <w:tcW w:type="dxa" w:w="72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Nombre completo</w:t>
            </w:r>
          </w:p>
        </w:tc>
      </w:tr>
      <w:tr>
        <w:trPr>
          <w:cantSplit/>
        </w:trPr>
        <w:tc>
          <w:tcPr>
            <w:tcW w:type="dxa" w:w="27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Datos electrónicos</w:t>
            </w:r>
          </w:p>
        </w:tc>
        <w:tc>
          <w:tcPr>
            <w:tcW w:type="dxa" w:w="72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Correo electrónico, personal o institucional a elección de la persona; dirección IP; cookie técnica de sesión; huella cifrada de la contraseña (no la contraseña)</w:t>
            </w:r>
          </w:p>
        </w:tc>
      </w:tr>
      <w:tr>
        <w:trPr>
          <w:cantSplit/>
        </w:trPr>
        <w:tc>
          <w:tcPr>
            <w:tcW w:type="dxa" w:w="27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Datos laborales</w:t>
            </w:r>
          </w:p>
        </w:tc>
        <w:tc>
          <w:tcPr>
            <w:tcW w:type="dxa" w:w="72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Institución, alcaldía y permiso en la herramienta</w:t>
            </w:r>
          </w:p>
        </w:tc>
      </w:tr>
      <w:tr>
        <w:trPr>
          <w:cantSplit/>
        </w:trPr>
        <w:tc>
          <w:tcPr>
            <w:tcW w:type="dxa" w:w="27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Datos de uso</w:t>
            </w:r>
          </w:p>
        </w:tc>
        <w:tc>
          <w:tcPr>
            <w:tcW w:type="dxa" w:w="72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Fecha y hora de accesos, intentos fallidos, visitas y cierres de sesión; territorio consultado y filtros aplicados; tipo y nombre de los archivos descargados</w:t>
            </w:r>
          </w:p>
        </w:tc>
      </w:tr>
      <w:tr>
        <w:trPr>
          <w:cantSplit/>
        </w:trPr>
        <w:tc>
          <w:tcPr>
            <w:tcW w:type="dxa" w:w="27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Datos sensibles</w:t>
            </w:r>
          </w:p>
        </w:tc>
        <w:tc>
          <w:tcPr>
            <w:tcW w:type="dxa" w:w="72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Ninguno. La función «Mi ubicación» se calcula en el teléfono de la persona y no se envía ni se guarda</w:t>
            </w:r>
          </w:p>
        </w:tc>
      </w:tr>
      <w:tr>
        <w:trPr>
          <w:cantSplit/>
        </w:trPr>
        <w:tc>
          <w:tcPr>
            <w:tcW w:type="dxa" w:w="27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Finalidades</w:t>
            </w:r>
          </w:p>
        </w:tc>
        <w:tc>
          <w:tcPr>
            <w:tcW w:type="dxa" w:w="72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1) Control de acceso. 2) Seguridad de la información. 3) Seguimiento del uso por institución y alcaldía; los reportes que se difundan serán agregados. El correo solo identifica la cuenta: no se usa para enviar comunicaciones. Ninguna requiere consentimiento (art. 15, fracc. I)</w:t>
            </w:r>
          </w:p>
        </w:tc>
      </w:tr>
      <w:tr>
        <w:trPr>
          <w:cantSplit/>
        </w:trPr>
        <w:tc>
          <w:tcPr>
            <w:tcW w:type="dxa" w:w="27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Origen de los datos</w:t>
            </w:r>
          </w:p>
        </w:tc>
        <w:tc>
          <w:tcPr>
            <w:tcW w:type="dxa" w:w="72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La institución de la persona (alta de la cuenta) y la propia persona al usar la herramienta (registro automático)</w:t>
            </w:r>
          </w:p>
        </w:tc>
      </w:tr>
      <w:tr>
        <w:trPr>
          <w:cantSplit/>
        </w:trPr>
        <w:tc>
          <w:tcPr>
            <w:tcW w:type="dxa" w:w="27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Transferencias</w:t>
            </w:r>
          </w:p>
        </w:tc>
        <w:tc>
          <w:tcPr>
            <w:tcW w:type="dxa" w:w="72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Ninguna, salvo las previstas en el artículo 70 de la ley</w:t>
            </w:r>
          </w:p>
        </w:tc>
      </w:tr>
      <w:tr>
        <w:trPr>
          <w:cantSplit/>
        </w:trPr>
        <w:tc>
          <w:tcPr>
            <w:tcW w:type="dxa" w:w="27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Servicios de terceros</w:t>
            </w:r>
          </w:p>
        </w:tc>
        <w:tc>
          <w:tcPr>
            <w:tcW w:type="dxa" w:w="72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Solo si la persona enciende el fondo «Satélite» (Esri) o abre un enlace a Google Maps, esos servicios reciben la dirección IP de su equipo. La Secretaría no les envía datos del sistema</w:t>
            </w:r>
          </w:p>
        </w:tc>
      </w:tr>
      <w:tr>
        <w:trPr>
          <w:cantSplit/>
        </w:trPr>
        <w:tc>
          <w:tcPr>
            <w:tcW w:type="dxa" w:w="27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Medidas de seguridad</w:t>
            </w:r>
          </w:p>
        </w:tc>
        <w:tc>
          <w:tcPr>
            <w:tcW w:type="dxa" w:w="72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Base de datos en red aislada, con conexiones y respaldos cifrados; cuenta de servicio con privilegios mínimos; contraseñas con huella scrypt y rechazo de contraseñas comunes; bloqueo tras 5 intentos fallidos; contraseña temporal válida 72 horas y solo para crear la propia; cookie cifrada; la IP se excluye de reportes y exportaciones</w:t>
            </w:r>
          </w:p>
        </w:tc>
      </w:tr>
    </w:tbl>
    <w:p>
      <w:pPr>
        <w:spacing w:after="240" w:before="70" w:line="220"/>
      </w:pPr>
      <w:r>
        <w:rPr>
          <w:rFonts w:ascii="Roboto" w:cs="Roboto" w:eastAsia="Roboto" w:hAnsi="Roboto"/>
          <w:i/>
          <w:iCs/>
          <w:color w:val="55585A"/>
          <w:sz w:val="16"/>
          <w:szCs w:val="16"/>
        </w:rPr>
        <w:t xml:space="preserve">Fuente: Secretaría del Medio Ambiente, Sistema de Información Ambiental, módulo de inicio de sesión (08_entrega_sia/login), versión 1.39, octubre de 2026.</w:t>
      </w:r>
    </w:p>
    <w:p>
      <w:pPr>
        <w:spacing w:after="140" w:before="0" w:line="300"/>
        <w:jc w:val="both"/>
      </w:pPr>
      <w:r>
        <w:rPr>
          <w:rFonts w:ascii="Roboto" w:cs="Roboto" w:eastAsia="Roboto" w:hAnsi="Roboto"/>
          <w:color w:val="1A1A1A"/>
          <w:sz w:val="21"/>
          <w:szCs w:val="21"/>
        </w:rPr>
        <w:t xml:space="preserve">Los plazos de conservación se aplican de forma automática en la base de datos: la depuración corre al arrancar el servicio y después una vez al día. Son los mismos que declara el aviso integral. La Tabla 2 los presenta para su contraste con el catálogo de disposición documental.</w:t>
      </w:r>
    </w:p>
    <w:p>
      <w:pPr>
        <w:keepNext/>
        <w:spacing w:after="100" w:before="160" w:line="240"/>
      </w:pPr>
      <w:r>
        <w:rPr>
          <w:rFonts w:ascii="Roboto" w:cs="Roboto" w:eastAsia="Roboto" w:hAnsi="Roboto"/>
          <w:b/>
          <w:bCs/>
          <w:color w:val="9D2148"/>
          <w:sz w:val="19"/>
          <w:szCs w:val="19"/>
        </w:rPr>
        <w:t xml:space="preserve">Tabla 2. </w:t>
      </w:r>
      <w:r>
        <w:rPr>
          <w:rFonts w:ascii="Roboto" w:cs="Roboto" w:eastAsia="Roboto" w:hAnsi="Roboto"/>
          <w:color w:val="1A1A1A"/>
          <w:sz w:val="19"/>
          <w:szCs w:val="19"/>
        </w:rPr>
        <w:t xml:space="preserve">Plazos de conservación propuestos.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6972"/>
      </w:tblGrid>
      <w:tr>
        <w:trPr>
          <w:tblHeader/>
        </w:trPr>
        <w:tc>
          <w:tcPr>
            <w:tcW w:type="dxa" w:w="3000"/>
            <w:tcBorders>
              <w:top w:val="single" w:color="D9D2CA" w:sz="4"/>
              <w:left w:val="single" w:color="D9D2CA" w:sz="4"/>
              <w:bottom w:val="single" w:color="D9D2CA" w:sz="4"/>
              <w:right w:val="single" w:color="D9D2CA" w:sz="4"/>
            </w:tcBorders>
            <w:shd w:fill="9D2148" w:color="auto" w:val="clear"/>
            <w:tcMar>
              <w:top w:type="dxa" w:w="60"/>
              <w:left w:type="dxa" w:w="90"/>
              <w:bottom w:type="dxa" w:w="60"/>
              <w:right w:type="dxa" w:w="90"/>
            </w:tcMar>
            <w:vAlign w:val="center"/>
          </w:tcPr>
          <w:p>
            <w:pPr>
              <w:spacing w:after="0" w:line="250"/>
              <w:jc w:val="left"/>
            </w:pPr>
            <w:r>
              <w:rPr>
                <w:rFonts w:ascii="Roboto" w:cs="Roboto" w:eastAsia="Roboto" w:hAnsi="Roboto"/>
                <w:b/>
                <w:bCs/>
                <w:color w:val="FFFFFF"/>
                <w:sz w:val="18"/>
                <w:szCs w:val="18"/>
              </w:rPr>
              <w:t xml:space="preserve">Dato</w:t>
            </w:r>
          </w:p>
        </w:tc>
        <w:tc>
          <w:tcPr>
            <w:tcW w:type="dxa" w:w="6972"/>
            <w:tcBorders>
              <w:top w:val="single" w:color="D9D2CA" w:sz="4"/>
              <w:left w:val="single" w:color="D9D2CA" w:sz="4"/>
              <w:bottom w:val="single" w:color="D9D2CA" w:sz="4"/>
              <w:right w:val="single" w:color="D9D2CA" w:sz="4"/>
            </w:tcBorders>
            <w:shd w:fill="9D2148" w:color="auto" w:val="clear"/>
            <w:tcMar>
              <w:top w:type="dxa" w:w="60"/>
              <w:left w:type="dxa" w:w="90"/>
              <w:bottom w:type="dxa" w:w="60"/>
              <w:right w:type="dxa" w:w="90"/>
            </w:tcMar>
            <w:vAlign w:val="center"/>
          </w:tcPr>
          <w:p>
            <w:pPr>
              <w:spacing w:after="0" w:line="250"/>
              <w:jc w:val="left"/>
            </w:pPr>
            <w:r>
              <w:rPr>
                <w:rFonts w:ascii="Roboto" w:cs="Roboto" w:eastAsia="Roboto" w:hAnsi="Roboto"/>
                <w:b/>
                <w:bCs/>
                <w:color w:val="FFFFFF"/>
                <w:sz w:val="18"/>
                <w:szCs w:val="18"/>
              </w:rPr>
              <w:t xml:space="preserve">Plazo</w:t>
            </w:r>
          </w:p>
        </w:tc>
      </w:tr>
      <w:tr>
        <w:trPr>
          <w:cantSplit/>
        </w:trPr>
        <w:tc>
          <w:tcPr>
            <w:tcW w:type="dxa" w:w="30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Datos de la cuenta</w:t>
            </w:r>
          </w:p>
        </w:tc>
        <w:tc>
          <w:tcPr>
            <w:tcW w:type="dxa" w:w="69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Mientras la cuenta esté vigente; tras la baja, se conserva desactivada 24 meses y después se elimina (por confirmar con el área coordinadora de archivos)</w:t>
            </w:r>
          </w:p>
        </w:tc>
      </w:tr>
      <w:tr>
        <w:trPr>
          <w:cantSplit/>
        </w:trPr>
        <w:tc>
          <w:tcPr>
            <w:tcW w:type="dxa" w:w="30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Bitácora de uso</w:t>
            </w:r>
          </w:p>
        </w:tc>
        <w:tc>
          <w:tcPr>
            <w:tcW w:type="dxa" w:w="69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24 meses; después se elimina automáticamente</w:t>
            </w:r>
          </w:p>
        </w:tc>
      </w:tr>
      <w:tr>
        <w:trPr>
          <w:cantSplit/>
        </w:trPr>
        <w:tc>
          <w:tcPr>
            <w:tcW w:type="dxa" w:w="30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Dirección IP</w:t>
            </w:r>
          </w:p>
        </w:tc>
        <w:tc>
          <w:tcPr>
            <w:tcW w:type="dxa" w:w="69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6 meses; después se borra automáticamente de la bitácora</w:t>
            </w:r>
          </w:p>
        </w:tc>
      </w:tr>
      <w:tr>
        <w:trPr>
          <w:cantSplit/>
        </w:trPr>
        <w:tc>
          <w:tcPr>
            <w:tcW w:type="dxa" w:w="30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Sesión</w:t>
            </w:r>
          </w:p>
        </w:tc>
        <w:tc>
          <w:tcPr>
            <w:tcW w:type="dxa" w:w="69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Hasta cerrar sesión, 12 horas sin actividad o 7 días como máximo</w:t>
            </w:r>
          </w:p>
        </w:tc>
      </w:tr>
    </w:tbl>
    <w:p>
      <w:pPr>
        <w:spacing w:after="240" w:before="70" w:line="220"/>
      </w:pPr>
      <w:r>
        <w:rPr>
          <w:rFonts w:ascii="Roboto" w:cs="Roboto" w:eastAsia="Roboto" w:hAnsi="Roboto"/>
          <w:i/>
          <w:iCs/>
          <w:color w:val="55585A"/>
          <w:sz w:val="16"/>
          <w:szCs w:val="16"/>
        </w:rPr>
        <w:t xml:space="preserve">Fuente: esquema de base de datos del módulo de inicio de sesión (función priorizacion_reforestacion.depurar), octubre de 2026.</w:t>
      </w:r>
    </w:p>
    <w:p>
      <w:pPr>
        <w:spacing w:after="140" w:before="0" w:line="300"/>
        <w:jc w:val="both"/>
      </w:pPr>
      <w:r>
        <w:rPr>
          <w:rFonts w:ascii="Roboto" w:cs="Roboto" w:eastAsia="Roboto" w:hAnsi="Roboto"/>
          <w:color w:val="1A1A1A"/>
          <w:sz w:val="21"/>
          <w:szCs w:val="21"/>
        </w:rPr>
        <w:t xml:space="preserve">La Tabla 3 resume los cambios de los avisos respecto de la versión de octubre que se preparó con la ley abrogada.</w:t>
      </w:r>
    </w:p>
    <w:p>
      <w:pPr>
        <w:keepNext/>
        <w:spacing w:after="100" w:before="160" w:line="240"/>
      </w:pPr>
      <w:r>
        <w:rPr>
          <w:rFonts w:ascii="Roboto" w:cs="Roboto" w:eastAsia="Roboto" w:hAnsi="Roboto"/>
          <w:b/>
          <w:bCs/>
          <w:color w:val="9D2148"/>
          <w:sz w:val="19"/>
          <w:szCs w:val="19"/>
        </w:rPr>
        <w:t xml:space="preserve">Tabla 3. </w:t>
      </w:r>
      <w:r>
        <w:rPr>
          <w:rFonts w:ascii="Roboto" w:cs="Roboto" w:eastAsia="Roboto" w:hAnsi="Roboto"/>
          <w:color w:val="1A1A1A"/>
          <w:sz w:val="19"/>
          <w:szCs w:val="19"/>
        </w:rPr>
        <w:t xml:space="preserve">Cambios en los avisos de privacidad.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472"/>
      </w:tblGrid>
      <w:tr>
        <w:trPr>
          <w:tblHeader/>
        </w:trPr>
        <w:tc>
          <w:tcPr>
            <w:tcW w:type="dxa" w:w="2300"/>
            <w:tcBorders>
              <w:top w:val="single" w:color="D9D2CA" w:sz="4"/>
              <w:left w:val="single" w:color="D9D2CA" w:sz="4"/>
              <w:bottom w:val="single" w:color="D9D2CA" w:sz="4"/>
              <w:right w:val="single" w:color="D9D2CA" w:sz="4"/>
            </w:tcBorders>
            <w:shd w:fill="9D2148" w:color="auto" w:val="clear"/>
            <w:tcMar>
              <w:top w:type="dxa" w:w="60"/>
              <w:left w:type="dxa" w:w="90"/>
              <w:bottom w:type="dxa" w:w="60"/>
              <w:right w:type="dxa" w:w="90"/>
            </w:tcMar>
            <w:vAlign w:val="center"/>
          </w:tcPr>
          <w:p>
            <w:pPr>
              <w:spacing w:after="0" w:line="250"/>
              <w:jc w:val="left"/>
            </w:pPr>
            <w:r>
              <w:rPr>
                <w:rFonts w:ascii="Roboto" w:cs="Roboto" w:eastAsia="Roboto" w:hAnsi="Roboto"/>
                <w:b/>
                <w:bCs/>
                <w:color w:val="FFFFFF"/>
                <w:sz w:val="18"/>
                <w:szCs w:val="18"/>
              </w:rPr>
              <w:t xml:space="preserve">Apartado</w:t>
            </w:r>
          </w:p>
        </w:tc>
        <w:tc>
          <w:tcPr>
            <w:tcW w:type="dxa" w:w="3200"/>
            <w:tcBorders>
              <w:top w:val="single" w:color="D9D2CA" w:sz="4"/>
              <w:left w:val="single" w:color="D9D2CA" w:sz="4"/>
              <w:bottom w:val="single" w:color="D9D2CA" w:sz="4"/>
              <w:right w:val="single" w:color="D9D2CA" w:sz="4"/>
            </w:tcBorders>
            <w:shd w:fill="9D2148" w:color="auto" w:val="clear"/>
            <w:tcMar>
              <w:top w:type="dxa" w:w="60"/>
              <w:left w:type="dxa" w:w="90"/>
              <w:bottom w:type="dxa" w:w="60"/>
              <w:right w:type="dxa" w:w="90"/>
            </w:tcMar>
            <w:vAlign w:val="center"/>
          </w:tcPr>
          <w:p>
            <w:pPr>
              <w:spacing w:after="0" w:line="250"/>
              <w:jc w:val="left"/>
            </w:pPr>
            <w:r>
              <w:rPr>
                <w:rFonts w:ascii="Roboto" w:cs="Roboto" w:eastAsia="Roboto" w:hAnsi="Roboto"/>
                <w:b/>
                <w:bCs/>
                <w:color w:val="FFFFFF"/>
                <w:sz w:val="18"/>
                <w:szCs w:val="18"/>
              </w:rPr>
              <w:t xml:space="preserve">Antes</w:t>
            </w:r>
          </w:p>
        </w:tc>
        <w:tc>
          <w:tcPr>
            <w:tcW w:type="dxa" w:w="4472"/>
            <w:tcBorders>
              <w:top w:val="single" w:color="D9D2CA" w:sz="4"/>
              <w:left w:val="single" w:color="D9D2CA" w:sz="4"/>
              <w:bottom w:val="single" w:color="D9D2CA" w:sz="4"/>
              <w:right w:val="single" w:color="D9D2CA" w:sz="4"/>
            </w:tcBorders>
            <w:shd w:fill="9D2148" w:color="auto" w:val="clear"/>
            <w:tcMar>
              <w:top w:type="dxa" w:w="60"/>
              <w:left w:type="dxa" w:w="90"/>
              <w:bottom w:type="dxa" w:w="60"/>
              <w:right w:type="dxa" w:w="90"/>
            </w:tcMar>
            <w:vAlign w:val="center"/>
          </w:tcPr>
          <w:p>
            <w:pPr>
              <w:spacing w:after="0" w:line="250"/>
              <w:jc w:val="left"/>
            </w:pPr>
            <w:r>
              <w:rPr>
                <w:rFonts w:ascii="Roboto" w:cs="Roboto" w:eastAsia="Roboto" w:hAnsi="Roboto"/>
                <w:b/>
                <w:bCs/>
                <w:color w:val="FFFFFF"/>
                <w:sz w:val="18"/>
                <w:szCs w:val="18"/>
              </w:rPr>
              <w:t xml:space="preserve">Ahora</w:t>
            </w:r>
          </w:p>
        </w:tc>
      </w:tr>
      <w:tr>
        <w:trPr>
          <w:cantSplit/>
        </w:trPr>
        <w:tc>
          <w:tcPr>
            <w:tcW w:type="dxa" w:w="23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Fundamento</w:t>
            </w:r>
          </w:p>
        </w:tc>
        <w:tc>
          <w:tcPr>
            <w:tcW w:type="dxa" w:w="32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Art. 21 Ter de la ley de 2018 (abrogada)</w:t>
            </w:r>
          </w:p>
        </w:tc>
        <w:tc>
          <w:tcPr>
            <w:tcW w:type="dxa" w:w="44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Arts. 15, fracc. I, 19, 20, 21 y 23 de la ley de 2026</w:t>
            </w:r>
          </w:p>
        </w:tc>
      </w:tr>
      <w:tr>
        <w:trPr>
          <w:cantSplit/>
        </w:trPr>
        <w:tc>
          <w:tcPr>
            <w:tcW w:type="dxa" w:w="23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Nombre del sistema</w:t>
            </w:r>
          </w:p>
        </w:tc>
        <w:tc>
          <w:tcPr>
            <w:tcW w:type="dxa" w:w="32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Solo en el aviso integral</w:t>
            </w:r>
          </w:p>
        </w:tc>
        <w:tc>
          <w:tcPr>
            <w:tcW w:type="dxa" w:w="44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En los dos avisos (arts. 21, fracc. II, y 23, fracc. III)</w:t>
            </w:r>
          </w:p>
        </w:tc>
      </w:tr>
      <w:tr>
        <w:trPr>
          <w:cantSplit/>
        </w:trPr>
        <w:tc>
          <w:tcPr>
            <w:tcW w:type="dxa" w:w="23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Consentimiento</w:t>
            </w:r>
          </w:p>
        </w:tc>
        <w:tc>
          <w:tcPr>
            <w:tcW w:type="dxa" w:w="32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No se decía</w:t>
            </w:r>
          </w:p>
        </w:tc>
        <w:tc>
          <w:tcPr>
            <w:tcW w:type="dxa" w:w="44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Ninguna finalidad lo requiere (art. 15, fracc. I)</w:t>
            </w:r>
          </w:p>
        </w:tc>
      </w:tr>
      <w:tr>
        <w:trPr>
          <w:cantSplit/>
        </w:trPr>
        <w:tc>
          <w:tcPr>
            <w:tcW w:type="dxa" w:w="23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Transferencias</w:t>
            </w:r>
          </w:p>
        </w:tc>
        <w:tc>
          <w:tcPr>
            <w:tcW w:type="dxa" w:w="32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Sin apartado</w:t>
            </w:r>
          </w:p>
        </w:tc>
        <w:tc>
          <w:tcPr>
            <w:tcW w:type="dxa" w:w="44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Apartado propio: no se transfieren, salvo los casos del art. 70 (art. 23, fracc. VI)</w:t>
            </w:r>
          </w:p>
        </w:tc>
      </w:tr>
      <w:tr>
        <w:trPr>
          <w:cantSplit/>
        </w:trPr>
        <w:tc>
          <w:tcPr>
            <w:tcW w:type="dxa" w:w="23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Derechos</w:t>
            </w:r>
          </w:p>
        </w:tc>
        <w:tc>
          <w:tcPr>
            <w:tcW w:type="dxa" w:w="32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ARCO</w:t>
            </w:r>
          </w:p>
        </w:tc>
        <w:tc>
          <w:tcPr>
            <w:tcW w:type="dxa" w:w="44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ARCOP, con medios, gratuidad y acreditación de identidad (arts. 23, fracc. VII, 50, 51 y 53)</w:t>
            </w:r>
          </w:p>
        </w:tc>
      </w:tr>
      <w:tr>
        <w:trPr>
          <w:cantSplit/>
        </w:trPr>
        <w:tc>
          <w:tcPr>
            <w:tcW w:type="dxa" w:w="23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Servicios de terceros</w:t>
            </w:r>
          </w:p>
        </w:tc>
        <w:tc>
          <w:tcPr>
            <w:tcW w:type="dxa" w:w="32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No se decía</w:t>
            </w:r>
          </w:p>
        </w:tc>
        <w:tc>
          <w:tcPr>
            <w:tcW w:type="dxa" w:w="44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Esri (fondo «Satélite») y Google Maps (enlaces), solo si la persona los usa</w:t>
            </w:r>
          </w:p>
        </w:tc>
      </w:tr>
      <w:tr>
        <w:trPr>
          <w:cantSplit/>
        </w:trPr>
        <w:tc>
          <w:tcPr>
            <w:tcW w:type="dxa" w:w="23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Datos de uso</w:t>
            </w:r>
          </w:p>
        </w:tc>
        <w:tc>
          <w:tcPr>
            <w:tcW w:type="dxa" w:w="32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Territorio consultado</w:t>
            </w:r>
          </w:p>
        </w:tc>
        <w:tc>
          <w:tcPr>
            <w:tcW w:type="dxa" w:w="44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Territorio consultado y filtros aplicados, como registra el sistema</w:t>
            </w:r>
          </w:p>
        </w:tc>
      </w:tr>
    </w:tbl>
    <w:p>
      <w:pPr>
        <w:spacing w:after="240" w:before="70" w:line="220"/>
      </w:pPr>
      <w:r>
        <w:rPr>
          <w:rFonts w:ascii="Roboto" w:cs="Roboto" w:eastAsia="Roboto" w:hAnsi="Roboto"/>
          <w:i/>
          <w:iCs/>
          <w:color w:val="55585A"/>
          <w:sz w:val="16"/>
          <w:szCs w:val="16"/>
        </w:rPr>
        <w:t xml:space="preserve">Fuente: 08_entrega_sia/login/privacidad, versiones del 5 y del 20 de octubre de 2026.</w:t>
      </w:r>
    </w:p>
    <w:p>
      <w:pPr>
        <w:spacing w:after="140" w:before="0" w:line="300"/>
        <w:jc w:val="both"/>
      </w:pPr>
      <w:r>
        <w:rPr>
          <w:rFonts w:ascii="Roboto" w:cs="Roboto" w:eastAsia="Roboto" w:hAnsi="Roboto"/>
          <w:color w:val="1A1A1A"/>
          <w:sz w:val="21"/>
          <w:szCs w:val="21"/>
        </w:rPr>
        <w:t xml:space="preserve">Los avisos de privacidad integral y simplificado se acompañan como Anexo 2 y Anexo 3. Describen exactamente lo que registra el sistema. Los datos entre corchetes requieren la intervención de esa Unidad.</w:t>
      </w:r>
    </w:p>
    <w:p>
      <w:pPr>
        <w:keepNext/>
        <w:pBdr>
          <w:bottom w:val="single" w:color="B28E5C" w:sz="6" w:space="4"/>
        </w:pBdr>
        <w:spacing w:after="140" w:before="280"/>
      </w:pPr>
      <w:r>
        <w:rPr>
          <w:rFonts w:ascii="Cabin" w:cs="Cabin" w:eastAsia="Cabin" w:hAnsi="Cabin"/>
          <w:b/>
          <w:bCs/>
          <w:color w:val="9D2148"/>
          <w:sz w:val="25"/>
          <w:szCs w:val="25"/>
        </w:rPr>
        <w:t xml:space="preserve">4. Consideraciones finales</w:t>
      </w:r>
    </w:p>
    <w:p>
      <w:pPr>
        <w:spacing w:after="140" w:before="0" w:line="300"/>
        <w:jc w:val="both"/>
      </w:pPr>
      <w:r>
        <w:rPr>
          <w:rFonts w:ascii="Roboto" w:cs="Roboto" w:eastAsia="Roboto" w:hAnsi="Roboto"/>
          <w:b/>
          <w:bCs/>
          <w:color w:val="1A1A1A"/>
          <w:sz w:val="21"/>
          <w:szCs w:val="21"/>
        </w:rPr>
        <w:t xml:space="preserve">Primero.</w:t>
      </w:r>
      <w:r>
        <w:rPr>
          <w:rFonts w:ascii="Roboto" w:cs="Roboto" w:eastAsia="Roboto" w:hAnsi="Roboto"/>
          <w:color w:val="1A1A1A"/>
          <w:sz w:val="21"/>
          <w:szCs w:val="21"/>
        </w:rPr>
        <w:t xml:space="preserve"> Se solicita a la Unidad de Transparencia revisar y, en su caso, aprobar por escrito los avisos de privacidad integral y simplificado (Anexos 2 y 3).</w:t>
      </w:r>
    </w:p>
    <w:p>
      <w:pPr>
        <w:spacing w:after="140" w:before="0" w:line="300"/>
        <w:jc w:val="both"/>
      </w:pPr>
      <w:r>
        <w:rPr>
          <w:rFonts w:ascii="Roboto" w:cs="Roboto" w:eastAsia="Roboto" w:hAnsi="Roboto"/>
          <w:b/>
          <w:bCs/>
          <w:color w:val="1A1A1A"/>
          <w:sz w:val="21"/>
          <w:szCs w:val="21"/>
        </w:rPr>
        <w:t xml:space="preserve">Segundo.</w:t>
      </w:r>
      <w:r>
        <w:rPr>
          <w:rFonts w:ascii="Roboto" w:cs="Roboto" w:eastAsia="Roboto" w:hAnsi="Roboto"/>
          <w:color w:val="1A1A1A"/>
          <w:sz w:val="21"/>
          <w:szCs w:val="21"/>
        </w:rPr>
        <w:t xml:space="preserve"> Se solicita a la Unidad de Transparencia indicar si procede crear un sistema de datos personales o incorporar este tratamiento a uno existente del Sistema de Información Ambiental, y orientar sobre el acuerdo correspondiente, su aviso en la Gaceta Oficial y su inscripción en el registro (artículos 38 a 40 de la ley).</w:t>
      </w:r>
    </w:p>
    <w:p>
      <w:pPr>
        <w:spacing w:after="140" w:before="0" w:line="300"/>
        <w:jc w:val="both"/>
      </w:pPr>
      <w:r>
        <w:rPr>
          <w:rFonts w:ascii="Roboto" w:cs="Roboto" w:eastAsia="Roboto" w:hAnsi="Roboto"/>
          <w:b/>
          <w:bCs/>
          <w:color w:val="1A1A1A"/>
          <w:sz w:val="21"/>
          <w:szCs w:val="21"/>
        </w:rPr>
        <w:t xml:space="preserve">Tercero.</w:t>
      </w:r>
      <w:r>
        <w:rPr>
          <w:rFonts w:ascii="Roboto" w:cs="Roboto" w:eastAsia="Roboto" w:hAnsi="Roboto"/>
          <w:color w:val="1A1A1A"/>
          <w:sz w:val="21"/>
          <w:szCs w:val="21"/>
        </w:rPr>
        <w:t xml:space="preserve"> Se solicita a la Unidad de Transparencia, con el área jurídica, confirmar el fundamento propuesto y precisar el artículo del Reglamento Interior que corresponde a la unidad que opera el Sistema de Información Ambiental.</w:t>
      </w:r>
    </w:p>
    <w:p>
      <w:pPr>
        <w:spacing w:after="140" w:before="0" w:line="300"/>
        <w:jc w:val="both"/>
      </w:pPr>
      <w:r>
        <w:rPr>
          <w:rFonts w:ascii="Roboto" w:cs="Roboto" w:eastAsia="Roboto" w:hAnsi="Roboto"/>
          <w:b/>
          <w:bCs/>
          <w:color w:val="1A1A1A"/>
          <w:sz w:val="21"/>
          <w:szCs w:val="21"/>
        </w:rPr>
        <w:t xml:space="preserve">Cuarto.</w:t>
      </w:r>
      <w:r>
        <w:rPr>
          <w:rFonts w:ascii="Roboto" w:cs="Roboto" w:eastAsia="Roboto" w:hAnsi="Roboto"/>
          <w:color w:val="1A1A1A"/>
          <w:sz w:val="21"/>
          <w:szCs w:val="21"/>
        </w:rPr>
        <w:t xml:space="preserve"> Se solicita confirmar, con el área coordinadora de archivos, los plazos de conservación de la Tabla 2.</w:t>
      </w:r>
    </w:p>
    <w:p>
      <w:pPr>
        <w:spacing w:after="140" w:before="0" w:line="300"/>
        <w:jc w:val="both"/>
      </w:pPr>
      <w:r>
        <w:rPr>
          <w:rFonts w:ascii="Roboto" w:cs="Roboto" w:eastAsia="Roboto" w:hAnsi="Roboto"/>
          <w:b/>
          <w:bCs/>
          <w:color w:val="1A1A1A"/>
          <w:sz w:val="21"/>
          <w:szCs w:val="21"/>
        </w:rPr>
        <w:t xml:space="preserve">Quinto.</w:t>
      </w:r>
      <w:r>
        <w:rPr>
          <w:rFonts w:ascii="Roboto" w:cs="Roboto" w:eastAsia="Roboto" w:hAnsi="Roboto"/>
          <w:color w:val="1A1A1A"/>
          <w:sz w:val="21"/>
          <w:szCs w:val="21"/>
        </w:rPr>
        <w:t xml:space="preserve"> Se solicita indicar el medio vigente para el ejercicio de los derechos ARCOP y la denominación de la Autoridad Garante Local, para completar los avisos.</w:t>
      </w:r>
    </w:p>
    <w:p>
      <w:pPr>
        <w:spacing w:after="140" w:before="0" w:line="300"/>
        <w:jc w:val="both"/>
      </w:pPr>
      <w:r>
        <w:rPr>
          <w:rFonts w:ascii="Roboto" w:cs="Roboto" w:eastAsia="Roboto" w:hAnsi="Roboto"/>
          <w:b/>
          <w:bCs/>
          <w:color w:val="1A1A1A"/>
          <w:sz w:val="21"/>
          <w:szCs w:val="21"/>
        </w:rPr>
        <w:t xml:space="preserve">Sexto.</w:t>
      </w:r>
      <w:r>
        <w:rPr>
          <w:rFonts w:ascii="Roboto" w:cs="Roboto" w:eastAsia="Roboto" w:hAnsi="Roboto"/>
          <w:color w:val="1A1A1A"/>
          <w:sz w:val="21"/>
          <w:szCs w:val="21"/>
        </w:rPr>
        <w:t xml:space="preserve"> La Oficina de la Secretaría, por medio del Sistema de Información Ambiental, no pondrá en operación el inicio de sesión hasta contar con la aprobación por escrito de los avisos; una vez aprobados, publicará el texto final en la pantalla de acceso de la herramienta y anotará el número del oficio de aprobación en su guía de entrega.</w:t>
      </w:r>
    </w:p>
    <w:p>
      <w:pPr>
        <w:spacing w:after="0" w:before="480"/>
      </w:pPr>
      <w:r>
        <w:rPr>
          <w:rFonts w:ascii="Roboto" w:cs="Roboto" w:eastAsia="Roboto" w:hAnsi="Roboto"/>
          <w:color w:val="1A1A1A"/>
          <w:sz w:val="21"/>
          <w:szCs w:val="21"/>
        </w:rPr>
        <w:t xml:space="preserve">Atentamente</w:t>
      </w:r>
    </w:p>
    <w:p>
      <w:pPr>
        <w:spacing w:after="0" w:before="720"/>
      </w:pPr>
      <w:r>
        <w:rPr>
          <w:rFonts w:ascii="Roboto" w:cs="Roboto" w:eastAsia="Roboto" w:hAnsi="Roboto"/>
          <w:b/>
          <w:bCs/>
          <w:color w:val="1A1A1A"/>
          <w:sz w:val="21"/>
          <w:szCs w:val="21"/>
        </w:rPr>
        <w:t xml:space="preserve">[Nombre y cargo]</w:t>
      </w:r>
    </w:p>
    <w:p>
      <w:pPr>
        <w:spacing w:after="0"/>
      </w:pPr>
      <w:r>
        <w:rPr>
          <w:rFonts w:ascii="Roboto" w:cs="Roboto" w:eastAsia="Roboto" w:hAnsi="Roboto"/>
          <w:color w:val="55585A"/>
          <w:sz w:val="19"/>
          <w:szCs w:val="19"/>
        </w:rPr>
        <w:t xml:space="preserve">Oficina de la Secretaría · Sistema de Información Ambiental</w:t>
      </w:r>
    </w:p>
    <w:p>
      <w:r>
        <w:br w:type="page"/>
      </w:r>
    </w:p>
    <w:p>
      <w:pPr>
        <w:spacing w:after="200"/>
        <w:jc w:val="center"/>
      </w:pPr>
      <w:r>
        <w:rPr>
          <w:rFonts w:ascii="Cabin" w:cs="Cabin" w:eastAsia="Cabin" w:hAnsi="Cabin"/>
          <w:b/>
          <w:bCs/>
          <w:color w:val="9D2148"/>
          <w:sz w:val="26"/>
          <w:szCs w:val="26"/>
        </w:rPr>
        <w:t xml:space="preserve">ANEXO 1. TEXTOS LITERALES</w:t>
      </w:r>
    </w:p>
    <w:p>
      <w:pPr>
        <w:keepNext/>
        <w:spacing w:after="100" w:before="160" w:line="240"/>
      </w:pPr>
      <w:r>
        <w:rPr>
          <w:rFonts w:ascii="Roboto" w:cs="Roboto" w:eastAsia="Roboto" w:hAnsi="Roboto"/>
          <w:b/>
          <w:bCs/>
          <w:color w:val="9D2148"/>
          <w:sz w:val="19"/>
          <w:szCs w:val="19"/>
        </w:rPr>
        <w:t xml:space="preserve">Tabla 4. </w:t>
      </w:r>
      <w:r>
        <w:rPr>
          <w:rFonts w:ascii="Roboto" w:cs="Roboto" w:eastAsia="Roboto" w:hAnsi="Roboto"/>
          <w:color w:val="1A1A1A"/>
          <w:sz w:val="19"/>
          <w:szCs w:val="19"/>
        </w:rPr>
        <w:t xml:space="preserve">Disposiciones citadas de la ley de datos personales vigente.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972"/>
      </w:tblGrid>
      <w:tr>
        <w:trPr>
          <w:tblHeader/>
        </w:trPr>
        <w:tc>
          <w:tcPr>
            <w:tcW w:type="dxa" w:w="2300"/>
            <w:tcBorders>
              <w:top w:val="single" w:color="D9D2CA" w:sz="4"/>
              <w:left w:val="single" w:color="D9D2CA" w:sz="4"/>
              <w:bottom w:val="single" w:color="D9D2CA" w:sz="4"/>
              <w:right w:val="single" w:color="D9D2CA" w:sz="4"/>
            </w:tcBorders>
            <w:shd w:fill="9D2148" w:color="auto" w:val="clear"/>
            <w:tcMar>
              <w:top w:type="dxa" w:w="60"/>
              <w:left w:type="dxa" w:w="90"/>
              <w:bottom w:type="dxa" w:w="60"/>
              <w:right w:type="dxa" w:w="90"/>
            </w:tcMar>
            <w:vAlign w:val="center"/>
          </w:tcPr>
          <w:p>
            <w:pPr>
              <w:spacing w:after="0" w:line="250"/>
              <w:jc w:val="left"/>
            </w:pPr>
            <w:r>
              <w:rPr>
                <w:rFonts w:ascii="Roboto" w:cs="Roboto" w:eastAsia="Roboto" w:hAnsi="Roboto"/>
                <w:b/>
                <w:bCs/>
                <w:color w:val="FFFFFF"/>
                <w:sz w:val="18"/>
                <w:szCs w:val="18"/>
              </w:rPr>
              <w:t xml:space="preserve">Instrumento</w:t>
            </w:r>
          </w:p>
        </w:tc>
        <w:tc>
          <w:tcPr>
            <w:tcW w:type="dxa" w:w="1700"/>
            <w:tcBorders>
              <w:top w:val="single" w:color="D9D2CA" w:sz="4"/>
              <w:left w:val="single" w:color="D9D2CA" w:sz="4"/>
              <w:bottom w:val="single" w:color="D9D2CA" w:sz="4"/>
              <w:right w:val="single" w:color="D9D2CA" w:sz="4"/>
            </w:tcBorders>
            <w:shd w:fill="9D2148" w:color="auto" w:val="clear"/>
            <w:tcMar>
              <w:top w:type="dxa" w:w="60"/>
              <w:left w:type="dxa" w:w="90"/>
              <w:bottom w:type="dxa" w:w="60"/>
              <w:right w:type="dxa" w:w="90"/>
            </w:tcMar>
            <w:vAlign w:val="center"/>
          </w:tcPr>
          <w:p>
            <w:pPr>
              <w:spacing w:after="0" w:line="250"/>
              <w:jc w:val="left"/>
            </w:pPr>
            <w:r>
              <w:rPr>
                <w:rFonts w:ascii="Roboto" w:cs="Roboto" w:eastAsia="Roboto" w:hAnsi="Roboto"/>
                <w:b/>
                <w:bCs/>
                <w:color w:val="FFFFFF"/>
                <w:sz w:val="18"/>
                <w:szCs w:val="18"/>
              </w:rPr>
              <w:t xml:space="preserve">Artículo, numeral o fracción</w:t>
            </w:r>
          </w:p>
        </w:tc>
        <w:tc>
          <w:tcPr>
            <w:tcW w:type="dxa" w:w="5972"/>
            <w:tcBorders>
              <w:top w:val="single" w:color="D9D2CA" w:sz="4"/>
              <w:left w:val="single" w:color="D9D2CA" w:sz="4"/>
              <w:bottom w:val="single" w:color="D9D2CA" w:sz="4"/>
              <w:right w:val="single" w:color="D9D2CA" w:sz="4"/>
            </w:tcBorders>
            <w:shd w:fill="9D2148" w:color="auto" w:val="clear"/>
            <w:tcMar>
              <w:top w:type="dxa" w:w="60"/>
              <w:left w:type="dxa" w:w="90"/>
              <w:bottom w:type="dxa" w:w="60"/>
              <w:right w:type="dxa" w:w="90"/>
            </w:tcMar>
            <w:vAlign w:val="center"/>
          </w:tcPr>
          <w:p>
            <w:pPr>
              <w:spacing w:after="0" w:line="250"/>
              <w:jc w:val="left"/>
            </w:pPr>
            <w:r>
              <w:rPr>
                <w:rFonts w:ascii="Roboto" w:cs="Roboto" w:eastAsia="Roboto" w:hAnsi="Roboto"/>
                <w:b/>
                <w:bCs/>
                <w:color w:val="FFFFFF"/>
                <w:sz w:val="18"/>
                <w:szCs w:val="18"/>
              </w:rPr>
              <w:t xml:space="preserve">Texto literal</w:t>
            </w:r>
          </w:p>
        </w:tc>
      </w:tr>
      <w:tr>
        <w:trPr>
          <w:cantSplit w:val="off"/>
        </w:trPr>
        <w:tc>
          <w:tcPr>
            <w:tcW w:type="dxa" w:w="23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7"/>
                <w:szCs w:val="17"/>
              </w:rPr>
              <w:t xml:space="preserve">Ley de Protección de Datos Personales en Posesión de Sujetos Obligados de la Ciudad de México (GOCDMX 13-07-2026)</w:t>
            </w:r>
          </w:p>
        </w:tc>
        <w:tc>
          <w:tcPr>
            <w:tcW w:type="dxa" w:w="17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7"/>
                <w:szCs w:val="17"/>
              </w:rPr>
              <w:t xml:space="preserve">Art. 15, fracc. I</w:t>
            </w:r>
          </w:p>
        </w:tc>
        <w:tc>
          <w:tcPr>
            <w:tcW w:type="dxa" w:w="59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both"/>
            </w:pPr>
            <w:r>
              <w:rPr>
                <w:rFonts w:ascii="Roboto" w:cs="Roboto" w:eastAsia="Roboto" w:hAnsi="Roboto"/>
                <w:color w:val="1A1A1A"/>
                <w:sz w:val="17"/>
                <w:szCs w:val="17"/>
              </w:rPr>
              <w:t xml:space="preserve">Artículo 15. El responsable no estará obligado a recabar el consentimiento de la persona titular para el tratamiento de sus datos personales en los siguientes casos y excepciones siguientes:</w:t>
            </w:r>
          </w:p>
          <w:p>
            <w:pPr>
              <w:spacing w:after="60" w:line="250"/>
              <w:jc w:val="both"/>
            </w:pPr>
            <w:r>
              <w:rPr>
                <w:rFonts w:ascii="Roboto" w:cs="Roboto" w:eastAsia="Roboto" w:hAnsi="Roboto"/>
                <w:color w:val="1A1A1A"/>
                <w:sz w:val="17"/>
                <w:szCs w:val="17"/>
              </w:rPr>
              <w:t xml:space="preserve">I. Cuando una ley así lo disponga o cuando se recaben para el ejercicio de las atribuciones legales conferidas a los sujetos obligados, debiendo dichos supuestos ser acordes con las bases, principios y disposiciones establecidos en esta Ley, en ningún caso, podrán contravenirla;</w:t>
            </w:r>
          </w:p>
        </w:tc>
      </w:tr>
      <w:tr>
        <w:trPr>
          <w:cantSplit w:val="off"/>
        </w:trPr>
        <w:tc>
          <w:tcPr>
            <w:tcW w:type="dxa" w:w="23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7"/>
                <w:szCs w:val="17"/>
              </w:rPr>
              <w:t xml:space="preserve">Misma ley</w:t>
            </w:r>
          </w:p>
        </w:tc>
        <w:tc>
          <w:tcPr>
            <w:tcW w:type="dxa" w:w="17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7"/>
                <w:szCs w:val="17"/>
              </w:rPr>
              <w:t xml:space="preserve">Art. 21</w:t>
            </w:r>
          </w:p>
        </w:tc>
        <w:tc>
          <w:tcPr>
            <w:tcW w:type="dxa" w:w="59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both"/>
            </w:pPr>
            <w:r>
              <w:rPr>
                <w:rFonts w:ascii="Roboto" w:cs="Roboto" w:eastAsia="Roboto" w:hAnsi="Roboto"/>
                <w:color w:val="1A1A1A"/>
                <w:sz w:val="17"/>
                <w:szCs w:val="17"/>
              </w:rPr>
              <w:t xml:space="preserve">Artículo 21. El responsable deberá poner a disposición de la persona titular el aviso simplificado que deberá contener la siguiente información:</w:t>
            </w:r>
          </w:p>
          <w:p>
            <w:pPr>
              <w:spacing w:after="60" w:line="250"/>
              <w:jc w:val="both"/>
            </w:pPr>
            <w:r>
              <w:rPr>
                <w:rFonts w:ascii="Roboto" w:cs="Roboto" w:eastAsia="Roboto" w:hAnsi="Roboto"/>
                <w:color w:val="1A1A1A"/>
                <w:sz w:val="17"/>
                <w:szCs w:val="17"/>
              </w:rPr>
              <w:t xml:space="preserve">I. La denominación del responsable;</w:t>
            </w:r>
          </w:p>
          <w:p>
            <w:pPr>
              <w:spacing w:after="60" w:line="250"/>
              <w:jc w:val="both"/>
            </w:pPr>
            <w:r>
              <w:rPr>
                <w:rFonts w:ascii="Roboto" w:cs="Roboto" w:eastAsia="Roboto" w:hAnsi="Roboto"/>
                <w:color w:val="1A1A1A"/>
                <w:sz w:val="17"/>
                <w:szCs w:val="17"/>
              </w:rPr>
              <w:t xml:space="preserve">II. Nombre del Sistema de Datos Personales;</w:t>
            </w:r>
          </w:p>
          <w:p>
            <w:pPr>
              <w:spacing w:after="60" w:line="250"/>
              <w:jc w:val="both"/>
            </w:pPr>
            <w:r>
              <w:rPr>
                <w:rFonts w:ascii="Roboto" w:cs="Roboto" w:eastAsia="Roboto" w:hAnsi="Roboto"/>
                <w:color w:val="1A1A1A"/>
                <w:sz w:val="17"/>
                <w:szCs w:val="17"/>
              </w:rPr>
              <w:t xml:space="preserve">III. Las finalidades del tratamiento para las cuales se obtienen los datos personales, distinguiendo aquéllas que requieran el consentimiento del titular;</w:t>
            </w:r>
          </w:p>
          <w:p>
            <w:pPr>
              <w:spacing w:after="60" w:line="250"/>
              <w:jc w:val="both"/>
            </w:pPr>
            <w:r>
              <w:rPr>
                <w:rFonts w:ascii="Roboto" w:cs="Roboto" w:eastAsia="Roboto" w:hAnsi="Roboto"/>
                <w:color w:val="1A1A1A"/>
                <w:sz w:val="17"/>
                <w:szCs w:val="17"/>
              </w:rPr>
              <w:t xml:space="preserve">IV. Cuando se realicen transferencias de datos personales que requieran consentimiento, se deberá informar:</w:t>
            </w:r>
          </w:p>
          <w:p>
            <w:pPr>
              <w:spacing w:after="60" w:line="250"/>
              <w:jc w:val="both"/>
            </w:pPr>
            <w:r>
              <w:rPr>
                <w:rFonts w:ascii="Roboto" w:cs="Roboto" w:eastAsia="Roboto" w:hAnsi="Roboto"/>
                <w:color w:val="1A1A1A"/>
                <w:sz w:val="17"/>
                <w:szCs w:val="17"/>
              </w:rPr>
              <w:t xml:space="preserve">a. Las autoridades, poderes, entidades, órganos y organismos gubernamentales de los tres órdenes de gobierno y las personas físicas o morales a las que se transfieren los datos personales, y</w:t>
            </w:r>
          </w:p>
          <w:p>
            <w:pPr>
              <w:spacing w:after="60" w:line="250"/>
              <w:jc w:val="both"/>
            </w:pPr>
            <w:r>
              <w:rPr>
                <w:rFonts w:ascii="Roboto" w:cs="Roboto" w:eastAsia="Roboto" w:hAnsi="Roboto"/>
                <w:color w:val="1A1A1A"/>
                <w:sz w:val="17"/>
                <w:szCs w:val="17"/>
              </w:rPr>
              <w:t xml:space="preserve">b. Las finalidades de estas transferencias;</w:t>
            </w:r>
          </w:p>
          <w:p>
            <w:pPr>
              <w:spacing w:after="60" w:line="250"/>
              <w:jc w:val="both"/>
            </w:pPr>
            <w:r>
              <w:rPr>
                <w:rFonts w:ascii="Roboto" w:cs="Roboto" w:eastAsia="Roboto" w:hAnsi="Roboto"/>
                <w:color w:val="1A1A1A"/>
                <w:sz w:val="17"/>
                <w:szCs w:val="17"/>
              </w:rPr>
              <w:t xml:space="preserve">V. Ejercicio de los derechos ARCOP, medios y procedimientos;</w:t>
            </w:r>
          </w:p>
          <w:p>
            <w:pPr>
              <w:spacing w:after="60" w:line="250"/>
              <w:jc w:val="both"/>
            </w:pPr>
            <w:r>
              <w:rPr>
                <w:rFonts w:ascii="Roboto" w:cs="Roboto" w:eastAsia="Roboto" w:hAnsi="Roboto"/>
                <w:color w:val="1A1A1A"/>
                <w:sz w:val="17"/>
                <w:szCs w:val="17"/>
              </w:rPr>
              <w:t xml:space="preserve">VI. Los mecanismos y medios disponibles para que la persona titular, en su caso, pueda manifestar su negativa al tratamiento de sus datos personales para finalidades y transferencias que requieren el consentimiento; y</w:t>
            </w:r>
          </w:p>
          <w:p>
            <w:pPr>
              <w:spacing w:after="60" w:line="250"/>
              <w:jc w:val="both"/>
            </w:pPr>
            <w:r>
              <w:rPr>
                <w:rFonts w:ascii="Roboto" w:cs="Roboto" w:eastAsia="Roboto" w:hAnsi="Roboto"/>
                <w:color w:val="1A1A1A"/>
                <w:sz w:val="17"/>
                <w:szCs w:val="17"/>
              </w:rPr>
              <w:t xml:space="preserve">VII. El sitio donde se podrá consultar el aviso de privacidad integral. La puesta a disposición del aviso de privacidad al que refiere este artículo no exime al responsable de su obligación de proveer los mecanismos para que la persona titular pueda conocer el contenido del aviso de privacidad integral.</w:t>
            </w:r>
          </w:p>
        </w:tc>
      </w:tr>
      <w:tr>
        <w:trPr>
          <w:cantSplit w:val="off"/>
        </w:trPr>
        <w:tc>
          <w:tcPr>
            <w:tcW w:type="dxa" w:w="23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7"/>
                <w:szCs w:val="17"/>
              </w:rPr>
              <w:t xml:space="preserve">Misma ley</w:t>
            </w:r>
          </w:p>
        </w:tc>
        <w:tc>
          <w:tcPr>
            <w:tcW w:type="dxa" w:w="17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7"/>
                <w:szCs w:val="17"/>
              </w:rPr>
              <w:t xml:space="preserve">Art. 23</w:t>
            </w:r>
          </w:p>
        </w:tc>
        <w:tc>
          <w:tcPr>
            <w:tcW w:type="dxa" w:w="59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both"/>
            </w:pPr>
            <w:r>
              <w:rPr>
                <w:rFonts w:ascii="Roboto" w:cs="Roboto" w:eastAsia="Roboto" w:hAnsi="Roboto"/>
                <w:color w:val="1A1A1A"/>
                <w:sz w:val="17"/>
                <w:szCs w:val="17"/>
              </w:rPr>
              <w:t xml:space="preserve">Artículo 23. El aviso de privacidad integral además de lo dispuesto en las fracciones del artículo 20, deberá contener, al menos, la siguiente información:</w:t>
            </w:r>
          </w:p>
          <w:p>
            <w:pPr>
              <w:spacing w:after="60" w:line="250"/>
              <w:jc w:val="both"/>
            </w:pPr>
            <w:r>
              <w:rPr>
                <w:rFonts w:ascii="Roboto" w:cs="Roboto" w:eastAsia="Roboto" w:hAnsi="Roboto"/>
                <w:color w:val="1A1A1A"/>
                <w:sz w:val="17"/>
                <w:szCs w:val="17"/>
              </w:rPr>
              <w:t xml:space="preserve">I. La denominación y domicilio del responsable;</w:t>
            </w:r>
          </w:p>
          <w:p>
            <w:pPr>
              <w:spacing w:after="60" w:line="250"/>
              <w:jc w:val="both"/>
            </w:pPr>
            <w:r>
              <w:rPr>
                <w:rFonts w:ascii="Roboto" w:cs="Roboto" w:eastAsia="Roboto" w:hAnsi="Roboto"/>
                <w:color w:val="1A1A1A"/>
                <w:sz w:val="17"/>
                <w:szCs w:val="17"/>
              </w:rPr>
              <w:t xml:space="preserve">II. Los datos personales que serán sometidos a tratamiento, identificando aquéllos que son sensibles;</w:t>
            </w:r>
          </w:p>
          <w:p>
            <w:pPr>
              <w:spacing w:after="60" w:line="250"/>
              <w:jc w:val="both"/>
            </w:pPr>
            <w:r>
              <w:rPr>
                <w:rFonts w:ascii="Roboto" w:cs="Roboto" w:eastAsia="Roboto" w:hAnsi="Roboto"/>
                <w:color w:val="1A1A1A"/>
                <w:sz w:val="17"/>
                <w:szCs w:val="17"/>
              </w:rPr>
              <w:t xml:space="preserve">III. Nombre del Sistema de Datos Personales;</w:t>
            </w:r>
          </w:p>
          <w:p>
            <w:pPr>
              <w:spacing w:after="60" w:line="250"/>
              <w:jc w:val="both"/>
            </w:pPr>
            <w:r>
              <w:rPr>
                <w:rFonts w:ascii="Roboto" w:cs="Roboto" w:eastAsia="Roboto" w:hAnsi="Roboto"/>
                <w:color w:val="1A1A1A"/>
                <w:sz w:val="17"/>
                <w:szCs w:val="17"/>
              </w:rPr>
              <w:t xml:space="preserve">IV. El fundamento legal que faculta al responsable para llevar a cabo el tratamiento;</w:t>
            </w:r>
          </w:p>
          <w:p>
            <w:pPr>
              <w:spacing w:after="60" w:line="250"/>
              <w:jc w:val="both"/>
            </w:pPr>
            <w:r>
              <w:rPr>
                <w:rFonts w:ascii="Roboto" w:cs="Roboto" w:eastAsia="Roboto" w:hAnsi="Roboto"/>
                <w:color w:val="1A1A1A"/>
                <w:sz w:val="17"/>
                <w:szCs w:val="17"/>
              </w:rPr>
              <w:t xml:space="preserve">V. Las finalidades del tratamiento para las cuales se obtienen los datos personales, distinguiendo aquéllas que requieren el consentimiento del titular;</w:t>
            </w:r>
          </w:p>
          <w:p>
            <w:pPr>
              <w:spacing w:after="60" w:line="250"/>
              <w:jc w:val="both"/>
            </w:pPr>
            <w:r>
              <w:rPr>
                <w:rFonts w:ascii="Roboto" w:cs="Roboto" w:eastAsia="Roboto" w:hAnsi="Roboto"/>
                <w:color w:val="1A1A1A"/>
                <w:sz w:val="17"/>
                <w:szCs w:val="17"/>
              </w:rPr>
              <w:t xml:space="preserve">VI. Transferencias;</w:t>
            </w:r>
          </w:p>
          <w:p>
            <w:pPr>
              <w:spacing w:after="60" w:line="250"/>
              <w:jc w:val="both"/>
            </w:pPr>
            <w:r>
              <w:rPr>
                <w:rFonts w:ascii="Roboto" w:cs="Roboto" w:eastAsia="Roboto" w:hAnsi="Roboto"/>
                <w:color w:val="1A1A1A"/>
                <w:sz w:val="17"/>
                <w:szCs w:val="17"/>
              </w:rPr>
              <w:t xml:space="preserve">VII. Los mecanismos, medios y procedimientos disponibles para ejercer los derechos ARCOP;</w:t>
            </w:r>
          </w:p>
          <w:p>
            <w:pPr>
              <w:spacing w:after="60" w:line="250"/>
              <w:jc w:val="both"/>
            </w:pPr>
            <w:r>
              <w:rPr>
                <w:rFonts w:ascii="Roboto" w:cs="Roboto" w:eastAsia="Roboto" w:hAnsi="Roboto"/>
                <w:color w:val="1A1A1A"/>
                <w:sz w:val="17"/>
                <w:szCs w:val="17"/>
              </w:rPr>
              <w:t xml:space="preserve">VIII. El domicilio de la Unidad de Transparencia; y,</w:t>
            </w:r>
          </w:p>
          <w:p>
            <w:pPr>
              <w:spacing w:after="60" w:line="250"/>
              <w:jc w:val="both"/>
            </w:pPr>
            <w:r>
              <w:rPr>
                <w:rFonts w:ascii="Roboto" w:cs="Roboto" w:eastAsia="Roboto" w:hAnsi="Roboto"/>
                <w:color w:val="1A1A1A"/>
                <w:sz w:val="17"/>
                <w:szCs w:val="17"/>
              </w:rPr>
              <w:t xml:space="preserve">IX. Los medios a través de los cuales el responsable comunicará a las personas titulares los cambios al aviso de privacidad.</w:t>
            </w:r>
          </w:p>
        </w:tc>
      </w:tr>
      <w:tr>
        <w:trPr>
          <w:cantSplit w:val="off"/>
        </w:trPr>
        <w:tc>
          <w:tcPr>
            <w:tcW w:type="dxa" w:w="23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7"/>
                <w:szCs w:val="17"/>
              </w:rPr>
              <w:t xml:space="preserve">Misma ley</w:t>
            </w:r>
          </w:p>
        </w:tc>
        <w:tc>
          <w:tcPr>
            <w:tcW w:type="dxa" w:w="17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7"/>
                <w:szCs w:val="17"/>
              </w:rPr>
              <w:t xml:space="preserve">Art. 70, encabezado y fracc. I y IV</w:t>
            </w:r>
          </w:p>
        </w:tc>
        <w:tc>
          <w:tcPr>
            <w:tcW w:type="dxa" w:w="59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both"/>
            </w:pPr>
            <w:r>
              <w:rPr>
                <w:rFonts w:ascii="Roboto" w:cs="Roboto" w:eastAsia="Roboto" w:hAnsi="Roboto"/>
                <w:color w:val="1A1A1A"/>
                <w:sz w:val="17"/>
                <w:szCs w:val="17"/>
              </w:rPr>
              <w:t xml:space="preserve">Artículo 70. El responsable podrá realizar transferencias de datos personales sin necesidad de requerir el consentimiento del titular, en los siguientes supuestos:</w:t>
            </w:r>
          </w:p>
          <w:p>
            <w:pPr>
              <w:spacing w:after="60" w:line="250"/>
              <w:jc w:val="both"/>
            </w:pPr>
            <w:r>
              <w:rPr>
                <w:rFonts w:ascii="Roboto" w:cs="Roboto" w:eastAsia="Roboto" w:hAnsi="Roboto"/>
                <w:color w:val="1A1A1A"/>
                <w:sz w:val="17"/>
                <w:szCs w:val="17"/>
              </w:rPr>
              <w:t xml:space="preserve">I. Cuando la transferencia esté prevista en esta Ley u otras leyes, convenios o Tratados Internacionales suscritos y ratificados por México;</w:t>
            </w:r>
          </w:p>
          <w:p>
            <w:pPr>
              <w:spacing w:after="60" w:line="250"/>
              <w:jc w:val="both"/>
            </w:pPr>
            <w:r>
              <w:rPr>
                <w:rFonts w:ascii="Roboto" w:cs="Roboto" w:eastAsia="Roboto" w:hAnsi="Roboto"/>
                <w:color w:val="1A1A1A"/>
                <w:sz w:val="17"/>
                <w:szCs w:val="17"/>
              </w:rPr>
              <w:t xml:space="preserve">[…]</w:t>
            </w:r>
          </w:p>
          <w:p>
            <w:pPr>
              <w:spacing w:after="60" w:line="250"/>
              <w:jc w:val="both"/>
            </w:pPr>
            <w:r>
              <w:rPr>
                <w:rFonts w:ascii="Roboto" w:cs="Roboto" w:eastAsia="Roboto" w:hAnsi="Roboto"/>
                <w:color w:val="1A1A1A"/>
                <w:sz w:val="17"/>
                <w:szCs w:val="17"/>
              </w:rPr>
              <w:t xml:space="preserve">IV. Cuando la transferencia sea precisa para el reconocimiento, ejercicio o defensa de un derecho ante autoridad competente, siempre y cuando medie el requerimiento de esta última;</w:t>
            </w:r>
          </w:p>
        </w:tc>
      </w:tr>
      <w:tr>
        <w:trPr>
          <w:cantSplit w:val="off"/>
        </w:trPr>
        <w:tc>
          <w:tcPr>
            <w:tcW w:type="dxa" w:w="23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7"/>
                <w:szCs w:val="17"/>
              </w:rPr>
              <w:t xml:space="preserve">Misma ley</w:t>
            </w:r>
          </w:p>
        </w:tc>
        <w:tc>
          <w:tcPr>
            <w:tcW w:type="dxa" w:w="17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7"/>
                <w:szCs w:val="17"/>
              </w:rPr>
              <w:t xml:space="preserve">Transitorio Cuarto</w:t>
            </w:r>
          </w:p>
        </w:tc>
        <w:tc>
          <w:tcPr>
            <w:tcW w:type="dxa" w:w="59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both"/>
            </w:pPr>
            <w:r>
              <w:rPr>
                <w:rFonts w:ascii="Roboto" w:cs="Roboto" w:eastAsia="Roboto" w:hAnsi="Roboto"/>
                <w:color w:val="1A1A1A"/>
                <w:sz w:val="17"/>
                <w:szCs w:val="17"/>
              </w:rPr>
              <w:t xml:space="preserve">CUARTO. - A la entrada en vigor del presente Decreto, queda abrogada la Ley de Protección de Datos Personales en Posesión de Sujetos Obligados de la Ciudad de México publicada el veintidós de febrero del año dos mil dieciocho, así como sus posteriores reformas.</w:t>
            </w:r>
          </w:p>
        </w:tc>
      </w:tr>
    </w:tbl>
    <w:p>
      <w:pPr>
        <w:spacing w:after="240" w:before="70" w:line="220"/>
      </w:pPr>
      <w:r>
        <w:rPr>
          <w:rFonts w:ascii="Roboto" w:cs="Roboto" w:eastAsia="Roboto" w:hAnsi="Roboto"/>
          <w:i/>
          <w:iCs/>
          <w:color w:val="55585A"/>
          <w:sz w:val="16"/>
          <w:szCs w:val="16"/>
        </w:rPr>
        <w:t xml:space="preserve">Fuente: Gaceta Oficial de la Ciudad de México, 13 de julio de 2026; texto tomado de la compilación publicada por la PAOT, consultada el 19 de octubre de 2026. «[…]» indica texto omitido.</w:t>
      </w:r>
    </w:p>
    <w:p>
      <w:r>
        <w:br w:type="page"/>
      </w:r>
    </w:p>
    <w:p>
      <w:pPr>
        <w:spacing w:after="200"/>
        <w:jc w:val="center"/>
      </w:pPr>
      <w:r>
        <w:rPr>
          <w:rFonts w:ascii="Cabin" w:cs="Cabin" w:eastAsia="Cabin" w:hAnsi="Cabin"/>
          <w:b/>
          <w:bCs/>
          <w:color w:val="9D2148"/>
          <w:sz w:val="26"/>
          <w:szCs w:val="26"/>
        </w:rPr>
        <w:t xml:space="preserve">ANEXO 2. AVISO DE PRIVACIDAD INTEGRAL (PROYECTO)</w:t>
      </w:r>
    </w:p>
    <w:p>
      <w:pPr>
        <w:spacing w:after="140" w:before="0" w:line="300"/>
        <w:jc w:val="center"/>
      </w:pPr>
      <w:r>
        <w:rPr>
          <w:rFonts w:ascii="Roboto" w:cs="Roboto" w:eastAsia="Roboto" w:hAnsi="Roboto"/>
          <w:b/>
          <w:bCs/>
          <w:color w:val="55585A"/>
          <w:sz w:val="21"/>
          <w:szCs w:val="21"/>
        </w:rPr>
        <w:t xml:space="preserve">Sistema de datos personales «Cuentas de acceso y bitácora de uso de la herramienta Modelo de priorización de reforestación urbana»</w:t>
      </w:r>
    </w:p>
    <w:p>
      <w:pPr>
        <w:spacing w:after="140" w:before="0" w:line="300"/>
        <w:jc w:val="both"/>
      </w:pPr>
      <w:r>
        <w:rPr>
          <w:rFonts w:ascii="Roboto" w:cs="Roboto" w:eastAsia="Roboto" w:hAnsi="Roboto"/>
          <w:b/>
          <w:bCs/>
          <w:i/>
          <w:iCs/>
          <w:color w:val="55585A"/>
          <w:sz w:val="18"/>
          <w:szCs w:val="18"/>
        </w:rPr>
        <w:t xml:space="preserve">BORRADOR para revisión de la Unidad de Transparencia.</w:t>
      </w:r>
      <w:r>
        <w:rPr>
          <w:rFonts w:ascii="Roboto" w:cs="Roboto" w:eastAsia="Roboto" w:hAnsi="Roboto"/>
          <w:i/>
          <w:iCs/>
          <w:color w:val="55585A"/>
          <w:sz w:val="18"/>
          <w:szCs w:val="18"/>
        </w:rPr>
        <w:t xml:space="preserve"> Adecuado a la Ley de Protección de Datos Personales en Posesión de Sujetos Obligados de la Ciudad de México publicada el 13 de julio de 2026. El inicio de sesión no se abre hasta que la Unidad de Transparencia lo apruebe por escrito.</w:t>
      </w:r>
    </w:p>
    <w:p>
      <w:pPr>
        <w:spacing w:after="140" w:before="0" w:line="300"/>
        <w:jc w:val="both"/>
      </w:pPr>
      <w:r>
        <w:rPr>
          <w:rFonts w:ascii="Roboto" w:cs="Roboto" w:eastAsia="Roboto" w:hAnsi="Roboto"/>
          <w:b/>
          <w:bCs/>
          <w:color w:val="1A1A1A"/>
          <w:sz w:val="21"/>
          <w:szCs w:val="21"/>
        </w:rPr>
        <w:t xml:space="preserve">Responsable.</w:t>
      </w:r>
      <w:r>
        <w:rPr>
          <w:rFonts w:ascii="Roboto" w:cs="Roboto" w:eastAsia="Roboto" w:hAnsi="Roboto"/>
          <w:color w:val="1A1A1A"/>
          <w:sz w:val="21"/>
          <w:szCs w:val="21"/>
        </w:rPr>
        <w:t xml:space="preserve"> La Secretaría del Medio Ambiente de la Ciudad de México (SEDEMA), por medio de la Oficina de la Secretaría · Sistema de Información Ambiental (SIA), con domicilio en Plaza de la Constitución 1, colonia Centro, alcaldía Cuauhtémoc, C.P. 06000, Ciudad de México, es responsable del tratamiento de sus datos personales, conforme a la Ley de Protección de Datos Personales en Posesión de Sujetos Obligados de la Ciudad de México.</w:t>
      </w:r>
    </w:p>
    <w:p>
      <w:pPr>
        <w:spacing w:after="140" w:before="0" w:line="300"/>
        <w:jc w:val="both"/>
      </w:pPr>
      <w:r>
        <w:rPr>
          <w:rFonts w:ascii="Roboto" w:cs="Roboto" w:eastAsia="Roboto" w:hAnsi="Roboto"/>
          <w:b/>
          <w:bCs/>
          <w:color w:val="1A1A1A"/>
          <w:sz w:val="21"/>
          <w:szCs w:val="21"/>
        </w:rPr>
        <w:t xml:space="preserve">Nombre del sistema de datos personales.</w:t>
      </w:r>
      <w:r>
        <w:rPr>
          <w:rFonts w:ascii="Roboto" w:cs="Roboto" w:eastAsia="Roboto" w:hAnsi="Roboto"/>
          <w:color w:val="1A1A1A"/>
          <w:sz w:val="21"/>
          <w:szCs w:val="21"/>
        </w:rPr>
        <w:t xml:space="preserve"> Cuentas de acceso y bitácora de uso de la herramienta Modelo de priorización de reforestación urbana.</w:t>
      </w:r>
    </w:p>
    <w:p>
      <w:pPr>
        <w:keepNext/>
        <w:spacing w:after="100" w:before="200"/>
      </w:pPr>
      <w:r>
        <w:rPr>
          <w:rFonts w:ascii="Cabin" w:cs="Cabin" w:eastAsia="Cabin" w:hAnsi="Cabin"/>
          <w:b/>
          <w:bCs/>
          <w:color w:val="9D2148"/>
          <w:sz w:val="22"/>
          <w:szCs w:val="22"/>
        </w:rPr>
        <w:t xml:space="preserve">Datos que se recaban</w:t>
      </w:r>
    </w:p>
    <w:p>
      <w:pPr>
        <w:pStyle w:val="ListParagraph"/>
        <w:numPr>
          <w:ilvl w:val="0"/>
          <w:numId w:val="1"/>
        </w:numPr>
        <w:spacing w:after="80" w:line="290"/>
        <w:jc w:val="both"/>
      </w:pPr>
      <w:r>
        <w:rPr>
          <w:rFonts w:ascii="Roboto" w:cs="Roboto" w:eastAsia="Roboto" w:hAnsi="Roboto"/>
          <w:b/>
          <w:bCs/>
          <w:color w:val="1A1A1A"/>
          <w:sz w:val="21"/>
          <w:szCs w:val="21"/>
        </w:rPr>
        <w:t xml:space="preserve">De la cuenta de acceso:</w:t>
      </w:r>
      <w:r>
        <w:rPr>
          <w:rFonts w:ascii="Roboto" w:cs="Roboto" w:eastAsia="Roboto" w:hAnsi="Roboto"/>
          <w:color w:val="1A1A1A"/>
          <w:sz w:val="21"/>
          <w:szCs w:val="21"/>
        </w:rPr>
        <w:t xml:space="preserve"> nombre completo, correo electrónico, institución y, en su caso, alcaldía, y permiso asignado (consulta o administración). La contraseña no se conserva, solo una huella cifrada que no permite recuperarla.</w:t>
      </w:r>
    </w:p>
    <w:p>
      <w:pPr>
        <w:pStyle w:val="ListParagraph"/>
        <w:numPr>
          <w:ilvl w:val="0"/>
          <w:numId w:val="1"/>
        </w:numPr>
        <w:spacing w:after="80" w:line="290"/>
        <w:jc w:val="both"/>
      </w:pPr>
      <w:r>
        <w:rPr>
          <w:rFonts w:ascii="Roboto" w:cs="Roboto" w:eastAsia="Roboto" w:hAnsi="Roboto"/>
          <w:b/>
          <w:bCs/>
          <w:color w:val="1A1A1A"/>
          <w:sz w:val="21"/>
          <w:szCs w:val="21"/>
        </w:rPr>
        <w:t xml:space="preserve">Del uso de la herramienta (registro automático):</w:t>
      </w:r>
      <w:r>
        <w:rPr>
          <w:rFonts w:ascii="Roboto" w:cs="Roboto" w:eastAsia="Roboto" w:hAnsi="Roboto"/>
          <w:color w:val="1A1A1A"/>
          <w:sz w:val="21"/>
          <w:szCs w:val="21"/>
        </w:rPr>
        <w:t xml:space="preserve"> fecha y hora de inicios de sesión, intentos fallidos, cierres y visitas; territorio consultado y filtros aplicados; archivos descargados; dirección IP, y una cookie técnica de sesión.</w:t>
      </w:r>
    </w:p>
    <w:p>
      <w:pPr>
        <w:spacing w:after="140" w:before="0" w:line="300"/>
        <w:jc w:val="both"/>
      </w:pPr>
      <w:r>
        <w:rPr>
          <w:rFonts w:ascii="Roboto" w:cs="Roboto" w:eastAsia="Roboto" w:hAnsi="Roboto"/>
          <w:color w:val="1A1A1A"/>
          <w:sz w:val="21"/>
          <w:szCs w:val="21"/>
        </w:rPr>
        <w:t xml:space="preserve">No se recaban datos personales sensibles. La función «Mi ubicación» opera en el propio dispositivo: la ubicación no se envía ni se guarda.</w:t>
      </w:r>
    </w:p>
    <w:p>
      <w:pPr>
        <w:keepNext/>
        <w:spacing w:after="100" w:before="200"/>
      </w:pPr>
      <w:r>
        <w:rPr>
          <w:rFonts w:ascii="Cabin" w:cs="Cabin" w:eastAsia="Cabin" w:hAnsi="Cabin"/>
          <w:b/>
          <w:bCs/>
          <w:color w:val="9D2148"/>
          <w:sz w:val="22"/>
          <w:szCs w:val="22"/>
        </w:rPr>
        <w:t xml:space="preserve">Finalidades</w:t>
      </w:r>
    </w:p>
    <w:p>
      <w:pPr>
        <w:pStyle w:val="ListParagraph"/>
        <w:numPr>
          <w:ilvl w:val="0"/>
          <w:numId w:val="1"/>
        </w:numPr>
        <w:spacing w:after="80" w:line="290"/>
        <w:jc w:val="both"/>
      </w:pPr>
      <w:r>
        <w:rPr>
          <w:rFonts w:ascii="Roboto" w:cs="Roboto" w:eastAsia="Roboto" w:hAnsi="Roboto"/>
          <w:color w:val="1A1A1A"/>
          <w:sz w:val="21"/>
          <w:szCs w:val="21"/>
        </w:rPr>
        <w:t xml:space="preserve">Controlar el acceso y administrar las cuentas de las personas autorizadas.</w:t>
      </w:r>
    </w:p>
    <w:p>
      <w:pPr>
        <w:pStyle w:val="ListParagraph"/>
        <w:numPr>
          <w:ilvl w:val="0"/>
          <w:numId w:val="1"/>
        </w:numPr>
        <w:spacing w:after="80" w:line="290"/>
        <w:jc w:val="both"/>
      </w:pPr>
      <w:r>
        <w:rPr>
          <w:rFonts w:ascii="Roboto" w:cs="Roboto" w:eastAsia="Roboto" w:hAnsi="Roboto"/>
          <w:color w:val="1A1A1A"/>
          <w:sz w:val="21"/>
          <w:szCs w:val="21"/>
        </w:rPr>
        <w:t xml:space="preserve">Proteger la información: bloquear accesos tras intentos fallidos, detectar usos indebidos y atender incidentes.</w:t>
      </w:r>
    </w:p>
    <w:p>
      <w:pPr>
        <w:pStyle w:val="ListParagraph"/>
        <w:numPr>
          <w:ilvl w:val="0"/>
          <w:numId w:val="1"/>
        </w:numPr>
        <w:spacing w:after="80" w:line="290"/>
        <w:jc w:val="both"/>
      </w:pPr>
      <w:r>
        <w:rPr>
          <w:rFonts w:ascii="Roboto" w:cs="Roboto" w:eastAsia="Roboto" w:hAnsi="Roboto"/>
          <w:color w:val="1A1A1A"/>
          <w:sz w:val="21"/>
          <w:szCs w:val="21"/>
        </w:rPr>
        <w:t xml:space="preserve">Dar seguimiento al uso de la herramienta para planear la reforestación urbana y mejorarla. Los reportes se difunden de forma agregada, sin identificar a las personas.</w:t>
      </w:r>
    </w:p>
    <w:p>
      <w:pPr>
        <w:spacing w:after="140" w:before="0" w:line="300"/>
        <w:jc w:val="both"/>
      </w:pPr>
      <w:r>
        <w:rPr>
          <w:rFonts w:ascii="Roboto" w:cs="Roboto" w:eastAsia="Roboto" w:hAnsi="Roboto"/>
          <w:color w:val="1A1A1A"/>
          <w:sz w:val="21"/>
          <w:szCs w:val="21"/>
        </w:rPr>
        <w:t xml:space="preserve">El correo electrónico solo identifica la cuenta; no se usa para enviar comunicaciones. Ninguna de estas finalidades requiere su consentimiento, porque los datos se tratan en ejercicio de las atribuciones de la Secretaría (artículo 15, fracción I, de la Ley de Protección de Datos Personales en Posesión de Sujetos Obligados de la Ciudad de México).</w:t>
      </w:r>
    </w:p>
    <w:p>
      <w:pPr>
        <w:keepNext/>
        <w:spacing w:after="100" w:before="200"/>
      </w:pPr>
      <w:r>
        <w:rPr>
          <w:rFonts w:ascii="Cabin" w:cs="Cabin" w:eastAsia="Cabin" w:hAnsi="Cabin"/>
          <w:b/>
          <w:bCs/>
          <w:color w:val="9D2148"/>
          <w:sz w:val="22"/>
          <w:szCs w:val="22"/>
        </w:rPr>
        <w:t xml:space="preserve">Fundamento</w:t>
      </w:r>
    </w:p>
    <w:p>
      <w:pPr>
        <w:spacing w:after="140" w:before="0" w:line="300"/>
        <w:jc w:val="both"/>
      </w:pPr>
      <w:r>
        <w:rPr>
          <w:rFonts w:ascii="Roboto" w:cs="Roboto" w:eastAsia="Roboto" w:hAnsi="Roboto"/>
          <w:color w:val="1A1A1A"/>
          <w:sz w:val="21"/>
          <w:szCs w:val="21"/>
        </w:rPr>
        <w:t xml:space="preserve">Artículos 7, fracción XXXV, y 270 de la Ley Ambiental de la Ciudad de México; artículo 7, fracción X, del Reglamento Interior del Poder Ejecutivo y de la Administración Pública de la Ciudad de México; y artículos 15, fracción I, 19, 20, 21 y 23 de la Ley de Protección de Datos Personales en Posesión de Sujetos Obligados de la Ciudad de México, publicada en la Gaceta Oficial de la Ciudad de México el 13 de julio de 2026.</w:t>
      </w:r>
    </w:p>
    <w:p>
      <w:pPr>
        <w:keepNext/>
        <w:spacing w:after="100" w:before="200"/>
      </w:pPr>
      <w:r>
        <w:rPr>
          <w:rFonts w:ascii="Cabin" w:cs="Cabin" w:eastAsia="Cabin" w:hAnsi="Cabin"/>
          <w:b/>
          <w:bCs/>
          <w:color w:val="9D2148"/>
          <w:sz w:val="22"/>
          <w:szCs w:val="22"/>
        </w:rPr>
        <w:t xml:space="preserve">Transferencias</w:t>
      </w:r>
    </w:p>
    <w:p>
      <w:pPr>
        <w:spacing w:after="140" w:before="0" w:line="300"/>
        <w:jc w:val="both"/>
      </w:pPr>
      <w:r>
        <w:rPr>
          <w:rFonts w:ascii="Roboto" w:cs="Roboto" w:eastAsia="Roboto" w:hAnsi="Roboto"/>
          <w:color w:val="1A1A1A"/>
          <w:sz w:val="21"/>
          <w:szCs w:val="21"/>
        </w:rPr>
        <w:t xml:space="preserve">Sus datos personales no se transfieren a otras dependencias, entidades ni particulares. Solo podrán transferirse sin su consentimiento en los casos que prevé el artículo 70 de la Ley de Protección de Datos Personales en Posesión de Sujetos Obligados de la Ciudad de México, por ejemplo, ante el requerimiento de una autoridad competente.</w:t>
      </w:r>
    </w:p>
    <w:p>
      <w:pPr>
        <w:keepNext/>
        <w:spacing w:after="100" w:before="200"/>
      </w:pPr>
      <w:r>
        <w:rPr>
          <w:rFonts w:ascii="Cabin" w:cs="Cabin" w:eastAsia="Cabin" w:hAnsi="Cabin"/>
          <w:b/>
          <w:bCs/>
          <w:color w:val="9D2148"/>
          <w:sz w:val="22"/>
          <w:szCs w:val="22"/>
        </w:rPr>
        <w:t xml:space="preserve">Servicios de terceros</w:t>
      </w:r>
    </w:p>
    <w:p>
      <w:pPr>
        <w:spacing w:after="140" w:before="0" w:line="300"/>
        <w:jc w:val="both"/>
      </w:pPr>
      <w:r>
        <w:rPr>
          <w:rFonts w:ascii="Roboto" w:cs="Roboto" w:eastAsia="Roboto" w:hAnsi="Roboto"/>
          <w:color w:val="1A1A1A"/>
          <w:sz w:val="21"/>
          <w:szCs w:val="21"/>
        </w:rPr>
        <w:t xml:space="preserve">Solo si usted enciende el fondo «Satélite», su navegador pide las imágenes a Esri; y si abre desde una ficha un enlace a Google Maps, se abre el sitio de Google. En esos casos, esos servicios reciben la dirección IP de su equipo y se rigen por sus propios avisos de privacidad. La Secretaría no les envía ninguno de los datos de este aviso.</w:t>
      </w:r>
    </w:p>
    <w:p>
      <w:pPr>
        <w:keepNext/>
        <w:spacing w:after="100" w:before="200"/>
      </w:pPr>
      <w:r>
        <w:rPr>
          <w:rFonts w:ascii="Cabin" w:cs="Cabin" w:eastAsia="Cabin" w:hAnsi="Cabin"/>
          <w:b/>
          <w:bCs/>
          <w:color w:val="9D2148"/>
          <w:sz w:val="22"/>
          <w:szCs w:val="22"/>
        </w:rPr>
        <w:t xml:space="preserve">Conservación</w:t>
      </w:r>
    </w:p>
    <w:p>
      <w:pPr>
        <w:keepNext/>
        <w:spacing w:after="100" w:before="160" w:line="240"/>
      </w:pPr>
      <w:r>
        <w:rPr>
          <w:rFonts w:ascii="Roboto" w:cs="Roboto" w:eastAsia="Roboto" w:hAnsi="Roboto"/>
          <w:b/>
          <w:bCs/>
          <w:color w:val="9D2148"/>
          <w:sz w:val="19"/>
          <w:szCs w:val="19"/>
        </w:rPr>
        <w:t xml:space="preserve">Tabla 5. </w:t>
      </w:r>
      <w:r>
        <w:rPr>
          <w:rFonts w:ascii="Roboto" w:cs="Roboto" w:eastAsia="Roboto" w:hAnsi="Roboto"/>
          <w:color w:val="1A1A1A"/>
          <w:sz w:val="19"/>
          <w:szCs w:val="19"/>
        </w:rPr>
        <w:t xml:space="preserve">Plazos de conservación declarados en el aviso.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600"/>
        <w:gridCol w:w="6372"/>
      </w:tblGrid>
      <w:tr>
        <w:trPr>
          <w:tblHeader/>
        </w:trPr>
        <w:tc>
          <w:tcPr>
            <w:tcW w:type="dxa" w:w="3600"/>
            <w:tcBorders>
              <w:top w:val="single" w:color="D9D2CA" w:sz="4"/>
              <w:left w:val="single" w:color="D9D2CA" w:sz="4"/>
              <w:bottom w:val="single" w:color="D9D2CA" w:sz="4"/>
              <w:right w:val="single" w:color="D9D2CA" w:sz="4"/>
            </w:tcBorders>
            <w:shd w:fill="9D2148" w:color="auto" w:val="clear"/>
            <w:tcMar>
              <w:top w:type="dxa" w:w="60"/>
              <w:left w:type="dxa" w:w="90"/>
              <w:bottom w:type="dxa" w:w="60"/>
              <w:right w:type="dxa" w:w="90"/>
            </w:tcMar>
            <w:vAlign w:val="center"/>
          </w:tcPr>
          <w:p>
            <w:pPr>
              <w:spacing w:after="0" w:line="250"/>
              <w:jc w:val="left"/>
            </w:pPr>
            <w:r>
              <w:rPr>
                <w:rFonts w:ascii="Roboto" w:cs="Roboto" w:eastAsia="Roboto" w:hAnsi="Roboto"/>
                <w:b/>
                <w:bCs/>
                <w:color w:val="FFFFFF"/>
                <w:sz w:val="18"/>
                <w:szCs w:val="18"/>
              </w:rPr>
              <w:t xml:space="preserve">Dato</w:t>
            </w:r>
          </w:p>
        </w:tc>
        <w:tc>
          <w:tcPr>
            <w:tcW w:type="dxa" w:w="6372"/>
            <w:tcBorders>
              <w:top w:val="single" w:color="D9D2CA" w:sz="4"/>
              <w:left w:val="single" w:color="D9D2CA" w:sz="4"/>
              <w:bottom w:val="single" w:color="D9D2CA" w:sz="4"/>
              <w:right w:val="single" w:color="D9D2CA" w:sz="4"/>
            </w:tcBorders>
            <w:shd w:fill="9D2148" w:color="auto" w:val="clear"/>
            <w:tcMar>
              <w:top w:type="dxa" w:w="60"/>
              <w:left w:type="dxa" w:w="90"/>
              <w:bottom w:type="dxa" w:w="60"/>
              <w:right w:type="dxa" w:w="90"/>
            </w:tcMar>
            <w:vAlign w:val="center"/>
          </w:tcPr>
          <w:p>
            <w:pPr>
              <w:spacing w:after="0" w:line="250"/>
              <w:jc w:val="left"/>
            </w:pPr>
            <w:r>
              <w:rPr>
                <w:rFonts w:ascii="Roboto" w:cs="Roboto" w:eastAsia="Roboto" w:hAnsi="Roboto"/>
                <w:b/>
                <w:bCs/>
                <w:color w:val="FFFFFF"/>
                <w:sz w:val="18"/>
                <w:szCs w:val="18"/>
              </w:rPr>
              <w:t xml:space="preserve">Plazo</w:t>
            </w:r>
          </w:p>
        </w:tc>
      </w:tr>
      <w:tr>
        <w:trPr>
          <w:cantSplit/>
        </w:trPr>
        <w:tc>
          <w:tcPr>
            <w:tcW w:type="dxa" w:w="36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Datos de la cuenta</w:t>
            </w:r>
          </w:p>
        </w:tc>
        <w:tc>
          <w:tcPr>
            <w:tcW w:type="dxa" w:w="63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Mientras esté vigente; tras la baja, se conserva desactivada 24 meses</w:t>
            </w:r>
          </w:p>
        </w:tc>
      </w:tr>
      <w:tr>
        <w:trPr>
          <w:cantSplit/>
        </w:trPr>
        <w:tc>
          <w:tcPr>
            <w:tcW w:type="dxa" w:w="36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Bitácora de uso</w:t>
            </w:r>
          </w:p>
        </w:tc>
        <w:tc>
          <w:tcPr>
            <w:tcW w:type="dxa" w:w="63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24 meses</w:t>
            </w:r>
          </w:p>
        </w:tc>
      </w:tr>
      <w:tr>
        <w:trPr>
          <w:cantSplit/>
        </w:trPr>
        <w:tc>
          <w:tcPr>
            <w:tcW w:type="dxa" w:w="3600"/>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Dirección IP</w:t>
            </w:r>
          </w:p>
        </w:tc>
        <w:tc>
          <w:tcPr>
            <w:tcW w:type="dxa" w:w="6372"/>
            <w:tcBorders>
              <w:top w:val="single" w:color="D9D2CA" w:sz="4"/>
              <w:left w:val="single" w:color="D9D2CA" w:sz="4"/>
              <w:bottom w:val="single" w:color="D9D2CA" w:sz="4"/>
              <w:right w:val="single" w:color="D9D2CA" w:sz="4"/>
            </w:tcBorders>
            <w:shd w:fill="FFFFFF"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6 meses</w:t>
            </w:r>
          </w:p>
        </w:tc>
      </w:tr>
      <w:tr>
        <w:trPr>
          <w:cantSplit/>
        </w:trPr>
        <w:tc>
          <w:tcPr>
            <w:tcW w:type="dxa" w:w="3600"/>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Cookie de sesión</w:t>
            </w:r>
          </w:p>
        </w:tc>
        <w:tc>
          <w:tcPr>
            <w:tcW w:type="dxa" w:w="6372"/>
            <w:tcBorders>
              <w:top w:val="single" w:color="D9D2CA" w:sz="4"/>
              <w:left w:val="single" w:color="D9D2CA" w:sz="4"/>
              <w:bottom w:val="single" w:color="D9D2CA" w:sz="4"/>
              <w:right w:val="single" w:color="D9D2CA" w:sz="4"/>
            </w:tcBorders>
            <w:shd w:fill="F7F1F3" w:color="auto" w:val="clear"/>
            <w:tcMar>
              <w:top w:type="dxa" w:w="60"/>
              <w:left w:type="dxa" w:w="90"/>
              <w:bottom w:type="dxa" w:w="60"/>
              <w:right w:type="dxa" w:w="90"/>
            </w:tcMar>
            <w:vAlign w:val="center"/>
          </w:tcPr>
          <w:p>
            <w:pPr>
              <w:spacing w:after="60" w:line="250"/>
              <w:jc w:val="left"/>
            </w:pPr>
            <w:r>
              <w:rPr>
                <w:rFonts w:ascii="Roboto" w:cs="Roboto" w:eastAsia="Roboto" w:hAnsi="Roboto"/>
                <w:color w:val="1A1A1A"/>
                <w:sz w:val="18"/>
                <w:szCs w:val="18"/>
              </w:rPr>
              <w:t xml:space="preserve">Hasta cerrar sesión, 12 horas sin actividad o 7 días, lo que ocurra primero</w:t>
            </w:r>
          </w:p>
        </w:tc>
      </w:tr>
    </w:tbl>
    <w:p>
      <w:pPr>
        <w:spacing w:after="240" w:before="70" w:line="220"/>
      </w:pPr>
      <w:r>
        <w:rPr>
          <w:rFonts w:ascii="Roboto" w:cs="Roboto" w:eastAsia="Roboto" w:hAnsi="Roboto"/>
          <w:i/>
          <w:iCs/>
          <w:color w:val="55585A"/>
          <w:sz w:val="16"/>
          <w:szCs w:val="16"/>
        </w:rPr>
        <w:t xml:space="preserve">Fuente: Secretaría del Medio Ambiente, módulo de inicio de sesión de la herramienta, octubre de 2026.</w:t>
      </w:r>
    </w:p>
    <w:p>
      <w:pPr>
        <w:spacing w:after="140" w:before="0" w:line="300"/>
        <w:jc w:val="both"/>
      </w:pPr>
      <w:r>
        <w:rPr>
          <w:rFonts w:ascii="Roboto" w:cs="Roboto" w:eastAsia="Roboto" w:hAnsi="Roboto"/>
          <w:color w:val="1A1A1A"/>
          <w:sz w:val="21"/>
          <w:szCs w:val="21"/>
        </w:rPr>
        <w:t xml:space="preserve">Al vencer el plazo, las cuentas dadas de baja, la bitácora y la dirección IP se eliminan de forma automática.</w:t>
      </w:r>
    </w:p>
    <w:p>
      <w:pPr>
        <w:keepNext/>
        <w:spacing w:after="100" w:before="200"/>
      </w:pPr>
      <w:r>
        <w:rPr>
          <w:rFonts w:ascii="Cabin" w:cs="Cabin" w:eastAsia="Cabin" w:hAnsi="Cabin"/>
          <w:b/>
          <w:bCs/>
          <w:color w:val="9D2148"/>
          <w:sz w:val="22"/>
          <w:szCs w:val="22"/>
        </w:rPr>
        <w:t xml:space="preserve">Derechos ARCOP</w:t>
      </w:r>
    </w:p>
    <w:p>
      <w:pPr>
        <w:spacing w:after="140" w:before="0" w:line="300"/>
        <w:jc w:val="both"/>
      </w:pPr>
      <w:r>
        <w:rPr>
          <w:rFonts w:ascii="Roboto" w:cs="Roboto" w:eastAsia="Roboto" w:hAnsi="Roboto"/>
          <w:color w:val="1A1A1A"/>
          <w:sz w:val="21"/>
          <w:szCs w:val="21"/>
        </w:rPr>
        <w:t xml:space="preserve">Usted puede ejercer sus derechos de acceso, rectificación, cancelación, oposición y portabilidad (ARCOP) ante la Unidad de Transparencia de la Secretaría del Medio Ambiente de la Ciudad de México, ubicada en Plaza de la Constitución número 1, piso 3, colonia Centro, alcaldía Cuauhtémoc, C.P. 06000, Ciudad de México, teléfono 55 53 45 81 87 y 88, extensión 129, por escrito libre, en sus formatos, por medios electrónicos o por la Plataforma Nacional de Transparencia. El trámite es gratuito; para hacerlo debe acreditar su identidad o la de quien le represente.</w:t>
      </w:r>
    </w:p>
    <w:p>
      <w:pPr>
        <w:keepNext/>
        <w:spacing w:after="100" w:before="200"/>
      </w:pPr>
      <w:r>
        <w:rPr>
          <w:rFonts w:ascii="Cabin" w:cs="Cabin" w:eastAsia="Cabin" w:hAnsi="Cabin"/>
          <w:b/>
          <w:bCs/>
          <w:color w:val="9D2148"/>
          <w:sz w:val="22"/>
          <w:szCs w:val="22"/>
        </w:rPr>
        <w:t xml:space="preserve">Cambios</w:t>
      </w:r>
    </w:p>
    <w:p>
      <w:pPr>
        <w:spacing w:after="140" w:before="0" w:line="300"/>
        <w:jc w:val="left"/>
      </w:pPr>
      <w:r>
        <w:rPr>
          <w:rFonts w:ascii="Roboto" w:cs="Roboto" w:eastAsia="Roboto" w:hAnsi="Roboto"/>
          <w:color w:val="1A1A1A"/>
          <w:sz w:val="21"/>
          <w:szCs w:val="21"/>
        </w:rPr>
        <w:t xml:space="preserve">Se publicarán en la pantalla de acceso de la herramienta (</w:t>
      </w:r>
      <w:r>
        <w:rPr>
          <w:rFonts w:ascii="Consolas" w:cs="Consolas" w:eastAsia="Consolas" w:hAnsi="Consolas"/>
          <w:b w:val="false"/>
          <w:bCs w:val="false"/>
          <w:color w:val="1A1A1A"/>
          <w:sz w:val="21"/>
          <w:szCs w:val="21"/>
        </w:rPr>
        <w:t xml:space="preserve">sedema.sia.cdmx.gob.mx/priorizacion-reforestacion/acceso/</w:t>
      </w:r>
      <w:r>
        <w:rPr>
          <w:rFonts w:ascii="Roboto" w:cs="Roboto" w:eastAsia="Roboto" w:hAnsi="Roboto"/>
          <w:color w:val="1A1A1A"/>
          <w:sz w:val="21"/>
          <w:szCs w:val="21"/>
        </w:rPr>
        <w:t xml:space="preserve">).</w:t>
      </w:r>
    </w:p>
    <w:p>
      <w:pPr>
        <w:spacing w:after="140" w:before="0" w:line="300"/>
        <w:jc w:val="both"/>
      </w:pPr>
      <w:r>
        <w:rPr>
          <w:rFonts w:ascii="Roboto" w:cs="Roboto" w:eastAsia="Roboto" w:hAnsi="Roboto"/>
          <w:color w:val="1A1A1A"/>
          <w:sz w:val="21"/>
          <w:szCs w:val="21"/>
        </w:rPr>
        <w:t xml:space="preserve">Última actualización: 20 de octubre de 2026.</w:t>
      </w:r>
    </w:p>
    <w:p>
      <w:r>
        <w:br w:type="page"/>
      </w:r>
    </w:p>
    <w:p>
      <w:pPr>
        <w:spacing w:after="200"/>
        <w:jc w:val="center"/>
      </w:pPr>
      <w:r>
        <w:rPr>
          <w:rFonts w:ascii="Cabin" w:cs="Cabin" w:eastAsia="Cabin" w:hAnsi="Cabin"/>
          <w:b/>
          <w:bCs/>
          <w:color w:val="9D2148"/>
          <w:sz w:val="26"/>
          <w:szCs w:val="26"/>
        </w:rPr>
        <w:t xml:space="preserve">ANEXO 3. AVISO DE PRIVACIDAD SIMPLIFICADO (PROYECTO)</w:t>
      </w:r>
    </w:p>
    <w:p>
      <w:pPr>
        <w:spacing w:after="140" w:before="0" w:line="300"/>
        <w:jc w:val="both"/>
      </w:pPr>
      <w:r>
        <w:rPr>
          <w:rFonts w:ascii="Roboto" w:cs="Roboto" w:eastAsia="Roboto" w:hAnsi="Roboto"/>
          <w:b/>
          <w:bCs/>
          <w:i/>
          <w:iCs/>
          <w:color w:val="55585A"/>
          <w:sz w:val="18"/>
          <w:szCs w:val="18"/>
        </w:rPr>
        <w:t xml:space="preserve">BORRADOR para revisión de la Unidad de Transparencia.</w:t>
      </w:r>
      <w:r>
        <w:rPr>
          <w:rFonts w:ascii="Roboto" w:cs="Roboto" w:eastAsia="Roboto" w:hAnsi="Roboto"/>
          <w:i/>
          <w:iCs/>
          <w:color w:val="55585A"/>
          <w:sz w:val="18"/>
          <w:szCs w:val="18"/>
        </w:rPr>
        <w:t xml:space="preserve"> Adecuado a la ley de datos personales del 13 de julio de 2026. Va en la pantalla de acceso, junto al enlace al aviso integral.</w:t>
      </w:r>
    </w:p>
    <w:p>
      <w:pPr>
        <w:spacing w:after="140" w:before="0" w:line="300"/>
        <w:jc w:val="both"/>
      </w:pPr>
      <w:r>
        <w:rPr>
          <w:rFonts w:ascii="Roboto" w:cs="Roboto" w:eastAsia="Roboto" w:hAnsi="Roboto"/>
          <w:color w:val="1A1A1A"/>
          <w:sz w:val="21"/>
          <w:szCs w:val="21"/>
        </w:rPr>
        <w:t xml:space="preserve">La Secretaría del Medio Ambiente de la Ciudad de México, por medio del Sistema de Información Ambiental, es responsable de los datos personales que se recaban para usar la herramienta </w:t>
      </w:r>
      <w:r>
        <w:rPr>
          <w:rFonts w:ascii="Roboto" w:cs="Roboto" w:eastAsia="Roboto" w:hAnsi="Roboto"/>
          <w:b/>
          <w:bCs/>
          <w:color w:val="1A1A1A"/>
          <w:sz w:val="21"/>
          <w:szCs w:val="21"/>
        </w:rPr>
        <w:t xml:space="preserve">Modelo de priorización de reforestación urbana</w:t>
      </w:r>
      <w:r>
        <w:rPr>
          <w:rFonts w:ascii="Roboto" w:cs="Roboto" w:eastAsia="Roboto" w:hAnsi="Roboto"/>
          <w:color w:val="1A1A1A"/>
          <w:sz w:val="21"/>
          <w:szCs w:val="21"/>
        </w:rPr>
        <w:t xml:space="preserve">, que integran el sistema de datos personales «Cuentas de acceso y bitácora de uso de la herramienta Modelo de priorización de reforestación urbana».</w:t>
      </w:r>
    </w:p>
    <w:p>
      <w:pPr>
        <w:spacing w:after="140" w:before="0" w:line="300"/>
        <w:jc w:val="both"/>
      </w:pPr>
      <w:r>
        <w:rPr>
          <w:rFonts w:ascii="Roboto" w:cs="Roboto" w:eastAsia="Roboto" w:hAnsi="Roboto"/>
          <w:b/>
          <w:bCs/>
          <w:color w:val="1A1A1A"/>
          <w:sz w:val="21"/>
          <w:szCs w:val="21"/>
        </w:rPr>
        <w:t xml:space="preserve">Datos que se recaban:</w:t>
      </w:r>
    </w:p>
    <w:p>
      <w:pPr>
        <w:pStyle w:val="ListParagraph"/>
        <w:numPr>
          <w:ilvl w:val="0"/>
          <w:numId w:val="1"/>
        </w:numPr>
        <w:spacing w:after="80" w:line="290"/>
        <w:jc w:val="both"/>
      </w:pPr>
      <w:r>
        <w:rPr>
          <w:rFonts w:ascii="Roboto" w:cs="Roboto" w:eastAsia="Roboto" w:hAnsi="Roboto"/>
          <w:color w:val="1A1A1A"/>
          <w:sz w:val="21"/>
          <w:szCs w:val="21"/>
        </w:rPr>
        <w:t xml:space="preserve">Nombre, correo electrónico (personal o institucional), institución y alcaldía de la cuenta.</w:t>
      </w:r>
    </w:p>
    <w:p>
      <w:pPr>
        <w:pStyle w:val="ListParagraph"/>
        <w:numPr>
          <w:ilvl w:val="0"/>
          <w:numId w:val="1"/>
        </w:numPr>
        <w:spacing w:after="80" w:line="290"/>
        <w:jc w:val="both"/>
      </w:pPr>
      <w:r>
        <w:rPr>
          <w:rFonts w:ascii="Roboto" w:cs="Roboto" w:eastAsia="Roboto" w:hAnsi="Roboto"/>
          <w:color w:val="1A1A1A"/>
          <w:sz w:val="21"/>
          <w:szCs w:val="21"/>
        </w:rPr>
        <w:t xml:space="preserve">Al usar la herramienta: fecha y hora de accesos y visitas, territorio consultado, archivos descargados y dirección IP.</w:t>
      </w:r>
    </w:p>
    <w:p>
      <w:pPr>
        <w:pStyle w:val="ListParagraph"/>
        <w:numPr>
          <w:ilvl w:val="0"/>
          <w:numId w:val="1"/>
        </w:numPr>
        <w:spacing w:after="80" w:line="290"/>
        <w:jc w:val="both"/>
      </w:pPr>
      <w:r>
        <w:rPr>
          <w:rFonts w:ascii="Roboto" w:cs="Roboto" w:eastAsia="Roboto" w:hAnsi="Roboto"/>
          <w:color w:val="1A1A1A"/>
          <w:sz w:val="21"/>
          <w:szCs w:val="21"/>
        </w:rPr>
        <w:t xml:space="preserve">La contraseña no se conserva: solo una huella cifrada. No se recaban datos sensibles ni la ubicación.</w:t>
      </w:r>
    </w:p>
    <w:p>
      <w:pPr>
        <w:spacing w:after="140" w:before="0" w:line="300"/>
        <w:jc w:val="both"/>
      </w:pPr>
      <w:r>
        <w:rPr>
          <w:rFonts w:ascii="Roboto" w:cs="Roboto" w:eastAsia="Roboto" w:hAnsi="Roboto"/>
          <w:b/>
          <w:bCs/>
          <w:color w:val="1A1A1A"/>
          <w:sz w:val="21"/>
          <w:szCs w:val="21"/>
        </w:rPr>
        <w:t xml:space="preserve">Finalidades:</w:t>
      </w:r>
    </w:p>
    <w:p>
      <w:pPr>
        <w:pStyle w:val="ListParagraph"/>
        <w:numPr>
          <w:ilvl w:val="0"/>
          <w:numId w:val="1"/>
        </w:numPr>
        <w:spacing w:after="80" w:line="290"/>
        <w:jc w:val="both"/>
      </w:pPr>
      <w:r>
        <w:rPr>
          <w:rFonts w:ascii="Roboto" w:cs="Roboto" w:eastAsia="Roboto" w:hAnsi="Roboto"/>
          <w:color w:val="1A1A1A"/>
          <w:sz w:val="21"/>
          <w:szCs w:val="21"/>
        </w:rPr>
        <w:t xml:space="preserve">Controlar quién entra.</w:t>
      </w:r>
    </w:p>
    <w:p>
      <w:pPr>
        <w:pStyle w:val="ListParagraph"/>
        <w:numPr>
          <w:ilvl w:val="0"/>
          <w:numId w:val="1"/>
        </w:numPr>
        <w:spacing w:after="80" w:line="290"/>
        <w:jc w:val="both"/>
      </w:pPr>
      <w:r>
        <w:rPr>
          <w:rFonts w:ascii="Roboto" w:cs="Roboto" w:eastAsia="Roboto" w:hAnsi="Roboto"/>
          <w:color w:val="1A1A1A"/>
          <w:sz w:val="21"/>
          <w:szCs w:val="21"/>
        </w:rPr>
        <w:t xml:space="preserve">Proteger la seguridad de la información.</w:t>
      </w:r>
    </w:p>
    <w:p>
      <w:pPr>
        <w:pStyle w:val="ListParagraph"/>
        <w:numPr>
          <w:ilvl w:val="0"/>
          <w:numId w:val="1"/>
        </w:numPr>
        <w:spacing w:after="80" w:line="290"/>
        <w:jc w:val="both"/>
      </w:pPr>
      <w:r>
        <w:rPr>
          <w:rFonts w:ascii="Roboto" w:cs="Roboto" w:eastAsia="Roboto" w:hAnsi="Roboto"/>
          <w:color w:val="1A1A1A"/>
          <w:sz w:val="21"/>
          <w:szCs w:val="21"/>
        </w:rPr>
        <w:t xml:space="preserve">Conocer qué instituciones y alcaldías usan la herramienta y qué consultan y descargan, para planear la reforestación y mejorar la herramienta. Los reportes que se difundan son agregados.</w:t>
      </w:r>
    </w:p>
    <w:p>
      <w:pPr>
        <w:spacing w:after="140" w:before="0" w:line="300"/>
        <w:jc w:val="both"/>
      </w:pPr>
      <w:r>
        <w:rPr>
          <w:rFonts w:ascii="Roboto" w:cs="Roboto" w:eastAsia="Roboto" w:hAnsi="Roboto"/>
          <w:color w:val="1A1A1A"/>
          <w:sz w:val="21"/>
          <w:szCs w:val="21"/>
        </w:rPr>
        <w:t xml:space="preserve">Ninguna de estas finalidades requiere su consentimiento.</w:t>
      </w:r>
    </w:p>
    <w:p>
      <w:pPr>
        <w:spacing w:after="140" w:before="0" w:line="300"/>
        <w:jc w:val="both"/>
      </w:pPr>
      <w:r>
        <w:rPr>
          <w:rFonts w:ascii="Roboto" w:cs="Roboto" w:eastAsia="Roboto" w:hAnsi="Roboto"/>
          <w:b/>
          <w:bCs/>
          <w:color w:val="1A1A1A"/>
          <w:sz w:val="21"/>
          <w:szCs w:val="21"/>
        </w:rPr>
        <w:t xml:space="preserve">Transferencias:</w:t>
      </w:r>
      <w:r>
        <w:rPr>
          <w:rFonts w:ascii="Roboto" w:cs="Roboto" w:eastAsia="Roboto" w:hAnsi="Roboto"/>
          <w:color w:val="1A1A1A"/>
          <w:sz w:val="21"/>
          <w:szCs w:val="21"/>
        </w:rPr>
        <w:t xml:space="preserve"> sus datos no se transfieren, salvo en los casos que prevé la ley, por ejemplo, ante el requerimiento de una autoridad competente.</w:t>
      </w:r>
    </w:p>
    <w:p>
      <w:pPr>
        <w:spacing w:after="140" w:before="0" w:line="300"/>
        <w:jc w:val="both"/>
      </w:pPr>
      <w:r>
        <w:rPr>
          <w:rFonts w:ascii="Roboto" w:cs="Roboto" w:eastAsia="Roboto" w:hAnsi="Roboto"/>
          <w:b/>
          <w:bCs/>
          <w:color w:val="1A1A1A"/>
          <w:sz w:val="21"/>
          <w:szCs w:val="21"/>
        </w:rPr>
        <w:t xml:space="preserve">Derechos:</w:t>
      </w:r>
      <w:r>
        <w:rPr>
          <w:rFonts w:ascii="Roboto" w:cs="Roboto" w:eastAsia="Roboto" w:hAnsi="Roboto"/>
          <w:color w:val="1A1A1A"/>
          <w:sz w:val="21"/>
          <w:szCs w:val="21"/>
        </w:rPr>
        <w:t xml:space="preserve"> puede ejercer sus derechos de acceso, rectificación, cancelación, oposición y portabilidad (ARCOP) ante la Unidad de Transparencia de la SEDEMA (Plaza de la Constitución número 1, piso 3, colonia Centro, alcaldía Cuauhtémoc, C.P. 06000; teléfono 55 53 45 81 87 y 88, extensión 129) o por la Plataforma Nacional de Transparencia.</w:t>
      </w:r>
    </w:p>
    <w:p>
      <w:pPr>
        <w:spacing w:after="140" w:before="0" w:line="300"/>
        <w:jc w:val="left"/>
      </w:pPr>
      <w:r>
        <w:rPr>
          <w:rFonts w:ascii="Roboto" w:cs="Roboto" w:eastAsia="Roboto" w:hAnsi="Roboto"/>
          <w:b/>
          <w:bCs/>
          <w:color w:val="1A1A1A"/>
          <w:sz w:val="21"/>
          <w:szCs w:val="21"/>
        </w:rPr>
        <w:t xml:space="preserve">Aviso integral:</w:t>
      </w:r>
      <w:r>
        <w:rPr>
          <w:rFonts w:ascii="Roboto" w:cs="Roboto" w:eastAsia="Roboto" w:hAnsi="Roboto"/>
          <w:color w:val="1A1A1A"/>
          <w:sz w:val="21"/>
          <w:szCs w:val="21"/>
        </w:rPr>
        <w:t xml:space="preserve"> el aviso de privacidad integral se consulta en </w:t>
      </w:r>
      <w:r>
        <w:rPr>
          <w:rFonts w:ascii="Consolas" w:cs="Consolas" w:eastAsia="Consolas" w:hAnsi="Consolas"/>
          <w:b w:val="false"/>
          <w:bCs w:val="false"/>
          <w:color w:val="1A1A1A"/>
          <w:sz w:val="21"/>
          <w:szCs w:val="21"/>
        </w:rPr>
        <w:t xml:space="preserve">sedema.sia.cdmx.gob.mx/priorizacion-reforestacion/acceso/aviso-de-privacidad.html</w:t>
      </w:r>
      <w:r>
        <w:rPr>
          <w:rFonts w:ascii="Roboto" w:cs="Roboto" w:eastAsia="Roboto" w:hAnsi="Roboto"/>
          <w:color w:val="1A1A1A"/>
          <w:sz w:val="21"/>
          <w:szCs w:val="21"/>
        </w:rPr>
        <w:t xml:space="preserve">.</w:t>
      </w:r>
    </w:p>
    <w:sectPr>
      <w:headerReference w:type="default" r:id="rId6"/>
      <w:headerReference w:type="first" r:id="rId7"/>
      <w:footerReference w:type="default" r:id="rId8"/>
      <w:footerReference w:type="first" r:id="rId9"/>
      <w:pgSz w:w="12240" w:h="15840"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8E5C" w:sz="6" w:space="4"/>
      </w:pBdr>
      <w:jc w:val="right"/>
    </w:pPr>
    <w:r>
      <w:rPr>
        <w:rFonts w:ascii="Roboto" w:cs="Roboto" w:eastAsia="Roboto" w:hAnsi="Roboto"/>
        <w:color w:val="55585A"/>
        <w:sz w:val="16"/>
        <w:szCs w:val="16"/>
      </w:rPr>
      <w:t xml:space="preserve">Página </w:t>
    </w:r>
    <w:r>
      <w:rPr>
        <w:rFonts w:ascii="Roboto" w:cs="Roboto" w:eastAsia="Roboto" w:hAnsi="Roboto"/>
        <w:color w:val="55585A"/>
        <w:sz w:val="16"/>
        <w:szCs w:val="16"/>
      </w:rPr>
      <w:fldChar w:fldCharType="begin"/>
    </w:r>
    <w:r>
      <w:rPr>
        <w:rFonts w:ascii="Roboto" w:cs="Roboto" w:eastAsia="Roboto" w:hAnsi="Roboto"/>
        <w:color w:val="55585A"/>
        <w:sz w:val="16"/>
        <w:szCs w:val="16"/>
      </w:rPr>
      <w:instrText xml:space="preserve">PAGE</w:instrText>
    </w:r>
    <w:r>
      <w:rPr>
        <w:rFonts w:ascii="Roboto" w:cs="Roboto" w:eastAsia="Roboto" w:hAnsi="Roboto"/>
        <w:color w:val="55585A"/>
        <w:sz w:val="16"/>
        <w:szCs w:val="16"/>
      </w:rPr>
      <w:fldChar w:fldCharType="separate"/>
    </w:r>
    <w:r>
      <w:rPr>
        <w:rFonts w:ascii="Roboto" w:cs="Roboto" w:eastAsia="Roboto" w:hAnsi="Roboto"/>
        <w:color w:val="55585A"/>
        <w:sz w:val="16"/>
        <w:szCs w:val="16"/>
      </w:rPr>
      <w:fldChar w:fldCharType="end"/>
    </w:r>
    <w:r>
      <w:rPr>
        <w:rFonts w:ascii="Roboto" w:cs="Roboto" w:eastAsia="Roboto" w:hAnsi="Roboto"/>
        <w:color w:val="55585A"/>
        <w:sz w:val="16"/>
        <w:szCs w:val="16"/>
      </w:rPr>
      <w:t xml:space="preserve"> de </w:t>
    </w:r>
    <w:r>
      <w:rPr>
        <w:rFonts w:ascii="Roboto" w:cs="Roboto" w:eastAsia="Roboto" w:hAnsi="Roboto"/>
        <w:color w:val="55585A"/>
        <w:sz w:val="16"/>
        <w:szCs w:val="16"/>
      </w:rPr>
      <w:fldChar w:fldCharType="begin"/>
    </w:r>
    <w:r>
      <w:rPr>
        <w:rFonts w:ascii="Roboto" w:cs="Roboto" w:eastAsia="Roboto" w:hAnsi="Roboto"/>
        <w:color w:val="55585A"/>
        <w:sz w:val="16"/>
        <w:szCs w:val="16"/>
      </w:rPr>
      <w:instrText xml:space="preserve">NUMPAGES</w:instrText>
    </w:r>
    <w:r>
      <w:rPr>
        <w:rFonts w:ascii="Roboto" w:cs="Roboto" w:eastAsia="Roboto" w:hAnsi="Roboto"/>
        <w:color w:val="55585A"/>
        <w:sz w:val="16"/>
        <w:szCs w:val="16"/>
      </w:rPr>
      <w:fldChar w:fldCharType="separate"/>
    </w:r>
    <w:r>
      <w:rPr>
        <w:rFonts w:ascii="Roboto" w:cs="Roboto" w:eastAsia="Roboto" w:hAnsi="Roboto"/>
        <w:color w:val="55585A"/>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8E5C" w:sz="6" w:space="4"/>
      </w:pBdr>
      <w:jc w:val="right"/>
    </w:pPr>
    <w:r>
      <w:rPr>
        <w:rFonts w:ascii="Roboto" w:cs="Roboto" w:eastAsia="Roboto" w:hAnsi="Roboto"/>
        <w:color w:val="55585A"/>
        <w:sz w:val="16"/>
        <w:szCs w:val="16"/>
      </w:rPr>
      <w:t xml:space="preserve">Página </w:t>
    </w:r>
    <w:r>
      <w:rPr>
        <w:rFonts w:ascii="Roboto" w:cs="Roboto" w:eastAsia="Roboto" w:hAnsi="Roboto"/>
        <w:color w:val="55585A"/>
        <w:sz w:val="16"/>
        <w:szCs w:val="16"/>
      </w:rPr>
      <w:fldChar w:fldCharType="begin"/>
    </w:r>
    <w:r>
      <w:rPr>
        <w:rFonts w:ascii="Roboto" w:cs="Roboto" w:eastAsia="Roboto" w:hAnsi="Roboto"/>
        <w:color w:val="55585A"/>
        <w:sz w:val="16"/>
        <w:szCs w:val="16"/>
      </w:rPr>
      <w:instrText xml:space="preserve">PAGE</w:instrText>
    </w:r>
    <w:r>
      <w:rPr>
        <w:rFonts w:ascii="Roboto" w:cs="Roboto" w:eastAsia="Roboto" w:hAnsi="Roboto"/>
        <w:color w:val="55585A"/>
        <w:sz w:val="16"/>
        <w:szCs w:val="16"/>
      </w:rPr>
      <w:fldChar w:fldCharType="separate"/>
    </w:r>
    <w:r>
      <w:rPr>
        <w:rFonts w:ascii="Roboto" w:cs="Roboto" w:eastAsia="Roboto" w:hAnsi="Roboto"/>
        <w:color w:val="55585A"/>
        <w:sz w:val="16"/>
        <w:szCs w:val="16"/>
      </w:rPr>
      <w:fldChar w:fldCharType="end"/>
    </w:r>
    <w:r>
      <w:rPr>
        <w:rFonts w:ascii="Roboto" w:cs="Roboto" w:eastAsia="Roboto" w:hAnsi="Roboto"/>
        <w:color w:val="55585A"/>
        <w:sz w:val="16"/>
        <w:szCs w:val="16"/>
      </w:rPr>
      <w:t xml:space="preserve"> de </w:t>
    </w:r>
    <w:r>
      <w:rPr>
        <w:rFonts w:ascii="Roboto" w:cs="Roboto" w:eastAsia="Roboto" w:hAnsi="Roboto"/>
        <w:color w:val="55585A"/>
        <w:sz w:val="16"/>
        <w:szCs w:val="16"/>
      </w:rPr>
      <w:fldChar w:fldCharType="begin"/>
    </w:r>
    <w:r>
      <w:rPr>
        <w:rFonts w:ascii="Roboto" w:cs="Roboto" w:eastAsia="Roboto" w:hAnsi="Roboto"/>
        <w:color w:val="55585A"/>
        <w:sz w:val="16"/>
        <w:szCs w:val="16"/>
      </w:rPr>
      <w:instrText xml:space="preserve">NUMPAGES</w:instrText>
    </w:r>
    <w:r>
      <w:rPr>
        <w:rFonts w:ascii="Roboto" w:cs="Roboto" w:eastAsia="Roboto" w:hAnsi="Roboto"/>
        <w:color w:val="55585A"/>
        <w:sz w:val="16"/>
        <w:szCs w:val="16"/>
      </w:rPr>
      <w:fldChar w:fldCharType="separate"/>
    </w:r>
    <w:r>
      <w:rPr>
        <w:rFonts w:ascii="Roboto" w:cs="Roboto" w:eastAsia="Roboto" w:hAnsi="Roboto"/>
        <w:color w:val="55585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Roboto" w:cs="Roboto" w:eastAsia="Roboto" w:hAnsi="Roboto"/>
          <w:i/>
          <w:iCs/>
          <w:color w:val="55585A"/>
          <w:sz w:val="16"/>
          <w:szCs w:val="16"/>
        </w:rPr>
        <w:t xml:space="preserve"> Publicada en la Gaceta Oficial de la Ciudad de México el 13 de julio de 2026; entró en vigor al día siguiente (transitorio tercero). Su transitorio cuarto abroga la ley publicada el 22 de febrero de 2018. Texto consultado en la compilación de la PAOT (paot.org.mx) el 19 de octubre de 2026.</w:t>
      </w:r>
    </w:p>
  </w:footnote>
  <w:footnote w:id="2">
    <w:p>
      <w:r>
        <w:rPr>
          <w:rStyle w:val="FootnoteReference"/>
        </w:rPr>
        <w:footnoteRef/>
      </w:r>
      <w:r>
        <w:rPr>
          <w:rFonts w:ascii="Roboto" w:cs="Roboto" w:eastAsia="Roboto" w:hAnsi="Roboto"/>
          <w:i/>
          <w:iCs/>
          <w:color w:val="55585A"/>
          <w:sz w:val="16"/>
          <w:szCs w:val="16"/>
        </w:rPr>
        <w:t xml:space="preserve"> La versión del Reglamento Interior consultada es la de la compilación de la PAOT con reforma al 17 de septiembre de 2025. No fue posible consultar la reforma anunciada del 27 de marzo de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2148" w:sz="12" w:space="1"/>
      </w:pBd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2"/>
      <w:tblBorders>
        <w:top w:val="none" w:color="FFFFFF" w:sz="0"/>
        <w:left w:val="none" w:color="FFFFFF" w:sz="0"/>
        <w:bottom w:val="none" w:color="FFFFFF" w:sz="0"/>
        <w:right w:val="none" w:color="FFFFFF" w:sz="0"/>
        <w:insideH w:val="none" w:color="FFFFFF" w:sz="0"/>
        <w:insideV w:val="none" w:color="FFFFFF" w:sz="0"/>
      </w:tblBorders>
    </w:tblPr>
    <w:tblGrid>
      <w:gridCol w:w="4300"/>
      <w:gridCol w:w="5672"/>
    </w:tblGrid>
    <w:tr>
      <w:tc>
        <w:tcPr>
          <w:tcW w:type="dxa" w:w="4300"/>
          <w:tcBorders>
            <w:top w:val="none" w:color="FFFFFF" w:sz="0"/>
            <w:left w:val="none" w:color="FFFFFF" w:sz="0"/>
            <w:bottom w:val="none" w:color="FFFFFF" w:sz="0"/>
            <w:right w:val="none" w:color="FFFFFF" w:sz="0"/>
          </w:tcBorders>
          <w:vAlign w:val="center"/>
        </w:tcPr>
        <w:p>
          <w:r>
            <w:drawing>
              <wp:inline distT="0" distB="0" distL="0" distR="0">
                <wp:extent cx="2362200" cy="4762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362200" cy="476250"/>
                        </a:xfrm>
                        <a:prstGeom prst="rect">
                          <a:avLst/>
                        </a:prstGeom>
                      </pic:spPr>
                    </pic:pic>
                  </a:graphicData>
                </a:graphic>
              </wp:inline>
            </w:drawing>
          </w:r>
        </w:p>
      </w:tc>
      <w:tc>
        <w:tcPr>
          <w:tcW w:type="dxa" w:w="5672"/>
          <w:tcBorders>
            <w:top w:val="none" w:color="FFFFFF" w:sz="0"/>
            <w:left w:val="none" w:color="FFFFFF" w:sz="0"/>
            <w:bottom w:val="none" w:color="FFFFFF" w:sz="0"/>
            <w:right w:val="none" w:color="FFFFFF" w:sz="0"/>
          </w:tcBorders>
          <w:vAlign w:val="center"/>
        </w:tcPr>
        <w:p>
          <w:pPr>
            <w:spacing w:after="0"/>
            <w:jc w:val="right"/>
          </w:pPr>
          <w:r>
            <w:rPr>
              <w:rFonts w:ascii="Cabin" w:cs="Cabin" w:eastAsia="Cabin" w:hAnsi="Cabin"/>
              <w:b/>
              <w:bCs/>
              <w:color w:val="55585A"/>
              <w:sz w:val="18"/>
              <w:szCs w:val="18"/>
            </w:rPr>
            <w:t xml:space="preserve">SECRETARÍA DEL MEDIO AMBIENTE</w:t>
          </w:r>
        </w:p>
        <w:p>
          <w:pPr>
            <w:spacing w:after="0"/>
            <w:jc w:val="right"/>
          </w:pPr>
          <w:r>
            <w:rPr>
              <w:rFonts w:ascii="Roboto" w:cs="Roboto" w:eastAsia="Roboto" w:hAnsi="Roboto"/>
              <w:color w:val="55585A"/>
              <w:sz w:val="17"/>
              <w:szCs w:val="17"/>
            </w:rPr>
            <w:t xml:space="preserve">Oficina de la Secretaría – Asesor "A"</w:t>
          </w:r>
        </w:p>
        <w:p>
          <w:pPr>
            <w:spacing w:after="0"/>
            <w:jc w:val="right"/>
          </w:pPr>
          <w:r>
            <w:rPr>
              <w:rFonts w:ascii="Roboto" w:cs="Roboto" w:eastAsia="Roboto" w:hAnsi="Roboto"/>
              <w:i/>
              <w:iCs/>
              <w:color w:val="55585A"/>
              <w:sz w:val="15"/>
              <w:szCs w:val="15"/>
            </w:rPr>
            <w:t xml:space="preserve">SEDEMA/OS/___/2026</w:t>
          </w:r>
        </w:p>
      </w:tc>
    </w:tr>
  </w:tbl>
  <w:p>
    <w:pPr>
      <w:pBdr>
        <w:bottom w:val="single" w:color="9D2148" w:sz="12"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3322438207831fe7e8126c788695155a70e005c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informativa · Avisos de privacidad de Modelo de priorización de reforestación urbana</dc:title>
  <dc:creator>Secretaría del Medio Ambiente · Sistema de Información Ambiental</dc:creator>
  <cp:lastModifiedBy>Un-named</cp:lastModifiedBy>
  <cp:revision>1</cp:revision>
  <dcterms:created xsi:type="dcterms:W3CDTF">2026-10-21T01:31:16.408Z</dcterms:created>
  <dcterms:modified xsi:type="dcterms:W3CDTF">2026-10-21T01:31:16.409Z</dcterms:modified>
</cp:coreProperties>
</file>

<file path=docProps/custom.xml><?xml version="1.0" encoding="utf-8"?>
<Properties xmlns="http://schemas.openxmlformats.org/officeDocument/2006/custom-properties" xmlns:vt="http://schemas.openxmlformats.org/officeDocument/2006/docPropsVTypes"/>
</file>