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"/>
        <w:jc w:val="right"/>
      </w:pPr>
      <w:r>
        <w:rPr>
          <w:rFonts w:ascii="Roboto" w:cs="Roboto" w:eastAsia="Roboto" w:hAnsi="Roboto"/>
          <w:i/>
          <w:iCs/>
          <w:color w:val="1A1A1A"/>
          <w:sz w:val="21"/>
          <w:szCs w:val="21"/>
        </w:rPr>
        <w:t xml:space="preserve">Ciudad de México, a [__] de octubre de 2026</w:t>
      </w:r>
    </w:p>
    <w:p>
      <w:pPr>
        <w:spacing w:after="60"/>
        <w:jc w:val="center"/>
      </w:pPr>
      <w:r>
        <w:rPr>
          <w:rFonts w:ascii="Cabin" w:cs="Cabin" w:eastAsia="Cabin" w:hAnsi="Cabin"/>
          <w:b/>
          <w:bCs/>
          <w:color w:val="9D2148"/>
          <w:sz w:val="30"/>
          <w:szCs w:val="30"/>
        </w:rPr>
        <w:t xml:space="preserve">NOTA INFORMATIVA</w:t>
      </w:r>
    </w:p>
    <w:p>
      <w:pPr>
        <w:spacing w:after="200"/>
        <w:jc w:val="center"/>
      </w:pPr>
      <w:r>
        <w:rPr>
          <w:rFonts w:ascii="Roboto" w:cs="Roboto" w:eastAsia="Roboto" w:hAnsi="Roboto"/>
          <w:b/>
          <w:bCs/>
          <w:color w:val="3A3C3E"/>
          <w:sz w:val="22"/>
          <w:szCs w:val="22"/>
        </w:rPr>
        <w:t xml:space="preserve">Para la Unidad de Transparencia de la Secretaría del Medio Ambiente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2"/>
      </w:tblGrid>
      <w:tr>
        <w:tc>
          <w:tcPr>
            <w:tcW w:type="dxa" w:w="99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Roboto" w:cs="Roboto" w:eastAsia="Roboto" w:hAnsi="Roboto"/>
                <w:b/>
                <w:bCs/>
                <w:color w:val="9D2148"/>
                <w:sz w:val="21"/>
                <w:szCs w:val="21"/>
              </w:rPr>
              <w:t xml:space="preserve">Asunto: </w:t>
            </w:r>
            <w:r>
              <w:rPr>
                <w:rFonts w:ascii="Roboto" w:cs="Roboto" w:eastAsia="Roboto" w:hAnsi="Roboto"/>
                <w:color w:val="1A1A1A"/>
                <w:sz w:val="21"/>
                <w:szCs w:val="21"/>
              </w:rPr>
              <w:t xml:space="preserve">Solicitud de revisión de los avisos de privacidad y orientación para el registro del sistema de datos personales de la herramienta «Calles prioritarias para reforestar».</w:t>
            </w:r>
          </w:p>
        </w:tc>
      </w:tr>
    </w:tbl>
    <w:p>
      <w:pPr>
        <w:pBdr>
          <w:bottom w:val="single" w:color="B28E5C" w:sz="6" w:space="4"/>
        </w:pBdr>
        <w:spacing w:after="140" w:before="280"/>
      </w:pPr>
      <w:r>
        <w:rPr>
          <w:rFonts w:ascii="Cabin" w:cs="Cabin" w:eastAsia="Cabin" w:hAnsi="Cabin"/>
          <w:b/>
          <w:bCs/>
          <w:color w:val="9D2148"/>
          <w:sz w:val="25"/>
          <w:szCs w:val="25"/>
        </w:rPr>
        <w:t xml:space="preserve">1. Objeto y antecedentes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La Oficina de la Secretaría, por medio del Sistema de Información Ambiental (SIA), desarrolló la herramienta </w:t>
      </w: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Calles prioritarias para reforestar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: un mapa de consulta para que las alcaldías y las dependencias del Gobierno de la Ciudad identifiquen las colonias, calles y vialidades primarias que conviene reforestar primero, según el modelo de priorización de la Secretaría.</w:t>
      </w:r>
    </w:p>
    <w:p>
      <w:pPr>
        <w:spacing w:after="140" w:before="0" w:line="300"/>
        <w:jc w:val="left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Para su instalación en el dominio </w:t>
      </w:r>
      <w:r>
        <w:rPr>
          <w:rFonts w:ascii="Consolas" w:cs="Consolas" w:eastAsia="Consolas" w:hAnsi="Consolas"/>
          <w:b w:val="false"/>
          <w:bCs w:val="false"/>
          <w:color w:val="1A1A1A"/>
          <w:sz w:val="21"/>
          <w:szCs w:val="21"/>
        </w:rPr>
        <w:t xml:space="preserve">sedema.sia.cdmx.gob.mx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, la Secretaría determinó que el acceso sea </w:t>
      </w: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restringido a cuentas autorizadas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 y que se </w:t>
      </w: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registre su uso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: accesos, territorios consultados y archivos descargados. Con ello se controla quién accede y se conoce qué instituciones y alcaldías la utilizan.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Este registro constituye un tratamiento de datos personales nuevo. El módulo de inicio de sesión está construido y probado, pero </w:t>
      </w: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no se pondrá en operación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 hasta que esa Unidad revise los avisos de privacidad y se determine la figura del sistema de datos personales.</w:t>
      </w:r>
    </w:p>
    <w:p>
      <w:pPr>
        <w:pBdr>
          <w:bottom w:val="single" w:color="B28E5C" w:sz="6" w:space="4"/>
        </w:pBdr>
        <w:spacing w:after="140" w:before="280"/>
      </w:pPr>
      <w:r>
        <w:rPr>
          <w:rFonts w:ascii="Cabin" w:cs="Cabin" w:eastAsia="Cabin" w:hAnsi="Cabin"/>
          <w:b/>
          <w:bCs/>
          <w:color w:val="9D2148"/>
          <w:sz w:val="25"/>
          <w:szCs w:val="25"/>
        </w:rPr>
        <w:t xml:space="preserve">2. Marco jurídico aplicable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Sin perjuicio de la revisión que esa Unidad y el área jurídica realicen, se identifican los siguientes instrumentos. Las disposiciones específicas quedan por precisar: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Ley Ambiental de la Ciudad de México, [Art. 7, fracc. __]: atribución de la Secretaría para desarrollar el Sistema de Información Ambiental.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Ley de Protección de Datos Personales en Posesión de Sujetos Obligados de la Ciudad de México, [Arts. __]: avisos de privacidad, principios y deberes del responsable, sistemas de datos personales y derechos ARCO.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Lineamientos aplicables en materia de protección de datos personales en la Ciudad de México [denominación y numerales vigentes por confirmar].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Reglamento Interior del Poder Ejecutivo y de la Administración Pública de la Ciudad de México, [Art. __]: atribuciones de la unidad responsable.</w:t>
      </w:r>
    </w:p>
    <w:p>
      <w:pPr>
        <w:pBdr>
          <w:bottom w:val="single" w:color="B28E5C" w:sz="6" w:space="4"/>
        </w:pBdr>
        <w:spacing w:after="140" w:before="280"/>
      </w:pPr>
      <w:r>
        <w:rPr>
          <w:rFonts w:ascii="Cabin" w:cs="Cabin" w:eastAsia="Cabin" w:hAnsi="Cabin"/>
          <w:b/>
          <w:bCs/>
          <w:color w:val="9D2148"/>
          <w:sz w:val="25"/>
          <w:szCs w:val="25"/>
        </w:rPr>
        <w:t xml:space="preserve">3. Desarrollo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Las personas titulares de los datos son servidoras y servidores públicos de las alcaldías, de dependencias del Gobierno de la Ciudad y de la Secretaría, que usan la herramienta por razón de su función. La Tabla 1 resume el tratamiento con los elementos que suelen requerirse para su registro.</w:t>
      </w:r>
    </w:p>
    <w:p>
      <w:pPr>
        <w:keepNext/>
        <w:spacing w:after="100" w:before="160" w:line="240"/>
      </w:pPr>
      <w:r>
        <w:rPr>
          <w:rFonts w:ascii="Roboto" w:cs="Roboto" w:eastAsia="Roboto" w:hAnsi="Roboto"/>
          <w:b/>
          <w:bCs/>
          <w:color w:val="9D2148"/>
          <w:sz w:val="19"/>
          <w:szCs w:val="19"/>
        </w:rPr>
        <w:t xml:space="preserve">Tabla 1. </w:t>
      </w:r>
      <w:r>
        <w:rPr>
          <w:rFonts w:ascii="Roboto" w:cs="Roboto" w:eastAsia="Roboto" w:hAnsi="Roboto"/>
          <w:color w:val="1A1A1A"/>
          <w:sz w:val="19"/>
          <w:szCs w:val="19"/>
        </w:rPr>
        <w:t xml:space="preserve">Inventario del tratamiento de datos personales.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7272"/>
      </w:tblGrid>
      <w:tr>
        <w:trPr>
          <w:tblHeader/>
        </w:trPr>
        <w:tc>
          <w:tcPr>
            <w:tcW w:type="dxa" w:w="2700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9D214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8"/>
                <w:szCs w:val="18"/>
              </w:rPr>
              <w:t xml:space="preserve">Elemento</w:t>
            </w:r>
          </w:p>
        </w:tc>
        <w:tc>
          <w:tcPr>
            <w:tcW w:type="dxa" w:w="7272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9D214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c>
          <w:tcPr>
            <w:tcW w:type="dxa" w:w="2700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Nombre propuesto</w:t>
            </w:r>
          </w:p>
        </w:tc>
        <w:tc>
          <w:tcPr>
            <w:tcW w:type="dxa" w:w="7272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Cuentas de acceso y bitácora de uso de la herramienta Calles prioritarias para reforestar</w:t>
            </w:r>
          </w:p>
        </w:tc>
      </w:tr>
      <w:tr>
        <w:tc>
          <w:tcPr>
            <w:tcW w:type="dxa" w:w="2700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7F1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Unidad responsable</w:t>
            </w:r>
          </w:p>
        </w:tc>
        <w:tc>
          <w:tcPr>
            <w:tcW w:type="dxa" w:w="7272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7F1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Oficina de la Secretaría · Sistema de Información Ambiental</w:t>
            </w:r>
          </w:p>
        </w:tc>
      </w:tr>
      <w:tr>
        <w:tc>
          <w:tcPr>
            <w:tcW w:type="dxa" w:w="2700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Datos identificativos</w:t>
            </w:r>
          </w:p>
        </w:tc>
        <w:tc>
          <w:tcPr>
            <w:tcW w:type="dxa" w:w="7272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Nombre completo</w:t>
            </w:r>
          </w:p>
        </w:tc>
      </w:tr>
      <w:tr>
        <w:tc>
          <w:tcPr>
            <w:tcW w:type="dxa" w:w="2700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7F1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Datos electrónicos</w:t>
            </w:r>
          </w:p>
        </w:tc>
        <w:tc>
          <w:tcPr>
            <w:tcW w:type="dxa" w:w="7272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7F1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Correo electrónico, personal o institucional a elección de la persona; dirección IP; cookie técnica de sesión; huella cifrada de la contraseña (no la contraseña)</w:t>
            </w:r>
          </w:p>
        </w:tc>
      </w:tr>
      <w:tr>
        <w:tc>
          <w:tcPr>
            <w:tcW w:type="dxa" w:w="2700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Datos laborales</w:t>
            </w:r>
          </w:p>
        </w:tc>
        <w:tc>
          <w:tcPr>
            <w:tcW w:type="dxa" w:w="7272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Institución, alcaldía y permiso en la herramienta</w:t>
            </w:r>
          </w:p>
        </w:tc>
      </w:tr>
      <w:tr>
        <w:tc>
          <w:tcPr>
            <w:tcW w:type="dxa" w:w="2700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7F1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Datos de uso</w:t>
            </w:r>
          </w:p>
        </w:tc>
        <w:tc>
          <w:tcPr>
            <w:tcW w:type="dxa" w:w="7272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7F1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Fecha y hora de accesos, intentos fallidos, visitas y cierres de sesión; territorio consultado; tipo y nombre de los archivos descargados</w:t>
            </w:r>
          </w:p>
        </w:tc>
      </w:tr>
      <w:tr>
        <w:tc>
          <w:tcPr>
            <w:tcW w:type="dxa" w:w="2700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Datos sensibles</w:t>
            </w:r>
          </w:p>
        </w:tc>
        <w:tc>
          <w:tcPr>
            <w:tcW w:type="dxa" w:w="7272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Ninguno. La función «Mi ubicación» se calcula en el teléfono de la persona y no se envía ni se guarda</w:t>
            </w:r>
          </w:p>
        </w:tc>
      </w:tr>
      <w:tr>
        <w:tc>
          <w:tcPr>
            <w:tcW w:type="dxa" w:w="2700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7F1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Finalidades</w:t>
            </w:r>
          </w:p>
        </w:tc>
        <w:tc>
          <w:tcPr>
            <w:tcW w:type="dxa" w:w="7272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7F1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1) Control de acceso. 2) Seguridad de la información. 3) Seguimiento del uso por institución y alcaldía; los reportes que se difundan serán agregados. El correo solo identifica la cuenta: no se usa para enviar comunicaciones</w:t>
            </w:r>
          </w:p>
        </w:tc>
      </w:tr>
      <w:tr>
        <w:tc>
          <w:tcPr>
            <w:tcW w:type="dxa" w:w="2700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Transferencias</w:t>
            </w:r>
          </w:p>
        </w:tc>
        <w:tc>
          <w:tcPr>
            <w:tcW w:type="dxa" w:w="7272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Ninguna, salvo las previstas por la ley</w:t>
            </w:r>
          </w:p>
        </w:tc>
      </w:tr>
      <w:tr>
        <w:tc>
          <w:tcPr>
            <w:tcW w:type="dxa" w:w="2700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7F1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Medidas de seguridad</w:t>
            </w:r>
          </w:p>
        </w:tc>
        <w:tc>
          <w:tcPr>
            <w:tcW w:type="dxa" w:w="7272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7F1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Base de datos en red aislada, con conexiones y respaldos cifrados; cuenta de servicio con privilegios mínimos; contraseñas con huella scrypt; bloqueo tras 5 intentos fallidos; cookie cifrada; la IP se excluye de reportes y exportaciones</w:t>
            </w:r>
          </w:p>
        </w:tc>
      </w:tr>
    </w:tbl>
    <w:p>
      <w:pPr>
        <w:spacing w:after="240" w:before="70" w:line="220"/>
      </w:pPr>
      <w:r>
        <w:rPr>
          <w:rFonts w:ascii="Roboto" w:cs="Roboto" w:eastAsia="Roboto" w:hAnsi="Roboto"/>
          <w:i/>
          <w:iCs/>
          <w:color w:val="55585A"/>
          <w:sz w:val="16"/>
          <w:szCs w:val="16"/>
        </w:rPr>
        <w:t xml:space="preserve">Fuente: Secretaría del Medio Ambiente, Sistema de Información Ambiental, módulo de inicio de sesión (08_entrega_sia/login), octubre de 2026.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Los plazos de conservación se aplican de forma automática en la base de datos y son los mismos que declara el aviso integral. La Tabla 2 los presenta para su contraste con el catálogo de disposición documental.</w:t>
      </w:r>
    </w:p>
    <w:p>
      <w:pPr>
        <w:keepNext/>
        <w:spacing w:after="100" w:before="160" w:line="240"/>
      </w:pPr>
      <w:r>
        <w:rPr>
          <w:rFonts w:ascii="Roboto" w:cs="Roboto" w:eastAsia="Roboto" w:hAnsi="Roboto"/>
          <w:b/>
          <w:bCs/>
          <w:color w:val="9D2148"/>
          <w:sz w:val="19"/>
          <w:szCs w:val="19"/>
        </w:rPr>
        <w:t xml:space="preserve">Tabla 2. </w:t>
      </w:r>
      <w:r>
        <w:rPr>
          <w:rFonts w:ascii="Roboto" w:cs="Roboto" w:eastAsia="Roboto" w:hAnsi="Roboto"/>
          <w:color w:val="1A1A1A"/>
          <w:sz w:val="19"/>
          <w:szCs w:val="19"/>
        </w:rPr>
        <w:t xml:space="preserve">Plazos de conservación propuestos.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72"/>
      </w:tblGrid>
      <w:tr>
        <w:trPr>
          <w:tblHeader/>
        </w:trPr>
        <w:tc>
          <w:tcPr>
            <w:tcW w:type="dxa" w:w="3000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9D214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6972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9D214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8"/>
                <w:szCs w:val="18"/>
              </w:rPr>
              <w:t xml:space="preserve">Plazo</w:t>
            </w:r>
          </w:p>
        </w:tc>
      </w:tr>
      <w:tr>
        <w:tc>
          <w:tcPr>
            <w:tcW w:type="dxa" w:w="3000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Datos de la cuenta</w:t>
            </w:r>
          </w:p>
        </w:tc>
        <w:tc>
          <w:tcPr>
            <w:tcW w:type="dxa" w:w="6972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Mientras la cuenta esté vigente; tras la baja, [plazo por definir con el área coordinadora de archivos]</w:t>
            </w:r>
          </w:p>
        </w:tc>
      </w:tr>
      <w:tr>
        <w:tc>
          <w:tcPr>
            <w:tcW w:type="dxa" w:w="3000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7F1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Bitácora de uso</w:t>
            </w:r>
          </w:p>
        </w:tc>
        <w:tc>
          <w:tcPr>
            <w:tcW w:type="dxa" w:w="6972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7F1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24 meses; después se elimina automáticamente</w:t>
            </w:r>
          </w:p>
        </w:tc>
      </w:tr>
      <w:tr>
        <w:tc>
          <w:tcPr>
            <w:tcW w:type="dxa" w:w="3000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Dirección IP</w:t>
            </w:r>
          </w:p>
        </w:tc>
        <w:tc>
          <w:tcPr>
            <w:tcW w:type="dxa" w:w="6972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6 meses; después se borra automáticamente de la bitácora</w:t>
            </w:r>
          </w:p>
        </w:tc>
      </w:tr>
      <w:tr>
        <w:tc>
          <w:tcPr>
            <w:tcW w:type="dxa" w:w="3000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7F1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Sesión</w:t>
            </w:r>
          </w:p>
        </w:tc>
        <w:tc>
          <w:tcPr>
            <w:tcW w:type="dxa" w:w="6972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7F1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12 horas sin actividad o 7 días como máximo</w:t>
            </w:r>
          </w:p>
        </w:tc>
      </w:tr>
    </w:tbl>
    <w:p>
      <w:pPr>
        <w:spacing w:after="240" w:before="70" w:line="220"/>
      </w:pPr>
      <w:r>
        <w:rPr>
          <w:rFonts w:ascii="Roboto" w:cs="Roboto" w:eastAsia="Roboto" w:hAnsi="Roboto"/>
          <w:i/>
          <w:iCs/>
          <w:color w:val="55585A"/>
          <w:sz w:val="16"/>
          <w:szCs w:val="16"/>
        </w:rPr>
        <w:t xml:space="preserve">Fuente: esquema de base de datos del módulo de inicio de sesión (función calles.depurar), octubre de 2026.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Los avisos de privacidad integral y simplificado se acompañan como Anexo 1 y Anexo 2. Describen exactamente lo que registra el sistema. Los datos entre corchetes (domicilios, medios de contacto, fundamento y denominación del órgano garante) requieren la intervención de esa Unidad.</w:t>
      </w:r>
    </w:p>
    <w:p>
      <w:pPr>
        <w:pBdr>
          <w:bottom w:val="single" w:color="B28E5C" w:sz="6" w:space="4"/>
        </w:pBdr>
        <w:spacing w:after="140" w:before="280"/>
      </w:pPr>
      <w:r>
        <w:rPr>
          <w:rFonts w:ascii="Cabin" w:cs="Cabin" w:eastAsia="Cabin" w:hAnsi="Cabin"/>
          <w:b/>
          <w:bCs/>
          <w:color w:val="9D2148"/>
          <w:sz w:val="25"/>
          <w:szCs w:val="25"/>
        </w:rPr>
        <w:t xml:space="preserve">4. Consideraciones finales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Primero.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 Se solicita a la Unidad de Transparencia revisar y, en su caso, aprobar los avisos de privacidad integral y simplificado (Anexos 1 y 2).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Segundo.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 Se solicita a la Unidad de Transparencia indicar si procede crear un sistema de datos personales o incorporar este tratamiento a uno existente del Sistema de Información Ambiental, y orientar sobre el acuerdo correspondiente y su inscripción.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Tercero.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 Se solicita confirmar, con el área coordinadora de archivos, los plazos de conservación de la Tabla 2 y el plazo de conservación de las cuentas dadas de baja.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Cuarto.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 Se solicita indicar el medio vigente para el ejercicio de los derechos ARCO y la denominación vigente del órgano garante, para completar los avisos.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Quinto.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 La Oficina de la Secretaría, por medio del Sistema de Información Ambiental, no pondrá en operación el inicio de sesión hasta contar con la aprobación de los avisos; una vez aprobados, publicará el texto final en la pantalla de acceso de la herramienta.</w:t>
      </w:r>
    </w:p>
    <w:p>
      <w:pPr>
        <w:spacing w:after="0" w:before="48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Atentamente</w:t>
      </w:r>
    </w:p>
    <w:p>
      <w:pPr>
        <w:spacing w:after="0" w:before="720"/>
      </w:pP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[Nombre y cargo]</w:t>
      </w:r>
    </w:p>
    <w:p>
      <w:pPr>
        <w:spacing w:after="0"/>
      </w:pPr>
      <w:r>
        <w:rPr>
          <w:rFonts w:ascii="Roboto" w:cs="Roboto" w:eastAsia="Roboto" w:hAnsi="Roboto"/>
          <w:color w:val="55585A"/>
          <w:sz w:val="19"/>
          <w:szCs w:val="19"/>
        </w:rPr>
        <w:t xml:space="preserve">Oficina de la Secretaría · Sistema de Información Ambiental</w:t>
      </w:r>
    </w:p>
    <w:p>
      <w:r>
        <w:br w:type="page"/>
      </w:r>
    </w:p>
    <w:p>
      <w:pPr>
        <w:spacing w:after="200"/>
        <w:jc w:val="center"/>
      </w:pPr>
      <w:r>
        <w:rPr>
          <w:rFonts w:ascii="Cabin" w:cs="Cabin" w:eastAsia="Cabin" w:hAnsi="Cabin"/>
          <w:b/>
          <w:bCs/>
          <w:color w:val="9D2148"/>
          <w:sz w:val="26"/>
          <w:szCs w:val="26"/>
        </w:rPr>
        <w:t xml:space="preserve">ANEXO 1. AVISO DE PRIVACIDAD INTEGRAL (PROYECTO)</w:t>
      </w:r>
    </w:p>
    <w:p>
      <w:pPr>
        <w:spacing w:after="140" w:before="0" w:line="300"/>
        <w:jc w:val="center"/>
      </w:pPr>
      <w:r>
        <w:rPr>
          <w:rFonts w:ascii="Roboto" w:cs="Roboto" w:eastAsia="Roboto" w:hAnsi="Roboto"/>
          <w:b/>
          <w:bCs/>
          <w:color w:val="55585A"/>
          <w:sz w:val="21"/>
          <w:szCs w:val="21"/>
        </w:rPr>
        <w:t xml:space="preserve">Sistema de datos personales «Cuentas de acceso y bitácora de uso de la herramienta Calles prioritarias para reforestar»</w:t>
      </w:r>
    </w:p>
    <w:p>
      <w:pPr>
        <w:spacing w:after="140" w:before="0" w:line="300"/>
        <w:jc w:val="left"/>
      </w:pPr>
      <w:r>
        <w:rPr>
          <w:rFonts w:ascii="Roboto" w:cs="Roboto" w:eastAsia="Roboto" w:hAnsi="Roboto"/>
          <w:b/>
          <w:bCs/>
          <w:i/>
          <w:iCs/>
          <w:color w:val="55585A"/>
          <w:sz w:val="18"/>
          <w:szCs w:val="18"/>
        </w:rPr>
        <w:t xml:space="preserve">BORRADOR para revisión de la Unidad de Transparencia y del área jurídica de la SEDEMA.</w:t>
      </w:r>
      <w:r>
        <w:rPr>
          <w:rFonts w:ascii="Roboto" w:cs="Roboto" w:eastAsia="Roboto" w:hAnsi="Roboto"/>
          <w:i/>
          <w:iCs/>
          <w:color w:val="55585A"/>
          <w:sz w:val="18"/>
          <w:szCs w:val="18"/>
        </w:rPr>
        <w:t xml:space="preserve"> Lo que está entre corchetes debe completarse o confirmarse. El contenido describe exactamente lo que registra el sistema (</w:t>
      </w:r>
      <w:r>
        <w:rPr>
          <w:rFonts w:ascii="Consolas" w:cs="Consolas" w:eastAsia="Consolas" w:hAnsi="Consolas"/>
          <w:b w:val="false"/>
          <w:bCs w:val="false"/>
          <w:i/>
          <w:iCs/>
          <w:color w:val="55585A"/>
          <w:sz w:val="18"/>
          <w:szCs w:val="18"/>
        </w:rPr>
        <w:t xml:space="preserve">08_entrega_sia/login/</w:t>
      </w:r>
      <w:r>
        <w:rPr>
          <w:rFonts w:ascii="Roboto" w:cs="Roboto" w:eastAsia="Roboto" w:hAnsi="Roboto"/>
          <w:i/>
          <w:iCs/>
          <w:color w:val="55585A"/>
          <w:sz w:val="18"/>
          <w:szCs w:val="18"/>
        </w:rPr>
        <w:t xml:space="preserve">): si el sistema cambia, este aviso debe cambiar con él.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Responsable.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 La Secretaría del Medio Ambiente de la Ciudad de México (SEDEMA), por medio de la Oficina de la Secretaría · Sistema de Información Ambiental (SIA), con domicilio en [domicilio de la SEDEMA], es responsable del tratamiento de los datos personales que se recaban en el sistema de datos personales «[nombre con el que se registre el sistema]», conforme a la Ley de Protección de Datos Personales en Posesión de Sujetos Obligados de la Ciudad de México y demás normativa aplicable.</w:t>
      </w:r>
    </w:p>
    <w:p>
      <w:pPr>
        <w:keepNext/>
        <w:spacing w:after="100" w:before="200"/>
      </w:pPr>
      <w:r>
        <w:rPr>
          <w:rFonts w:ascii="Cabin" w:cs="Cabin" w:eastAsia="Cabin" w:hAnsi="Cabin"/>
          <w:b/>
          <w:bCs/>
          <w:color w:val="9D2148"/>
          <w:sz w:val="22"/>
          <w:szCs w:val="22"/>
        </w:rPr>
        <w:t xml:space="preserve">¿Qué datos personales se recaban?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Para la cuenta de acceso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 (los registra quien administra la herramienta en la SEDEMA, a solicitud de la institución de la persona). El correo </w:t>
      </w: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solo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 sirve para identificar la cuenta y dar acceso a la herramienta: no se usa para enviar comunicaciones ni para ningún otro fin: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Nombre completo.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Correo electrónico, personal o institucional, a elección de la persona.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Institución (alcaldía, dependencia del Gobierno de la Ciudad o SEDEMA) y, en su caso, alcaldía.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Permiso en la herramienta (consulta o administración).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La contraseña </w:t>
      </w: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no se conserva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: solo se guarda una huella cifrada que no permite recuperarla.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Al usar la herramienta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 (se registran de forma automática):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Fecha y hora de cada inicio de sesión, de cada intento fallido y de cada cierre de sesión.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Fecha y hora de las visitas a la herramienta.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Territorio consultado: alcaldía, colonia, avenida o calle, red consultada (alcaldías o Gobierno Central) y filtro de banqueta.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Archivos descargados: tipo (Excel, ficha PDF, mapa KML o GeoJSON) y nombre del archivo.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Dirección IP desde la que se accede.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Una cookie técnica de sesión, indispensable para mantener la sesión abierta; no sirve para publicidad ni para seguimiento fuera de la herramienta.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No se recaban datos personales sensibles.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 La función «Mi ubicación» de la herramienta calcula la posición en el propio teléfono: la ubicación no se envía ni se guarda.</w:t>
      </w:r>
    </w:p>
    <w:p>
      <w:pPr>
        <w:keepNext/>
        <w:spacing w:after="100" w:before="200"/>
      </w:pPr>
      <w:r>
        <w:rPr>
          <w:rFonts w:ascii="Cabin" w:cs="Cabin" w:eastAsia="Cabin" w:hAnsi="Cabin"/>
          <w:b/>
          <w:bCs/>
          <w:color w:val="9D2148"/>
          <w:sz w:val="22"/>
          <w:szCs w:val="22"/>
        </w:rPr>
        <w:t xml:space="preserve">¿Para qué se usan?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Controlar el acceso: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 identificar y autenticar a las personas autorizadas, y dar de alta, modificar, suspender o dar de baja sus cuentas.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Seguridad de la información: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 detener el acceso tras intentos fallidos, detectar usos indebidos y atender incidentes de seguridad.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Seguimiento del uso: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 conocer qué instituciones y alcaldías usan la herramienta, qué territorios consultan y qué información descargan, para planear la reforestación urbana, evaluar la herramienta y mejorarla. Los reportes que se difundan se presentan de forma agregada, sin identificar a las personas.</w:t>
      </w:r>
    </w:p>
    <w:p>
      <w:pPr>
        <w:keepNext/>
        <w:spacing w:after="100" w:before="200"/>
      </w:pPr>
      <w:r>
        <w:rPr>
          <w:rFonts w:ascii="Cabin" w:cs="Cabin" w:eastAsia="Cabin" w:hAnsi="Cabin"/>
          <w:b/>
          <w:bCs/>
          <w:color w:val="9D2148"/>
          <w:sz w:val="22"/>
          <w:szCs w:val="22"/>
        </w:rPr>
        <w:t xml:space="preserve">Fundamento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[Confirmar con el área jurídica.] Artículo 7 de la Ley Ambiental de la Ciudad de México (atribución de la SEDEMA para desarrollar el Sistema de Información Ambiental); [Reglamento Interior del Poder Ejecutivo y de la Administración Pública de la Ciudad de México, artículo aplicable]; Ley de Protección de Datos Personales en Posesión de Sujetos Obligados de la Ciudad de México; [acuerdo de creación del sistema de datos personales, una vez publicado].</w:t>
      </w:r>
    </w:p>
    <w:p>
      <w:pPr>
        <w:keepNext/>
        <w:spacing w:after="100" w:before="200"/>
      </w:pPr>
      <w:r>
        <w:rPr>
          <w:rFonts w:ascii="Cabin" w:cs="Cabin" w:eastAsia="Cabin" w:hAnsi="Cabin"/>
          <w:b/>
          <w:bCs/>
          <w:color w:val="9D2148"/>
          <w:sz w:val="22"/>
          <w:szCs w:val="22"/>
        </w:rPr>
        <w:t xml:space="preserve">¿Con quién se comparten?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Los datos </w:t>
      </w: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no se transfieren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 a terceros, salvo las transferencias que la ley prevé sin necesidad de consentimiento, por ejemplo a autoridades competentes que los requieran de forma fundada y motivada.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La infraestructura en la que se alojan pertenece a la Administración Pública de la Ciudad de México [confirmar la redacción sobre la Agencia Digital de Innovación Pública como proveedora de la infraestructura].</w:t>
      </w:r>
    </w:p>
    <w:p>
      <w:pPr>
        <w:keepNext/>
        <w:spacing w:after="100" w:before="200"/>
      </w:pPr>
      <w:r>
        <w:rPr>
          <w:rFonts w:ascii="Cabin" w:cs="Cabin" w:eastAsia="Cabin" w:hAnsi="Cabin"/>
          <w:b/>
          <w:bCs/>
          <w:color w:val="9D2148"/>
          <w:sz w:val="22"/>
          <w:szCs w:val="22"/>
        </w:rPr>
        <w:t xml:space="preserve">¿Cuánto tiempo se conservan?</w:t>
      </w:r>
    </w:p>
    <w:p>
      <w:pPr>
        <w:keepNext/>
        <w:spacing w:after="100" w:before="160" w:line="240"/>
      </w:pPr>
      <w:r>
        <w:rPr>
          <w:rFonts w:ascii="Roboto" w:cs="Roboto" w:eastAsia="Roboto" w:hAnsi="Roboto"/>
          <w:b/>
          <w:bCs/>
          <w:color w:val="9D2148"/>
          <w:sz w:val="19"/>
          <w:szCs w:val="19"/>
        </w:rPr>
        <w:t xml:space="preserve">Tabla 3. </w:t>
      </w:r>
      <w:r>
        <w:rPr>
          <w:rFonts w:ascii="Roboto" w:cs="Roboto" w:eastAsia="Roboto" w:hAnsi="Roboto"/>
          <w:color w:val="1A1A1A"/>
          <w:sz w:val="19"/>
          <w:szCs w:val="19"/>
        </w:rPr>
        <w:t xml:space="preserve">Plazos de conservación declarados en el aviso.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372"/>
      </w:tblGrid>
      <w:tr>
        <w:trPr>
          <w:tblHeader/>
        </w:trPr>
        <w:tc>
          <w:tcPr>
            <w:tcW w:type="dxa" w:w="3600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9D214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6372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9D214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8"/>
                <w:szCs w:val="18"/>
              </w:rPr>
              <w:t xml:space="preserve">Plazo</w:t>
            </w:r>
          </w:p>
        </w:tc>
      </w:tr>
      <w:tr>
        <w:tc>
          <w:tcPr>
            <w:tcW w:type="dxa" w:w="3600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Datos de la cuenta</w:t>
            </w:r>
          </w:p>
        </w:tc>
        <w:tc>
          <w:tcPr>
            <w:tcW w:type="dxa" w:w="6372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Mientras la cuenta esté vigente. Al darla de baja se conserva desactivada [plazo a definir con el área de archivo] para dar seguimiento a la bitácora</w:t>
            </w:r>
          </w:p>
        </w:tc>
      </w:tr>
      <w:tr>
        <w:tc>
          <w:tcPr>
            <w:tcW w:type="dxa" w:w="3600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7F1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Bitácora de uso (accesos, visitas, consultas, descargas)</w:t>
            </w:r>
          </w:p>
        </w:tc>
        <w:tc>
          <w:tcPr>
            <w:tcW w:type="dxa" w:w="6372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7F1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24 meses; después se elimina de forma automática</w:t>
            </w:r>
          </w:p>
        </w:tc>
      </w:tr>
      <w:tr>
        <w:tc>
          <w:tcPr>
            <w:tcW w:type="dxa" w:w="3600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Dirección IP</w:t>
            </w:r>
          </w:p>
        </w:tc>
        <w:tc>
          <w:tcPr>
            <w:tcW w:type="dxa" w:w="6372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6 meses; después se borra de la bitácora de forma automática</w:t>
            </w:r>
          </w:p>
        </w:tc>
      </w:tr>
      <w:tr>
        <w:tc>
          <w:tcPr>
            <w:tcW w:type="dxa" w:w="3600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7F1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Cookie de sesión</w:t>
            </w:r>
          </w:p>
        </w:tc>
        <w:tc>
          <w:tcPr>
            <w:tcW w:type="dxa" w:w="6372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7F1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Hasta cerrar sesión, tras 12 horas sin actividad o a los 7 días, lo que ocurra primero</w:t>
            </w:r>
          </w:p>
        </w:tc>
      </w:tr>
    </w:tbl>
    <w:p>
      <w:pPr>
        <w:spacing w:after="240" w:before="70" w:line="220"/>
      </w:pPr>
      <w:r>
        <w:rPr>
          <w:rFonts w:ascii="Roboto" w:cs="Roboto" w:eastAsia="Roboto" w:hAnsi="Roboto"/>
          <w:i/>
          <w:iCs/>
          <w:color w:val="55585A"/>
          <w:sz w:val="16"/>
          <w:szCs w:val="16"/>
        </w:rPr>
        <w:t xml:space="preserve">Fuente: Secretaría del Medio Ambiente, sistema de inicio de sesión de la herramienta, octubre de 2026.</w:t>
      </w:r>
    </w:p>
    <w:p>
      <w:pPr>
        <w:keepNext/>
        <w:spacing w:after="100" w:before="200"/>
      </w:pPr>
      <w:r>
        <w:rPr>
          <w:rFonts w:ascii="Cabin" w:cs="Cabin" w:eastAsia="Cabin" w:hAnsi="Cabin"/>
          <w:b/>
          <w:bCs/>
          <w:color w:val="9D2148"/>
          <w:sz w:val="22"/>
          <w:szCs w:val="22"/>
        </w:rPr>
        <w:t xml:space="preserve">Medidas de seguridad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La base de datos está en una red aislada, sin salida a internet, y solo acepta conexiones cifradas desde el servidor de aplicaciones.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El sistema usa una cuenta de servicio propia, restringida a su esquema.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Las contraseñas se guardan con una función de huella resistente a ataques (scrypt).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La cookie de sesión solo viaja cifrada y no es accesible para programas de la página.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Hay respaldos cifrados.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Las direcciones IP no se incluyen en los reportes ni en las exportaciones de la bitácora.</w:t>
      </w:r>
    </w:p>
    <w:p>
      <w:pPr>
        <w:keepNext/>
        <w:spacing w:after="100" w:before="200"/>
      </w:pPr>
      <w:r>
        <w:rPr>
          <w:rFonts w:ascii="Cabin" w:cs="Cabin" w:eastAsia="Cabin" w:hAnsi="Cabin"/>
          <w:b/>
          <w:bCs/>
          <w:color w:val="9D2148"/>
          <w:sz w:val="22"/>
          <w:szCs w:val="22"/>
        </w:rPr>
        <w:t xml:space="preserve">Derechos ARCO y revocación del consentimiento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Puede ejercer sus derechos de acceso, rectificación, cancelación y oposición (ARCO) ante la Unidad de Transparencia de la SEDEMA: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En [domicilio de la Unidad de Transparencia].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Por correo electrónico a [correo de la Unidad de Transparencia].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Por medio de la Plataforma Nacional de Transparencia ([confirmar el medio vigente]).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Para cualquier duda sobre este aviso: [teléfono y correo de la Unidad de Transparencia].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Si considera que su derecho a la protección de datos personales fue vulnerado, puede acudir ante [órgano garante de la Ciudad de México en materia de protección de datos personales — confirmar denominación vigente].</w:t>
      </w:r>
    </w:p>
    <w:p>
      <w:pPr>
        <w:keepNext/>
        <w:spacing w:after="100" w:before="200"/>
      </w:pPr>
      <w:r>
        <w:rPr>
          <w:rFonts w:ascii="Cabin" w:cs="Cabin" w:eastAsia="Cabin" w:hAnsi="Cabin"/>
          <w:b/>
          <w:bCs/>
          <w:color w:val="9D2148"/>
          <w:sz w:val="22"/>
          <w:szCs w:val="22"/>
        </w:rPr>
        <w:t xml:space="preserve">Cambios a este aviso</w:t>
      </w:r>
    </w:p>
    <w:p>
      <w:pPr>
        <w:spacing w:after="140" w:before="0" w:line="300"/>
        <w:jc w:val="left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Cualquier cambio a este aviso se publicará en la pantalla de acceso de la herramienta (</w:t>
      </w:r>
      <w:r>
        <w:rPr>
          <w:rFonts w:ascii="Consolas" w:cs="Consolas" w:eastAsia="Consolas" w:hAnsi="Consolas"/>
          <w:b w:val="false"/>
          <w:bCs w:val="false"/>
          <w:color w:val="1A1A1A"/>
          <w:sz w:val="21"/>
          <w:szCs w:val="21"/>
        </w:rPr>
        <w:t xml:space="preserve">sedema.sia.cdmx.gob.mx/acceso/calles/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).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Última actualización: [fecha de aprobación].</w:t>
      </w:r>
    </w:p>
    <w:p>
      <w:r>
        <w:br w:type="page"/>
      </w:r>
    </w:p>
    <w:p>
      <w:pPr>
        <w:spacing w:after="200"/>
        <w:jc w:val="center"/>
      </w:pPr>
      <w:r>
        <w:rPr>
          <w:rFonts w:ascii="Cabin" w:cs="Cabin" w:eastAsia="Cabin" w:hAnsi="Cabin"/>
          <w:b/>
          <w:bCs/>
          <w:color w:val="9D2148"/>
          <w:sz w:val="26"/>
          <w:szCs w:val="26"/>
        </w:rPr>
        <w:t xml:space="preserve">ANEXO 2. AVISO DE PRIVACIDAD SIMPLIFICADO (PROYECTO)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b/>
          <w:bCs/>
          <w:i/>
          <w:iCs/>
          <w:color w:val="55585A"/>
          <w:sz w:val="18"/>
          <w:szCs w:val="18"/>
        </w:rPr>
        <w:t xml:space="preserve">BORRADOR para revisión de la Unidad de Transparencia.</w:t>
      </w:r>
      <w:r>
        <w:rPr>
          <w:rFonts w:ascii="Roboto" w:cs="Roboto" w:eastAsia="Roboto" w:hAnsi="Roboto"/>
          <w:i/>
          <w:iCs/>
          <w:color w:val="55585A"/>
          <w:sz w:val="18"/>
          <w:szCs w:val="18"/>
        </w:rPr>
        <w:t xml:space="preserve"> Va en la pantalla de acceso, junto al enlace al aviso integral.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La Secretaría del Medio Ambiente de la Ciudad de México, por medio del Sistema de Información Ambiental, es responsable de los datos personales que se recaban para usar la herramienta </w:t>
      </w: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Calles prioritarias para reforestar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.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Datos que se recaban: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Nombre, correo electrónico (personal o institucional), institución y alcaldía de la cuenta.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Al usar la herramienta: fecha y hora de accesos y visitas, territorio consultado, archivos descargados y dirección IP.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La contraseña no se conserva: solo una huella cifrada. No se recaban datos sensibles ni la ubicación.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Finalidades: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Controlar quién entra.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Proteger la seguridad de la información.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Conocer qué instituciones y alcaldías usan la herramienta y qué consultan y descargan, para planear la reforestación y mejorar la herramienta. Los reportes que se difundan son agregados.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Transferencias: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 no se transfieren, salvo las que prevé la ley.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Derechos: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 puede ejercer sus derechos de acceso, rectificación, cancelación y oposición ante la Unidad de Transparencia de la SEDEMA ([correo o domicilio]).</w:t>
      </w:r>
    </w:p>
    <w:p>
      <w:pPr>
        <w:spacing w:after="140" w:before="0" w:line="300"/>
        <w:jc w:val="left"/>
      </w:pP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Aviso integral: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 el aviso de privacidad integral se consulta en </w:t>
      </w:r>
      <w:r>
        <w:rPr>
          <w:rFonts w:ascii="Consolas" w:cs="Consolas" w:eastAsia="Consolas" w:hAnsi="Consolas"/>
          <w:b w:val="false"/>
          <w:bCs w:val="false"/>
          <w:color w:val="1A1A1A"/>
          <w:sz w:val="21"/>
          <w:szCs w:val="21"/>
        </w:rPr>
        <w:t xml:space="preserve">sedema.sia.cdmx.gob.mx/acceso/calles/aviso-de-privacidad.html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2240" w:h="15840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28E5C" w:sz="6" w:space="4"/>
      </w:pBdr>
      <w:jc w:val="right"/>
    </w:pPr>
    <w:r>
      <w:rPr>
        <w:rFonts w:ascii="Roboto" w:cs="Roboto" w:eastAsia="Roboto" w:hAnsi="Roboto"/>
        <w:color w:val="55585A"/>
        <w:sz w:val="16"/>
        <w:szCs w:val="16"/>
      </w:rPr>
      <w:t xml:space="preserve">Página </w:t>
    </w:r>
    <w:r>
      <w:rPr>
        <w:rFonts w:ascii="Roboto" w:cs="Roboto" w:eastAsia="Roboto" w:hAnsi="Roboto"/>
        <w:color w:val="55585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Roboto" w:cs="Roboto" w:eastAsia="Roboto" w:hAnsi="Roboto"/>
        <w:color w:val="55585A"/>
        <w:sz w:val="16"/>
        <w:szCs w:val="16"/>
      </w:rPr>
      <w:t xml:space="preserve"> de </w:t>
    </w:r>
    <w:r>
      <w:rPr>
        <w:rFonts w:ascii="Roboto" w:cs="Roboto" w:eastAsia="Roboto" w:hAnsi="Roboto"/>
        <w:color w:val="55585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28E5C" w:sz="6" w:space="4"/>
      </w:pBdr>
      <w:jc w:val="right"/>
    </w:pPr>
    <w:r>
      <w:rPr>
        <w:rFonts w:ascii="Roboto" w:cs="Roboto" w:eastAsia="Roboto" w:hAnsi="Roboto"/>
        <w:color w:val="55585A"/>
        <w:sz w:val="16"/>
        <w:szCs w:val="16"/>
      </w:rPr>
      <w:t xml:space="preserve">Página </w:t>
    </w:r>
    <w:r>
      <w:rPr>
        <w:rFonts w:ascii="Roboto" w:cs="Roboto" w:eastAsia="Roboto" w:hAnsi="Roboto"/>
        <w:color w:val="55585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Roboto" w:cs="Roboto" w:eastAsia="Roboto" w:hAnsi="Roboto"/>
        <w:color w:val="55585A"/>
        <w:sz w:val="16"/>
        <w:szCs w:val="16"/>
      </w:rPr>
      <w:t xml:space="preserve"> de </w:t>
    </w:r>
    <w:r>
      <w:rPr>
        <w:rFonts w:ascii="Roboto" w:cs="Roboto" w:eastAsia="Roboto" w:hAnsi="Roboto"/>
        <w:color w:val="55585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D2148" w:sz="12" w:space="1"/>
      </w:pBd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972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4300"/>
      <w:gridCol w:w="5672"/>
    </w:tblGrid>
    <w:tr>
      <w:tc>
        <w:tcPr>
          <w:tcW w:type="dxa" w:w="43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r>
            <w:drawing>
              <wp:inline distT="0" distB="0" distL="0" distR="0">
                <wp:extent cx="2362200" cy="4762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362200" cy="476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672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spacing w:after="0"/>
            <w:jc w:val="right"/>
          </w:pPr>
          <w:r>
            <w:rPr>
              <w:rFonts w:ascii="Cabin" w:cs="Cabin" w:eastAsia="Cabin" w:hAnsi="Cabin"/>
              <w:b/>
              <w:bCs/>
              <w:color w:val="55585A"/>
              <w:sz w:val="18"/>
              <w:szCs w:val="18"/>
            </w:rPr>
            <w:t xml:space="preserve">SECRETARÍA DEL MEDIO AMBIENTE</w:t>
          </w:r>
        </w:p>
        <w:p>
          <w:pPr>
            <w:spacing w:after="0"/>
            <w:jc w:val="right"/>
          </w:pPr>
          <w:r>
            <w:rPr>
              <w:rFonts w:ascii="Roboto" w:cs="Roboto" w:eastAsia="Roboto" w:hAnsi="Roboto"/>
              <w:color w:val="55585A"/>
              <w:sz w:val="17"/>
              <w:szCs w:val="17"/>
            </w:rPr>
            <w:t xml:space="preserve">Oficina de la Secretaría – Asesor "A"</w:t>
          </w:r>
        </w:p>
        <w:p>
          <w:pPr>
            <w:spacing w:after="0"/>
            <w:jc w:val="right"/>
          </w:pPr>
          <w:r>
            <w:rPr>
              <w:rFonts w:ascii="Roboto" w:cs="Roboto" w:eastAsia="Roboto" w:hAnsi="Roboto"/>
              <w:i/>
              <w:iCs/>
              <w:color w:val="55585A"/>
              <w:sz w:val="15"/>
              <w:szCs w:val="15"/>
            </w:rPr>
            <w:t xml:space="preserve">SEDEMA/OS/___/2026</w:t>
          </w:r>
        </w:p>
      </w:tc>
    </w:tr>
  </w:tbl>
  <w:p>
    <w:pPr>
      <w:pBdr>
        <w:bottom w:val="single" w:color="9D2148" w:sz="12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Roboto" w:cs="Roboto" w:eastAsia="Roboto" w:hAnsi="Roboto"/>
        <w:color w:val="1A1A1A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3322438207831fe7e8126c788695155a70e005c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 informativa · Avisos de privacidad de Calles prioritarias para reforestar</dc:title>
  <dc:creator>Secretaría del Medio Ambiente · Sistema de Información Ambiental</dc:creator>
  <cp:lastModifiedBy>Un-named</cp:lastModifiedBy>
  <cp:revision>1</cp:revision>
  <dcterms:created xsi:type="dcterms:W3CDTF">2026-10-05T23:34:04.249Z</dcterms:created>
  <dcterms:modified xsi:type="dcterms:W3CDTF">2026-10-05T23:34:04.250Z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