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right"/>
      </w:pPr>
      <w:r>
        <w:rPr>
          <w:rFonts w:ascii="Roboto" w:cs="Roboto" w:eastAsia="Roboto" w:hAnsi="Roboto"/>
          <w:i/>
          <w:iCs/>
          <w:color w:val="1A1A1A"/>
          <w:sz w:val="20"/>
          <w:szCs w:val="20"/>
        </w:rPr>
        <w:t xml:space="preserve">Ciudad de México, a 28 de septiembre de 2026</w:t>
      </w:r>
    </w:p>
    <w:p>
      <w:pPr>
        <w:spacing w:after="60"/>
        <w:jc w:val="center"/>
      </w:pPr>
      <w:r>
        <w:rPr>
          <w:rFonts w:ascii="Cabin" w:cs="Cabin" w:eastAsia="Cabin" w:hAnsi="Cabin"/>
          <w:b/>
          <w:bCs/>
          <w:color w:val="9D2148"/>
          <w:sz w:val="32"/>
          <w:szCs w:val="32"/>
        </w:rPr>
        <w:t xml:space="preserve">NOTA INFORMATIVA</w:t>
      </w:r>
    </w:p>
    <w:p>
      <w:pPr>
        <w:spacing w:after="200"/>
        <w:jc w:val="center"/>
      </w:pPr>
      <w:r>
        <w:rPr>
          <w:rFonts w:ascii="Cabin" w:cs="Cabin" w:eastAsia="Cabin" w:hAnsi="Cabin"/>
          <w:b/>
          <w:bCs/>
          <w:color w:val="333333"/>
          <w:sz w:val="21"/>
          <w:szCs w:val="21"/>
        </w:rPr>
        <w:t xml:space="preserve">Pendientes para completar la publicación de los ejemplares declarados el 28 de septiembre de 2026 en el micrositio de Árboles Patrimoniales</w:t>
      </w:r>
    </w:p>
    <w:tbl>
      <w:tblPr>
        <w:tblW w:type="dxa" w:w="9972"/>
        <w:tblBorders>
          <w:top w:val="single" w:color="000000" w:sz="6"/>
          <w:left w:val="single" w:color="000000" w:sz="6"/>
          <w:bottom w:val="single" w:color="000000" w:sz="6"/>
          <w:right w:val="single" w:color="000000" w:sz="6"/>
          <w:insideH w:val="none" w:color="FFFFFF" w:sz="0"/>
          <w:insideV w:val="none" w:color="FFFFFF" w:sz="0"/>
        </w:tblBorders>
      </w:tblPr>
      <w:tblGrid>
        <w:gridCol w:w="9972"/>
      </w:tblGrid>
      <w:tr>
        <w:tc>
          <w:tcPr>
            <w:tcW w:type="dxa" w:w="9972"/>
            <w:tcMar>
              <w:top w:type="dxa" w:w="110"/>
              <w:left w:type="dxa" w:w="140"/>
              <w:bottom w:type="dxa" w:w="110"/>
              <w:right w:type="dxa" w:w="140"/>
            </w:tcMar>
          </w:tcPr>
          <w:p>
            <w:pPr>
              <w:spacing w:after="0" w:line="264"/>
              <w:jc w:val="both"/>
            </w:pPr>
            <w:r>
              <w:rPr>
                <w:rFonts w:ascii="Roboto" w:cs="Roboto" w:eastAsia="Roboto" w:hAnsi="Roboto"/>
                <w:b/>
                <w:bCs/>
                <w:color w:val="9D2148"/>
                <w:sz w:val="21"/>
                <w:szCs w:val="21"/>
              </w:rPr>
              <w:t xml:space="preserve">Asunto: </w:t>
            </w:r>
            <w:r>
              <w:rPr>
                <w:rFonts w:ascii="Roboto" w:cs="Roboto" w:eastAsia="Roboto" w:hAnsi="Roboto"/>
                <w:color w:val="1A1A1A"/>
                <w:sz w:val="21"/>
                <w:szCs w:val="21"/>
              </w:rPr>
              <w:t xml:space="preserve">Se solicita al área técnica del registro (dictamen y captura del padrón) y al área de diseño la aclaración y entrega de nueve insumos que faltan para publicar completos los diez ejemplares del decreto publicado en la Gaceta Oficial núm. 1955 (28 de septiembre de 2026). Ninguno impide la publicación inmediata; todos afectan la calidad o la exactitud de lo que verá la ciudadanía.</w:t>
            </w:r>
          </w:p>
        </w:tc>
      </w:tr>
    </w:tbl>
    <w:p>
      <w:pPr>
        <w:pBdr>
          <w:bottom w:val="single" w:color="B28E5C" w:sz="8" w:space="2"/>
        </w:pBdr>
        <w:spacing w:after="160" w:before="320"/>
      </w:pPr>
      <w:r>
        <w:rPr>
          <w:rFonts w:ascii="Cabin" w:cs="Cabin" w:eastAsia="Cabin" w:hAnsi="Cabin"/>
          <w:b/>
          <w:bCs/>
          <w:color w:val="9D2148"/>
          <w:sz w:val="26"/>
          <w:szCs w:val="26"/>
        </w:rPr>
        <w:t xml:space="preserve">1. Objeto y antecedentes</w:t>
      </w:r>
    </w:p>
    <w:p>
      <w:pPr>
        <w:spacing w:after="140" w:line="276"/>
        <w:jc w:val="both"/>
      </w:pPr>
      <w:r>
        <w:rPr>
          <w:rFonts w:ascii="Roboto" w:cs="Roboto" w:eastAsia="Roboto" w:hAnsi="Roboto"/>
          <w:color w:val="1A1A1A"/>
          <w:sz w:val="21"/>
          <w:szCs w:val="21"/>
        </w:rPr>
        <w:t xml:space="preserve">El micrositio público de Árboles Patrimoniales de la Ciudad de México (</w:t>
      </w:r>
      <w:r>
        <w:rPr>
          <w:rFonts w:ascii="Roboto" w:cs="Roboto" w:eastAsia="Roboto" w:hAnsi="Roboto"/>
          <w:i/>
          <w:iCs/>
          <w:color w:val="1A1A1A"/>
          <w:sz w:val="21"/>
          <w:szCs w:val="21"/>
        </w:rPr>
        <w:t xml:space="preserve">sedema.sia.cdmx.gob.mx/arboles-patrimoniales</w:t>
      </w:r>
      <w:r>
        <w:rPr>
          <w:rFonts w:ascii="Roboto" w:cs="Roboto" w:eastAsia="Roboto" w:hAnsi="Roboto"/>
          <w:color w:val="1A1A1A"/>
          <w:sz w:val="21"/>
          <w:szCs w:val="21"/>
        </w:rPr>
        <w:t xml:space="preserve">) publica los ejemplares que el padrón registra con decreto. El 28 de septiembre de 2026 el padrón incorporó diez ejemplares con decreto publicado en la Gaceta Oficial de la Ciudad de México núm. 1955, Tomo I, con sus coordenadas, medidas dendrométricas, estimación de servicios ambientales validada y vista de calle. Ese mismo día se integraron al sitio, junto con las 62 fotografías que el área dispuso en las carpetas de Drive enlazadas en el padrón, y el sitio quedó reconstruido y verificado (dieciséis suites automáticas, 1,091 comprobaciones aprobadas).</w:t>
      </w:r>
    </w:p>
    <w:p>
      <w:pPr>
        <w:spacing w:after="140" w:line="276"/>
        <w:jc w:val="both"/>
      </w:pPr>
      <w:r>
        <w:rPr>
          <w:rFonts w:ascii="Roboto" w:cs="Roboto" w:eastAsia="Roboto" w:hAnsi="Roboto"/>
          <w:color w:val="1A1A1A"/>
          <w:sz w:val="21"/>
          <w:szCs w:val="21"/>
        </w:rPr>
        <w:t xml:space="preserve">Durante la integración se identificaron nueve pendientes que dependen de información o de material que solo el área técnica o el área de diseño pueden aportar. Esta nota los reúne en un solo lugar, con lo que se necesita de cada quien y con el efecto que tiene cada uno sobre lo publicado, para que puedan atenderse en una sola vuelta.</w:t>
      </w:r>
    </w:p>
    <w:p>
      <w:pPr>
        <w:spacing w:after="140" w:line="276"/>
        <w:jc w:val="both"/>
      </w:pPr>
      <w:r>
        <w:rPr>
          <w:rFonts w:ascii="Roboto" w:cs="Roboto" w:eastAsia="Roboto" w:hAnsi="Roboto"/>
          <w:color w:val="1A1A1A"/>
          <w:sz w:val="21"/>
          <w:szCs w:val="21"/>
        </w:rPr>
        <w:t xml:space="preserve">Se acompaña además la observación pendiente del oficio de correcciones del 23 de septiembre de 2026 (definición de la categoría HISTÓRICO), que no pudo aplicarse por la razón que se explica en el apartado 3.1.</w:t>
      </w:r>
    </w:p>
    <w:p>
      <w:pPr>
        <w:pBdr>
          <w:bottom w:val="single" w:color="B28E5C" w:sz="8" w:space="2"/>
        </w:pBdr>
        <w:spacing w:after="160" w:before="320"/>
      </w:pPr>
      <w:r>
        <w:rPr>
          <w:rFonts w:ascii="Cabin" w:cs="Cabin" w:eastAsia="Cabin" w:hAnsi="Cabin"/>
          <w:b/>
          <w:bCs/>
          <w:color w:val="9D2148"/>
          <w:sz w:val="26"/>
          <w:szCs w:val="26"/>
        </w:rPr>
        <w:t xml:space="preserve">2. Marco jurídico aplicable</w:t>
      </w:r>
    </w:p>
    <w:p>
      <w:pPr>
        <w:spacing w:after="140" w:line="276"/>
        <w:jc w:val="both"/>
      </w:pPr>
      <w:r>
        <w:rPr>
          <w:rFonts w:ascii="Roboto" w:cs="Roboto" w:eastAsia="Roboto" w:hAnsi="Roboto"/>
          <w:color w:val="1A1A1A"/>
          <w:sz w:val="21"/>
          <w:szCs w:val="21"/>
        </w:rPr>
        <w:t xml:space="preserve">La Secretaría tiene a su cargo registrar, catalogar y difundir el patrimonio natural de la Ciudad </w:t>
      </w:r>
      <w:r>
        <w:rPr>
          <w:rFonts w:ascii="Roboto" w:cs="Roboto" w:eastAsia="Roboto" w:hAnsi="Roboto"/>
          <w:i/>
          <w:iCs/>
          <w:color w:val="1A1A1A"/>
          <w:sz w:val="21"/>
          <w:szCs w:val="21"/>
        </w:rPr>
        <w:t xml:space="preserve">(Ley de Patrimonio Cultural, Natural y Biocultural de la Ciudad de México, artículo 13, fracción V)</w:t>
      </w:r>
      <w:r>
        <w:rPr>
          <w:rFonts w:ascii="Roboto" w:cs="Roboto" w:eastAsia="Roboto" w:hAnsi="Roboto"/>
          <w:color w:val="1A1A1A"/>
          <w:sz w:val="21"/>
          <w:szCs w:val="21"/>
        </w:rPr>
        <w:t xml:space="preserve">, y le corresponde integrar el inventario del arbolado urbano en el Sistema de Información Ambiental </w:t>
      </w:r>
      <w:r>
        <w:rPr>
          <w:rFonts w:ascii="Roboto" w:cs="Roboto" w:eastAsia="Roboto" w:hAnsi="Roboto"/>
          <w:i/>
          <w:iCs/>
          <w:color w:val="1A1A1A"/>
          <w:sz w:val="21"/>
          <w:szCs w:val="21"/>
        </w:rPr>
        <w:t xml:space="preserve">(Ley Ambiental de la Ciudad de México, artículo 107)</w:t>
      </w:r>
      <w:r>
        <w:rPr>
          <w:rFonts w:ascii="Roboto" w:cs="Roboto" w:eastAsia="Roboto" w:hAnsi="Roboto"/>
          <w:color w:val="1A1A1A"/>
          <w:sz w:val="21"/>
          <w:szCs w:val="21"/>
        </w:rPr>
        <w:t xml:space="preserve">. El micrositio es el medio por el que se cumple en público esa obligación: lo que se publica en él debe corresponder con exactitud al padrón y al decreto.</w:t>
      </w:r>
    </w:p>
    <w:p>
      <w:pPr>
        <w:spacing w:after="140" w:line="276"/>
        <w:jc w:val="both"/>
      </w:pPr>
      <w:r>
        <w:rPr>
          <w:rFonts w:ascii="Roboto" w:cs="Roboto" w:eastAsia="Roboto" w:hAnsi="Roboto"/>
          <w:color w:val="1A1A1A"/>
          <w:sz w:val="21"/>
          <w:szCs w:val="21"/>
        </w:rPr>
        <w:t xml:space="preserve">La reforma a la Ley Ambiental publicada en la Gaceta Oficial núm. 1929 Bis (20 de agosto de 2026) —que el oficio del área técnica del 23 de septiembre transcribe como artículo 34 y artículo 105, segundo párrafo— ya está incorporada en la sección jurídica del sitio con esa numeración. Su confirmación contra el texto publicado es uno de los pendientes de esta nota (apartado 3.2).</w:t>
      </w:r>
    </w:p>
    <w:p>
      <w:pPr>
        <w:pBdr>
          <w:bottom w:val="single" w:color="B28E5C" w:sz="8" w:space="2"/>
        </w:pBdr>
        <w:spacing w:after="160" w:before="320"/>
      </w:pPr>
      <w:r>
        <w:rPr>
          <w:rFonts w:ascii="Cabin" w:cs="Cabin" w:eastAsia="Cabin" w:hAnsi="Cabin"/>
          <w:b/>
          <w:bCs/>
          <w:color w:val="9D2148"/>
          <w:sz w:val="26"/>
          <w:szCs w:val="26"/>
        </w:rPr>
        <w:t xml:space="preserve">3. Desarrollo</w:t>
      </w:r>
    </w:p>
    <w:p>
      <w:pPr>
        <w:spacing w:after="140" w:line="276"/>
        <w:jc w:val="both"/>
      </w:pPr>
      <w:r>
        <w:rPr>
          <w:rFonts w:ascii="Roboto" w:cs="Roboto" w:eastAsia="Roboto" w:hAnsi="Roboto"/>
          <w:color w:val="1A1A1A"/>
          <w:sz w:val="21"/>
          <w:szCs w:val="21"/>
        </w:rPr>
        <w:t xml:space="preserve">La Tabla 1 resume los nueve pendientes. En los apartados siguientes se detalla cada uno con lo que se pide, a quién y por qué.</w:t>
      </w:r>
    </w:p>
    <w:p>
      <w:pPr>
        <w:spacing w:after="100" w:before="160" w:line="240"/>
      </w:pPr>
      <w:r>
        <w:rPr>
          <w:rFonts w:ascii="Roboto" w:cs="Roboto" w:eastAsia="Roboto" w:hAnsi="Roboto"/>
          <w:b/>
          <w:bCs/>
          <w:color w:val="9D2148"/>
          <w:sz w:val="19"/>
          <w:szCs w:val="19"/>
        </w:rPr>
        <w:t xml:space="preserve">Tabla 1. </w:t>
      </w:r>
      <w:r>
        <w:rPr>
          <w:rFonts w:ascii="Roboto" w:cs="Roboto" w:eastAsia="Roboto" w:hAnsi="Roboto"/>
          <w:color w:val="1A1A1A"/>
          <w:sz w:val="19"/>
          <w:szCs w:val="19"/>
        </w:rPr>
        <w:t xml:space="preserve">Pendientes para completar la publicación, por responsable y efecto.</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520"/>
        <w:gridCol w:w="2900"/>
        <w:gridCol w:w="3252"/>
        <w:gridCol w:w="1300"/>
        <w:gridCol w:w="2000"/>
      </w:tblGrid>
      <w:tr>
        <w:trPr>
          <w:tblHeader/>
        </w:trPr>
        <w:tc>
          <w:tcPr>
            <w:tcW w:type="dxa" w:w="520"/>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N.º</w:t>
            </w:r>
          </w:p>
        </w:tc>
        <w:tc>
          <w:tcPr>
            <w:tcW w:type="dxa" w:w="2900"/>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Pendiente</w:t>
            </w:r>
          </w:p>
        </w:tc>
        <w:tc>
          <w:tcPr>
            <w:tcW w:type="dxa" w:w="3252"/>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Qué se necesita</w:t>
            </w:r>
          </w:p>
        </w:tc>
        <w:tc>
          <w:tcPr>
            <w:tcW w:type="dxa" w:w="1300"/>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Responsable</w:t>
            </w:r>
          </w:p>
        </w:tc>
        <w:tc>
          <w:tcPr>
            <w:tcW w:type="dxa" w:w="2000"/>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Efecto hoy</w:t>
            </w:r>
          </w:p>
        </w:tc>
      </w:tr>
      <w:tr>
        <w:tc>
          <w:tcPr>
            <w:tcW w:type="dxa" w:w="52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1</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Definición formal de la categoría HISTÓRICO</w:t>
            </w:r>
          </w:p>
        </w:tc>
        <w:tc>
          <w:tcPr>
            <w:tcW w:type="dxa" w:w="325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Redacción propia de la categoría (la recibida en tres ocasiones es la de CENTENARIO)</w:t>
            </w:r>
          </w:p>
        </w:tc>
        <w:tc>
          <w:tcPr>
            <w:tcW w:type="dxa" w:w="1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Área técnica</w:t>
            </w:r>
          </w:p>
        </w:tc>
        <w:tc>
          <w:tcPr>
            <w:tcW w:type="dxa" w:w="20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La tarjeta no despliega «el criterio completo»</w:t>
            </w:r>
          </w:p>
        </w:tc>
      </w:tr>
      <w:tr>
        <w:tc>
          <w:tcPr>
            <w:tcW w:type="dxa" w:w="52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Numeración de la reforma a la Ley Ambiental</w:t>
            </w:r>
          </w:p>
        </w:tc>
        <w:tc>
          <w:tcPr>
            <w:tcW w:type="dxa" w:w="325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Confirmar que los textos corresponden al artículo 34 y al artículo 105, segundo párrafo, de la Gaceta 1929 Bis</w:t>
            </w:r>
          </w:p>
        </w:tc>
        <w:tc>
          <w:tcPr>
            <w:tcW w:type="dxa" w:w="1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Área técnica</w:t>
            </w:r>
          </w:p>
        </w:tc>
        <w:tc>
          <w:tcPr>
            <w:tcW w:type="dxa" w:w="20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Publicado con esa numeración</w:t>
            </w:r>
          </w:p>
        </w:tc>
      </w:tr>
      <w:tr>
        <w:tc>
          <w:tcPr>
            <w:tcW w:type="dxa" w:w="52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3</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Especie del ejemplar 0014 (Diamante Tepeximilpa)</w:t>
            </w:r>
          </w:p>
        </w:tc>
        <w:tc>
          <w:tcPr>
            <w:tcW w:type="dxa" w:w="325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Confirmar Quercus crassipes (padrón) o Quercus rugosa (placa in situ)</w:t>
            </w:r>
          </w:p>
        </w:tc>
        <w:tc>
          <w:tcPr>
            <w:tcW w:type="dxa" w:w="1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Área técnica</w:t>
            </w:r>
          </w:p>
        </w:tc>
        <w:tc>
          <w:tcPr>
            <w:tcW w:type="dxa" w:w="20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Ficha publicada con Q. crassipes</w:t>
            </w:r>
          </w:p>
        </w:tc>
      </w:tr>
      <w:tr>
        <w:tc>
          <w:tcPr>
            <w:tcW w:type="dxa" w:w="52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4</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Nombre de los gemelos de San Álvaro (0018 y 0019)</w:t>
            </w:r>
          </w:p>
        </w:tc>
        <w:tc>
          <w:tcPr>
            <w:tcW w:type="dxa" w:w="325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Dos nombres asignados distintos en el padrón</w:t>
            </w:r>
          </w:p>
        </w:tc>
        <w:tc>
          <w:tcPr>
            <w:tcW w:type="dxa" w:w="1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Área técnica</w:t>
            </w:r>
          </w:p>
        </w:tc>
        <w:tc>
          <w:tcPr>
            <w:tcW w:type="dxa" w:w="20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Dos fichas con el mismo título</w:t>
            </w:r>
          </w:p>
        </w:tc>
      </w:tr>
      <w:tr>
        <w:tc>
          <w:tcPr>
            <w:tcW w:type="dxa" w:w="52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5</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Programa de manejo de los diez ejemplares nuevos</w:t>
            </w:r>
          </w:p>
        </w:tc>
        <w:tc>
          <w:tcPr>
            <w:tcW w:type="dxa" w:w="325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Enlace al programa de manejo en el campo url_programa (hoy vacío en los diez)</w:t>
            </w:r>
          </w:p>
        </w:tc>
        <w:tc>
          <w:tcPr>
            <w:tcW w:type="dxa" w:w="1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Área técnica</w:t>
            </w:r>
          </w:p>
        </w:tc>
        <w:tc>
          <w:tcPr>
            <w:tcW w:type="dxa" w:w="20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Las fichas no ofrecen el documento</w:t>
            </w:r>
          </w:p>
        </w:tc>
      </w:tr>
      <w:tr>
        <w:tc>
          <w:tcPr>
            <w:tcW w:type="dxa" w:w="52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6</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Datos de captura menores</w:t>
            </w:r>
          </w:p>
        </w:tc>
        <w:tc>
          <w:tcPr>
            <w:tcW w:type="dxa" w:w="325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url_observacion de 0014 y 0028; categoría UICN de 0028</w:t>
            </w:r>
          </w:p>
        </w:tc>
        <w:tc>
          <w:tcPr>
            <w:tcW w:type="dxa" w:w="1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Área técnica</w:t>
            </w:r>
          </w:p>
        </w:tc>
        <w:tc>
          <w:tcPr>
            <w:tcW w:type="dxa" w:w="20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Campos vacíos en la ficha</w:t>
            </w:r>
          </w:p>
        </w:tc>
      </w:tr>
      <w:tr>
        <w:tc>
          <w:tcPr>
            <w:tcW w:type="dxa" w:w="52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7</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Fotografías en baja resolución</w:t>
            </w:r>
          </w:p>
        </w:tc>
        <w:tc>
          <w:tcPr>
            <w:tcW w:type="dxa" w:w="325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Originales de 23 fotografías entregadas a ~590 × 700 px (Anexo 1)</w:t>
            </w:r>
          </w:p>
        </w:tc>
        <w:tc>
          <w:tcPr>
            <w:tcW w:type="dxa" w:w="1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Área técnica</w:t>
            </w:r>
          </w:p>
        </w:tc>
        <w:tc>
          <w:tcPr>
            <w:tcW w:type="dxa" w:w="20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Se ven bien en tarjeta; limitadas en la galería</w:t>
            </w:r>
          </w:p>
        </w:tc>
      </w:tr>
      <w:tr>
        <w:tc>
          <w:tcPr>
            <w:tcW w:type="dxa" w:w="52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8</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Ilustraciones de tres especies nuevas</w:t>
            </w:r>
          </w:p>
        </w:tc>
        <w:tc>
          <w:tcPr>
            <w:tcW w:type="dxa" w:w="325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Encino (Quercus crassipes o rugosa, según el punto 3), cedro blanco (Cupressus lusitanica) y olivo (Olea europaea), en el formato de la biblioteca</w:t>
            </w:r>
          </w:p>
        </w:tc>
        <w:tc>
          <w:tcPr>
            <w:tcW w:type="dxa" w:w="1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Diseño</w:t>
            </w:r>
          </w:p>
        </w:tc>
        <w:tc>
          <w:tcPr>
            <w:tcW w:type="dxa" w:w="20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La ficha dibuja una silueta esquemática de la especie</w:t>
            </w:r>
          </w:p>
        </w:tc>
      </w:tr>
      <w:tr>
        <w:tc>
          <w:tcPr>
            <w:tcW w:type="dxa" w:w="52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9</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Biblioteca de ilustraciones: nombres científicos y copias</w:t>
            </w:r>
          </w:p>
        </w:tc>
        <w:tc>
          <w:tcPr>
            <w:tcW w:type="dxa" w:w="325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Binomio de seis ilustraciones nombradas solo por nombre común; confirmar cuál es la de Ipomoea murucoides</w:t>
            </w:r>
          </w:p>
        </w:tc>
        <w:tc>
          <w:tcPr>
            <w:tcW w:type="dxa" w:w="1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Diseño</w:t>
            </w:r>
          </w:p>
        </w:tc>
        <w:tc>
          <w:tcPr>
            <w:tcW w:type="dxa" w:w="20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Sin efecto en el sitio; impide usarlas después</w:t>
            </w:r>
          </w:p>
        </w:tc>
      </w:tr>
    </w:tbl>
    <w:p>
      <w:pPr>
        <w:spacing w:after="240" w:before="70" w:line="220"/>
      </w:pPr>
      <w:r>
        <w:rPr>
          <w:rFonts w:ascii="Roboto" w:cs="Roboto" w:eastAsia="Roboto" w:hAnsi="Roboto"/>
          <w:i/>
          <w:iCs/>
          <w:color w:val="55585A"/>
          <w:sz w:val="16"/>
          <w:szCs w:val="16"/>
        </w:rPr>
        <w:t xml:space="preserve">Fuente: integración de los ejemplares del decreto del 28 de septiembre de 2026 al micrositio (Oficina de la Secretaría). Los ids se citan por sus cuatro dígitos finales.</w:t>
      </w:r>
    </w:p>
    <w:p>
      <w:pPr>
        <w:spacing w:after="140" w:line="276"/>
        <w:jc w:val="both"/>
      </w:pPr>
      <w:r>
        <w:rPr>
          <w:rFonts w:ascii="Roboto" w:cs="Roboto" w:eastAsia="Roboto" w:hAnsi="Roboto"/>
          <w:color w:val="1A1A1A"/>
          <w:sz w:val="21"/>
          <w:szCs w:val="21"/>
        </w:rPr>
        <w:t xml:space="preserve">Ninguno de los nueve detiene la publicación: el sitio ya está construido con los veintidós ejemplares y las suites en verde. Los puntos 1 a 4 sí afectan lo que la ciudadanía lee como cierto, por lo que conviene resolverlos antes de difundir el lote nuevo.</w:t>
      </w:r>
    </w:p>
    <w:p>
      <w:pPr>
        <w:spacing w:after="100" w:before="200"/>
      </w:pPr>
      <w:r>
        <w:rPr>
          <w:rFonts w:ascii="Cabin" w:cs="Cabin" w:eastAsia="Cabin" w:hAnsi="Cabin"/>
          <w:b/>
          <w:bCs/>
          <w:color w:val="1A1A1A"/>
          <w:sz w:val="22"/>
          <w:szCs w:val="22"/>
        </w:rPr>
        <w:t xml:space="preserve">3.1 Definición formal de la categoría HISTÓRICO</w:t>
      </w:r>
    </w:p>
    <w:p>
      <w:pPr>
        <w:spacing w:after="140" w:line="276"/>
        <w:jc w:val="both"/>
      </w:pPr>
      <w:r>
        <w:rPr>
          <w:rFonts w:ascii="Roboto" w:cs="Roboto" w:eastAsia="Roboto" w:hAnsi="Roboto"/>
          <w:color w:val="1A1A1A"/>
          <w:sz w:val="21"/>
          <w:szCs w:val="21"/>
        </w:rPr>
        <w:t xml:space="preserve">El oficio de correcciones del 23 de septiembre pidió que la tarjeta HISTÓRICO desplegara «el criterio completo», como ya lo hacen CENTENARIO, NOTABLE y SINGULAR, y adjuntó el texto a publicar. Ese texto es, palabra por palabra, la definición de CENTENARIO con el nombre de la categoría cambiado (ejemplares «cuya edad estimada es igual o superior a 80 años»). Es la tercera vez que llega así (23 de agosto, 11 de septiembre y 23 de septiembre). Publicarlo diría que dos categorías tienen el mismo criterio, de modo que la tarjeta se mantiene con su frase ciudadana y sin el bloque desplegable.</w:t>
      </w:r>
    </w:p>
    <w:p>
      <w:pPr>
        <w:spacing w:after="140" w:line="276"/>
        <w:jc w:val="both"/>
      </w:pPr>
      <w:r>
        <w:rPr>
          <w:rFonts w:ascii="Roboto" w:cs="Roboto" w:eastAsia="Roboto" w:hAnsi="Roboto"/>
          <w:b/>
          <w:bCs/>
          <w:color w:val="1A1A1A"/>
          <w:sz w:val="21"/>
          <w:szCs w:val="21"/>
        </w:rPr>
        <w:t xml:space="preserve">Se pide: </w:t>
      </w:r>
      <w:r>
        <w:rPr>
          <w:rFonts w:ascii="Roboto" w:cs="Roboto" w:eastAsia="Roboto" w:hAnsi="Roboto"/>
          <w:color w:val="1A1A1A"/>
          <w:sz w:val="21"/>
          <w:szCs w:val="21"/>
        </w:rPr>
        <w:t xml:space="preserve">la redacción propia de HISTÓRICO. Como base de trabajo, sin autorizar, se propone: «La categoría HISTÓRICO se refiere a ejemplares arbóreos o arboledas vinculados de manera documentada a un acontecimiento, un personaje, una tradición o un sitio relevante para la memoria de la Ciudad de México. Su valor patrimonial no deriva de su edad ni de sus dimensiones, sino del testimonio que conservan: el árbol es el punto físico donde ese hecho ocurrió o donde la comunidad lo conmemora, y su permanencia sostiene la continuidad de esa memoria en el espacio público.» Deja fuera la edad y el porte a propósito, porque ya son criterio de CENTENARIO y de NOTABLE.</w:t>
      </w:r>
    </w:p>
    <w:p>
      <w:pPr>
        <w:spacing w:after="100" w:before="200"/>
      </w:pPr>
      <w:r>
        <w:rPr>
          <w:rFonts w:ascii="Cabin" w:cs="Cabin" w:eastAsia="Cabin" w:hAnsi="Cabin"/>
          <w:b/>
          <w:bCs/>
          <w:color w:val="1A1A1A"/>
          <w:sz w:val="22"/>
          <w:szCs w:val="22"/>
        </w:rPr>
        <w:t xml:space="preserve">3.2 Numeración de la reforma a la Ley Ambiental</w:t>
      </w:r>
    </w:p>
    <w:p>
      <w:pPr>
        <w:spacing w:after="140" w:line="276"/>
        <w:jc w:val="both"/>
      </w:pPr>
      <w:r>
        <w:rPr>
          <w:rFonts w:ascii="Roboto" w:cs="Roboto" w:eastAsia="Roboto" w:hAnsi="Roboto"/>
          <w:color w:val="1A1A1A"/>
          <w:sz w:val="21"/>
          <w:szCs w:val="21"/>
        </w:rPr>
        <w:t xml:space="preserve">Los textos de la reforma se incorporaron al sitio tal como los transcribió el oficio del 23 de septiembre: la prohibición de derribo y trasplante del arbolado patrimonial, con la salvedad de ejemplares de riesgo, plagados o enfermos, como artículo 34; y la obligación de toda obra de adaptarse para coexistir con el arbolado patrimonial, como artículo 105, segundo párrafo. No fue posible cotejar la numeración contra la Gaceta núm. 1929 Bis. </w:t>
      </w:r>
      <w:r>
        <w:rPr>
          <w:rFonts w:ascii="Roboto" w:cs="Roboto" w:eastAsia="Roboto" w:hAnsi="Roboto"/>
          <w:b/>
          <w:bCs/>
          <w:color w:val="1A1A1A"/>
          <w:sz w:val="21"/>
          <w:szCs w:val="21"/>
        </w:rPr>
        <w:t xml:space="preserve">Se pide: </w:t>
      </w:r>
      <w:r>
        <w:rPr>
          <w:rFonts w:ascii="Roboto" w:cs="Roboto" w:eastAsia="Roboto" w:hAnsi="Roboto"/>
          <w:color w:val="1A1A1A"/>
          <w:sz w:val="21"/>
          <w:szCs w:val="21"/>
        </w:rPr>
        <w:t xml:space="preserve">confirmar ambos artículos (o corregirlos) con el texto publicado a la vista, antes de difundir el sitio con el lote nuevo.</w:t>
      </w:r>
    </w:p>
    <w:p>
      <w:pPr>
        <w:spacing w:after="100" w:before="200"/>
      </w:pPr>
      <w:r>
        <w:rPr>
          <w:rFonts w:ascii="Cabin" w:cs="Cabin" w:eastAsia="Cabin" w:hAnsi="Cabin"/>
          <w:b/>
          <w:bCs/>
          <w:color w:val="1A1A1A"/>
          <w:sz w:val="22"/>
          <w:szCs w:val="22"/>
        </w:rPr>
        <w:t xml:space="preserve">3.3 Especie del ejemplar 0014, Diamante Tepeximilpa</w:t>
      </w:r>
    </w:p>
    <w:p>
      <w:pPr>
        <w:spacing w:after="140" w:line="276"/>
        <w:jc w:val="both"/>
      </w:pPr>
      <w:r>
        <w:rPr>
          <w:rFonts w:ascii="Roboto" w:cs="Roboto" w:eastAsia="Roboto" w:hAnsi="Roboto"/>
          <w:color w:val="1A1A1A"/>
          <w:sz w:val="21"/>
          <w:szCs w:val="21"/>
        </w:rPr>
        <w:t xml:space="preserve">El padrón registra el ejemplar como </w:t>
      </w:r>
      <w:r>
        <w:rPr>
          <w:rFonts w:ascii="Roboto" w:cs="Roboto" w:eastAsia="Roboto" w:hAnsi="Roboto"/>
          <w:i/>
          <w:iCs/>
          <w:color w:val="1A1A1A"/>
          <w:sz w:val="21"/>
          <w:szCs w:val="21"/>
        </w:rPr>
        <w:t xml:space="preserve">Quercus crassipes</w:t>
      </w:r>
      <w:r>
        <w:rPr>
          <w:rFonts w:ascii="Roboto" w:cs="Roboto" w:eastAsia="Roboto" w:hAnsi="Roboto"/>
          <w:color w:val="1A1A1A"/>
          <w:sz w:val="21"/>
          <w:szCs w:val="21"/>
        </w:rPr>
        <w:t xml:space="preserve"> (encino). La placa colocada al pie del árbol, visible en la fotografía 05 de su carpeta (Figura 1), lo identifica como </w:t>
      </w:r>
      <w:r>
        <w:rPr>
          <w:rFonts w:ascii="Roboto" w:cs="Roboto" w:eastAsia="Roboto" w:hAnsi="Roboto"/>
          <w:i/>
          <w:iCs/>
          <w:color w:val="1A1A1A"/>
          <w:sz w:val="21"/>
          <w:szCs w:val="21"/>
        </w:rPr>
        <w:t xml:space="preserve">Quercus rugosa</w:t>
      </w:r>
      <w:r>
        <w:rPr>
          <w:rFonts w:ascii="Roboto" w:cs="Roboto" w:eastAsia="Roboto" w:hAnsi="Roboto"/>
          <w:color w:val="1A1A1A"/>
          <w:sz w:val="21"/>
          <w:szCs w:val="21"/>
        </w:rPr>
        <w:t xml:space="preserve">. Son dos especies distintas del mismo género. La ficha está publicada con el dato del padrón. </w:t>
      </w:r>
      <w:r>
        <w:rPr>
          <w:rFonts w:ascii="Roboto" w:cs="Roboto" w:eastAsia="Roboto" w:hAnsi="Roboto"/>
          <w:b/>
          <w:bCs/>
          <w:color w:val="1A1A1A"/>
          <w:sz w:val="21"/>
          <w:szCs w:val="21"/>
        </w:rPr>
        <w:t xml:space="preserve">Se pide: </w:t>
      </w:r>
      <w:r>
        <w:rPr>
          <w:rFonts w:ascii="Roboto" w:cs="Roboto" w:eastAsia="Roboto" w:hAnsi="Roboto"/>
          <w:color w:val="1A1A1A"/>
          <w:sz w:val="21"/>
          <w:szCs w:val="21"/>
        </w:rPr>
        <w:t xml:space="preserve">confirmar la determinación taxonómica. Si es </w:t>
      </w:r>
      <w:r>
        <w:rPr>
          <w:rFonts w:ascii="Roboto" w:cs="Roboto" w:eastAsia="Roboto" w:hAnsi="Roboto"/>
          <w:i/>
          <w:iCs/>
          <w:color w:val="1A1A1A"/>
          <w:sz w:val="21"/>
          <w:szCs w:val="21"/>
        </w:rPr>
        <w:t xml:space="preserve">Q. rugosa</w:t>
      </w:r>
      <w:r>
        <w:rPr>
          <w:rFonts w:ascii="Roboto" w:cs="Roboto" w:eastAsia="Roboto" w:hAnsi="Roboto"/>
          <w:color w:val="1A1A1A"/>
          <w:sz w:val="21"/>
          <w:szCs w:val="21"/>
        </w:rPr>
        <w:t xml:space="preserve">, la biblioteca de ilustraciones del área ya cuenta con su dibujo, lo que resuelve de paso una parte del punto 8.</w:t>
      </w:r>
    </w:p>
    <w:p>
      <w:pPr>
        <w:spacing w:after="0" w:before="120"/>
        <w:jc w:val="center"/>
      </w:pPr>
      <w:r>
        <w:drawing>
          <wp:inline distT="0" distB="0" distL="0" distR="0">
            <wp:extent cx="22383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38375" cy="2581275"/>
                    </a:xfrm>
                    <a:prstGeom prst="rect">
                      <a:avLst/>
                    </a:prstGeom>
                  </pic:spPr>
                </pic:pic>
              </a:graphicData>
            </a:graphic>
          </wp:inline>
        </w:drawing>
      </w:r>
    </w:p>
    <w:p>
      <w:pPr>
        <w:spacing w:after="240" w:before="80" w:line="240"/>
        <w:jc w:val="center"/>
      </w:pPr>
      <w:r>
        <w:rPr>
          <w:rFonts w:ascii="Roboto" w:cs="Roboto" w:eastAsia="Roboto" w:hAnsi="Roboto"/>
          <w:b/>
          <w:bCs/>
          <w:i/>
          <w:iCs/>
          <w:color w:val="55585A"/>
          <w:sz w:val="18"/>
          <w:szCs w:val="18"/>
        </w:rPr>
        <w:t xml:space="preserve">Figura 1. </w:t>
      </w:r>
      <w:r>
        <w:rPr>
          <w:rFonts w:ascii="Roboto" w:cs="Roboto" w:eastAsia="Roboto" w:hAnsi="Roboto"/>
          <w:i/>
          <w:iCs/>
          <w:color w:val="55585A"/>
          <w:sz w:val="18"/>
          <w:szCs w:val="18"/>
        </w:rPr>
        <w:t xml:space="preserve">Placa al pie del ejemplar 0014 (Diamante Tepeximilpa, Tlalpan), que lo identifica como Quercus rugosa. </w:t>
      </w:r>
      <w:r>
        <w:rPr>
          <w:rFonts w:ascii="Roboto" w:cs="Roboto" w:eastAsia="Roboto" w:hAnsi="Roboto"/>
          <w:i/>
          <w:iCs/>
          <w:color w:val="55585A"/>
          <w:sz w:val="18"/>
          <w:szCs w:val="18"/>
        </w:rPr>
        <w:t xml:space="preserve">Fuente: carpeta de fotografías del ejemplar en Drive, área técnica, 28 de septiembre de 2026</w:t>
      </w:r>
    </w:p>
    <w:p>
      <w:pPr>
        <w:spacing w:after="100" w:before="200"/>
      </w:pPr>
      <w:r>
        <w:rPr>
          <w:rFonts w:ascii="Cabin" w:cs="Cabin" w:eastAsia="Cabin" w:hAnsi="Cabin"/>
          <w:b/>
          <w:bCs/>
          <w:color w:val="1A1A1A"/>
          <w:sz w:val="22"/>
          <w:szCs w:val="22"/>
        </w:rPr>
        <w:t xml:space="preserve">3.4 Nombre de los gemelos de San Álvaro</w:t>
      </w:r>
    </w:p>
    <w:p>
      <w:pPr>
        <w:spacing w:after="140" w:line="276"/>
        <w:jc w:val="both"/>
      </w:pPr>
      <w:r>
        <w:rPr>
          <w:rFonts w:ascii="Roboto" w:cs="Roboto" w:eastAsia="Roboto" w:hAnsi="Roboto"/>
          <w:color w:val="1A1A1A"/>
          <w:sz w:val="21"/>
          <w:szCs w:val="21"/>
        </w:rPr>
        <w:t xml:space="preserve">Los ejemplares 0018 y 0019 (Azcapotzalco) tienen el mismo nombre asignado, «Los Gemelos de San Álvaro». Sus fichas tendrían la misma dirección en el sitio y una taparía a la otra; el sitio las desempata con el número del id, pero las dos se titulan igual y la ciudadanía no puede distinguirlas. </w:t>
      </w:r>
      <w:r>
        <w:rPr>
          <w:rFonts w:ascii="Roboto" w:cs="Roboto" w:eastAsia="Roboto" w:hAnsi="Roboto"/>
          <w:b/>
          <w:bCs/>
          <w:color w:val="1A1A1A"/>
          <w:sz w:val="21"/>
          <w:szCs w:val="21"/>
        </w:rPr>
        <w:t xml:space="preserve">Se pide: </w:t>
      </w:r>
      <w:r>
        <w:rPr>
          <w:rFonts w:ascii="Roboto" w:cs="Roboto" w:eastAsia="Roboto" w:hAnsi="Roboto"/>
          <w:color w:val="1A1A1A"/>
          <w:sz w:val="21"/>
          <w:szCs w:val="21"/>
        </w:rPr>
        <w:t xml:space="preserve">dos nombres asignados distintos en el padrón (por ejemplo, con un distintivo de posición o de orden), que el sitio tomará en su siguiente actualización.</w:t>
      </w:r>
    </w:p>
    <w:p>
      <w:pPr>
        <w:spacing w:after="100" w:before="200"/>
      </w:pPr>
      <w:r>
        <w:rPr>
          <w:rFonts w:ascii="Cabin" w:cs="Cabin" w:eastAsia="Cabin" w:hAnsi="Cabin"/>
          <w:b/>
          <w:bCs/>
          <w:color w:val="1A1A1A"/>
          <w:sz w:val="22"/>
          <w:szCs w:val="22"/>
        </w:rPr>
        <w:t xml:space="preserve">3.5 Programa de manejo y datos de captura</w:t>
      </w:r>
    </w:p>
    <w:p>
      <w:pPr>
        <w:spacing w:after="140" w:line="276"/>
        <w:jc w:val="both"/>
      </w:pPr>
      <w:r>
        <w:rPr>
          <w:rFonts w:ascii="Roboto" w:cs="Roboto" w:eastAsia="Roboto" w:hAnsi="Roboto"/>
          <w:color w:val="1A1A1A"/>
          <w:sz w:val="21"/>
          <w:szCs w:val="21"/>
        </w:rPr>
        <w:t xml:space="preserve">El campo </w:t>
      </w:r>
      <w:r>
        <w:rPr>
          <w:rFonts w:ascii="Roboto" w:cs="Roboto" w:eastAsia="Roboto" w:hAnsi="Roboto"/>
          <w:i/>
          <w:iCs/>
          <w:color w:val="1A1A1A"/>
          <w:sz w:val="21"/>
          <w:szCs w:val="21"/>
        </w:rPr>
        <w:t xml:space="preserve">url_programa</w:t>
      </w:r>
      <w:r>
        <w:rPr>
          <w:rFonts w:ascii="Roboto" w:cs="Roboto" w:eastAsia="Roboto" w:hAnsi="Roboto"/>
          <w:color w:val="1A1A1A"/>
          <w:sz w:val="21"/>
          <w:szCs w:val="21"/>
        </w:rPr>
        <w:t xml:space="preserve"> está vacío en los diez ejemplares nuevos; en la misma actualización, los ejemplares 0006 (Viejo del Agua) y 0010 (Glorieta de Ahuehuetes) sí lo recibieron, de modo que la ficha ya sabe mostrarlo. También están vacíos </w:t>
      </w:r>
      <w:r>
        <w:rPr>
          <w:rFonts w:ascii="Roboto" w:cs="Roboto" w:eastAsia="Roboto" w:hAnsi="Roboto"/>
          <w:i/>
          <w:iCs/>
          <w:color w:val="1A1A1A"/>
          <w:sz w:val="21"/>
          <w:szCs w:val="21"/>
        </w:rPr>
        <w:t xml:space="preserve">url_observacion</w:t>
      </w:r>
      <w:r>
        <w:rPr>
          <w:rFonts w:ascii="Roboto" w:cs="Roboto" w:eastAsia="Roboto" w:hAnsi="Roboto"/>
          <w:color w:val="1A1A1A"/>
          <w:sz w:val="21"/>
          <w:szCs w:val="21"/>
        </w:rPr>
        <w:t xml:space="preserve"> en 0014 y 0028, y la categoría UICN en 0028. </w:t>
      </w:r>
      <w:r>
        <w:rPr>
          <w:rFonts w:ascii="Roboto" w:cs="Roboto" w:eastAsia="Roboto" w:hAnsi="Roboto"/>
          <w:b/>
          <w:bCs/>
          <w:color w:val="1A1A1A"/>
          <w:sz w:val="21"/>
          <w:szCs w:val="21"/>
        </w:rPr>
        <w:t xml:space="preserve">Se pide: </w:t>
      </w:r>
      <w:r>
        <w:rPr>
          <w:rFonts w:ascii="Roboto" w:cs="Roboto" w:eastAsia="Roboto" w:hAnsi="Roboto"/>
          <w:color w:val="1A1A1A"/>
          <w:sz w:val="21"/>
          <w:szCs w:val="21"/>
        </w:rPr>
        <w:t xml:space="preserve">capturar los enlaces al programa de manejo conforme se emitan, y completar los dos campos menores cuando el dato exista. No requieren intervención en el sitio: la ficha los toma sola.</w:t>
      </w:r>
    </w:p>
    <w:p>
      <w:pPr>
        <w:spacing w:after="100" w:before="200"/>
      </w:pPr>
      <w:r>
        <w:rPr>
          <w:rFonts w:ascii="Cabin" w:cs="Cabin" w:eastAsia="Cabin" w:hAnsi="Cabin"/>
          <w:b/>
          <w:bCs/>
          <w:color w:val="1A1A1A"/>
          <w:sz w:val="22"/>
          <w:szCs w:val="22"/>
        </w:rPr>
        <w:t xml:space="preserve">3.6 Fotografías en baja resolución</w:t>
      </w:r>
    </w:p>
    <w:p>
      <w:pPr>
        <w:spacing w:after="140" w:line="276"/>
        <w:jc w:val="both"/>
      </w:pPr>
      <w:r>
        <w:rPr>
          <w:rFonts w:ascii="Roboto" w:cs="Roboto" w:eastAsia="Roboto" w:hAnsi="Roboto"/>
          <w:color w:val="1A1A1A"/>
          <w:sz w:val="21"/>
          <w:szCs w:val="21"/>
        </w:rPr>
        <w:t xml:space="preserve">De las 62 fotografías, 39 llegaron como originales de cámara (7 a 23 MB) y se publicaron a 1,400 píxeles de lado largo, que es el estándar del sitio. Las 23 restantes (Anexo 1) llegaron ya reducidas a unos 590 × 700 píxeles: se ven correctas en la tarjeta del listado y en el globo del mapa, pero en la galería de la ficha quedan por debajo del resto. </w:t>
      </w:r>
      <w:r>
        <w:rPr>
          <w:rFonts w:ascii="Roboto" w:cs="Roboto" w:eastAsia="Roboto" w:hAnsi="Roboto"/>
          <w:b/>
          <w:bCs/>
          <w:color w:val="1A1A1A"/>
          <w:sz w:val="21"/>
          <w:szCs w:val="21"/>
        </w:rPr>
        <w:t xml:space="preserve">Se pide: </w:t>
      </w:r>
      <w:r>
        <w:rPr>
          <w:rFonts w:ascii="Roboto" w:cs="Roboto" w:eastAsia="Roboto" w:hAnsi="Roboto"/>
          <w:color w:val="1A1A1A"/>
          <w:sz w:val="21"/>
          <w:szCs w:val="21"/>
        </w:rPr>
        <w:t xml:space="preserve">los originales de esas 23, en la misma carpeta de Drive de cada ejemplar y con el mismo número, para sustituirlas sin cambiar el orden.</w:t>
      </w:r>
    </w:p>
    <w:p>
      <w:pPr>
        <w:spacing w:after="100" w:before="200"/>
      </w:pPr>
      <w:r>
        <w:rPr>
          <w:rFonts w:ascii="Cabin" w:cs="Cabin" w:eastAsia="Cabin" w:hAnsi="Cabin"/>
          <w:b/>
          <w:bCs/>
          <w:color w:val="1A1A1A"/>
          <w:sz w:val="22"/>
          <w:szCs w:val="22"/>
        </w:rPr>
        <w:t xml:space="preserve">3.7 Ilustraciones de las tres especies nuevas</w:t>
      </w:r>
    </w:p>
    <w:p>
      <w:pPr>
        <w:spacing w:after="140" w:line="276"/>
        <w:jc w:val="both"/>
      </w:pPr>
      <w:r>
        <w:rPr>
          <w:rFonts w:ascii="Roboto" w:cs="Roboto" w:eastAsia="Roboto" w:hAnsi="Roboto"/>
          <w:color w:val="1A1A1A"/>
          <w:sz w:val="21"/>
          <w:szCs w:val="21"/>
        </w:rPr>
        <w:t xml:space="preserve">El decreto trajo tres especies que el sitio no conocía: encino, cedro blanco y olivo. La biblioteca de ilustraciones que el área de diseño entregó el 28 de septiembre (75 archivos, 44 especies distintas) no las incluye; trae </w:t>
      </w:r>
      <w:r>
        <w:rPr>
          <w:rFonts w:ascii="Roboto" w:cs="Roboto" w:eastAsia="Roboto" w:hAnsi="Roboto"/>
          <w:i/>
          <w:iCs/>
          <w:color w:val="1A1A1A"/>
          <w:sz w:val="21"/>
          <w:szCs w:val="21"/>
        </w:rPr>
        <w:t xml:space="preserve">Quercus rugosa</w:t>
      </w:r>
      <w:r>
        <w:rPr>
          <w:rFonts w:ascii="Roboto" w:cs="Roboto" w:eastAsia="Roboto" w:hAnsi="Roboto"/>
          <w:color w:val="1A1A1A"/>
          <w:sz w:val="21"/>
          <w:szCs w:val="21"/>
        </w:rPr>
        <w:t xml:space="preserve"> y </w:t>
      </w:r>
      <w:r>
        <w:rPr>
          <w:rFonts w:ascii="Roboto" w:cs="Roboto" w:eastAsia="Roboto" w:hAnsi="Roboto"/>
          <w:i/>
          <w:iCs/>
          <w:color w:val="1A1A1A"/>
          <w:sz w:val="21"/>
          <w:szCs w:val="21"/>
        </w:rPr>
        <w:t xml:space="preserve">Quercus virginiana</w:t>
      </w:r>
      <w:r>
        <w:rPr>
          <w:rFonts w:ascii="Roboto" w:cs="Roboto" w:eastAsia="Roboto" w:hAnsi="Roboto"/>
          <w:color w:val="1A1A1A"/>
          <w:sz w:val="21"/>
          <w:szCs w:val="21"/>
        </w:rPr>
        <w:t xml:space="preserve">, pero no </w:t>
      </w:r>
      <w:r>
        <w:rPr>
          <w:rFonts w:ascii="Roboto" w:cs="Roboto" w:eastAsia="Roboto" w:hAnsi="Roboto"/>
          <w:i/>
          <w:iCs/>
          <w:color w:val="1A1A1A"/>
          <w:sz w:val="21"/>
          <w:szCs w:val="21"/>
        </w:rPr>
        <w:t xml:space="preserve">Quercus crassipes</w:t>
      </w:r>
      <w:r>
        <w:rPr>
          <w:rFonts w:ascii="Roboto" w:cs="Roboto" w:eastAsia="Roboto" w:hAnsi="Roboto"/>
          <w:color w:val="1A1A1A"/>
          <w:sz w:val="21"/>
          <w:szCs w:val="21"/>
        </w:rPr>
        <w:t xml:space="preserve">, ni </w:t>
      </w:r>
      <w:r>
        <w:rPr>
          <w:rFonts w:ascii="Roboto" w:cs="Roboto" w:eastAsia="Roboto" w:hAnsi="Roboto"/>
          <w:i/>
          <w:iCs/>
          <w:color w:val="1A1A1A"/>
          <w:sz w:val="21"/>
          <w:szCs w:val="21"/>
        </w:rPr>
        <w:t xml:space="preserve">Cupressus lusitanica</w:t>
      </w:r>
      <w:r>
        <w:rPr>
          <w:rFonts w:ascii="Roboto" w:cs="Roboto" w:eastAsia="Roboto" w:hAnsi="Roboto"/>
          <w:color w:val="1A1A1A"/>
          <w:sz w:val="21"/>
          <w:szCs w:val="21"/>
        </w:rPr>
        <w:t xml:space="preserve">, ni </w:t>
      </w:r>
      <w:r>
        <w:rPr>
          <w:rFonts w:ascii="Roboto" w:cs="Roboto" w:eastAsia="Roboto" w:hAnsi="Roboto"/>
          <w:i/>
          <w:iCs/>
          <w:color w:val="1A1A1A"/>
          <w:sz w:val="21"/>
          <w:szCs w:val="21"/>
        </w:rPr>
        <w:t xml:space="preserve">Olea europaea</w:t>
      </w:r>
      <w:r>
        <w:rPr>
          <w:rFonts w:ascii="Roboto" w:cs="Roboto" w:eastAsia="Roboto" w:hAnsi="Roboto"/>
          <w:color w:val="1A1A1A"/>
          <w:sz w:val="21"/>
          <w:szCs w:val="21"/>
        </w:rPr>
        <w:t xml:space="preserve">. No se sustituye una especie por otra del mismo género. Mientras llegan, la ficha dibuja una silueta esquemática con el porte propio de cada especie. </w:t>
      </w:r>
      <w:r>
        <w:rPr>
          <w:rFonts w:ascii="Roboto" w:cs="Roboto" w:eastAsia="Roboto" w:hAnsi="Roboto"/>
          <w:b/>
          <w:bCs/>
          <w:color w:val="1A1A1A"/>
          <w:sz w:val="21"/>
          <w:szCs w:val="21"/>
        </w:rPr>
        <w:t xml:space="preserve">Se pide a diseño: </w:t>
      </w:r>
      <w:r>
        <w:rPr>
          <w:rFonts w:ascii="Roboto" w:cs="Roboto" w:eastAsia="Roboto" w:hAnsi="Roboto"/>
          <w:color w:val="1A1A1A"/>
          <w:sz w:val="21"/>
          <w:szCs w:val="21"/>
        </w:rPr>
        <w:t xml:space="preserve">las tres ilustraciones en el formato de la biblioteca: PNG de 1,439 × 2,000 píxeles, fondo transparente, árbol completo con el fuste tocando el borde inferior, y con derechos de la Secretaría o licencia expresa para uso público. Si el punto 3 resuelve que el 0014 es </w:t>
      </w:r>
      <w:r>
        <w:rPr>
          <w:rFonts w:ascii="Roboto" w:cs="Roboto" w:eastAsia="Roboto" w:hAnsi="Roboto"/>
          <w:i/>
          <w:iCs/>
          <w:color w:val="1A1A1A"/>
          <w:sz w:val="21"/>
          <w:szCs w:val="21"/>
        </w:rPr>
        <w:t xml:space="preserve">Q. rugosa</w:t>
      </w:r>
      <w:r>
        <w:rPr>
          <w:rFonts w:ascii="Roboto" w:cs="Roboto" w:eastAsia="Roboto" w:hAnsi="Roboto"/>
          <w:color w:val="1A1A1A"/>
          <w:sz w:val="21"/>
          <w:szCs w:val="21"/>
        </w:rPr>
        <w:t xml:space="preserve">, solo faltarían dos.</w:t>
      </w:r>
    </w:p>
    <w:p>
      <w:pPr>
        <w:spacing w:after="100" w:before="200"/>
      </w:pPr>
      <w:r>
        <w:rPr>
          <w:rFonts w:ascii="Cabin" w:cs="Cabin" w:eastAsia="Cabin" w:hAnsi="Cabin"/>
          <w:b/>
          <w:bCs/>
          <w:color w:val="1A1A1A"/>
          <w:sz w:val="22"/>
          <w:szCs w:val="22"/>
        </w:rPr>
        <w:t xml:space="preserve">3.8 Biblioteca de ilustraciones: nombres científicos y copias</w:t>
      </w:r>
    </w:p>
    <w:p>
      <w:pPr>
        <w:spacing w:after="140" w:line="276"/>
        <w:jc w:val="both"/>
      </w:pPr>
      <w:r>
        <w:rPr>
          <w:rFonts w:ascii="Roboto" w:cs="Roboto" w:eastAsia="Roboto" w:hAnsi="Roboto"/>
          <w:color w:val="1A1A1A"/>
          <w:sz w:val="21"/>
          <w:szCs w:val="21"/>
        </w:rPr>
        <w:t xml:space="preserve">La biblioteca quedó ordenada en la carpeta de insumos del sitio con un nombre normalizado por especie. Seis ilustraciones llegaron identificadas solo por nombre común y no se les asignó binomio para no adivinarlo: capulín, ceiba, chapulixtle, clavelina, colorín y tronadora. Además, seis archivos nombrados </w:t>
      </w:r>
      <w:r>
        <w:rPr>
          <w:rFonts w:ascii="Roboto" w:cs="Roboto" w:eastAsia="Roboto" w:hAnsi="Roboto"/>
          <w:i/>
          <w:iCs/>
          <w:color w:val="1A1A1A"/>
          <w:sz w:val="21"/>
          <w:szCs w:val="21"/>
        </w:rPr>
        <w:t xml:space="preserve">Ipomoea murucoides (2)</w:t>
      </w:r>
      <w:r>
        <w:rPr>
          <w:rFonts w:ascii="Roboto" w:cs="Roboto" w:eastAsia="Roboto" w:hAnsi="Roboto"/>
          <w:color w:val="1A1A1A"/>
          <w:sz w:val="21"/>
          <w:szCs w:val="21"/>
        </w:rPr>
        <w:t xml:space="preserve"> a </w:t>
      </w:r>
      <w:r>
        <w:rPr>
          <w:rFonts w:ascii="Roboto" w:cs="Roboto" w:eastAsia="Roboto" w:hAnsi="Roboto"/>
          <w:i/>
          <w:iCs/>
          <w:color w:val="1A1A1A"/>
          <w:sz w:val="21"/>
          <w:szCs w:val="21"/>
        </w:rPr>
        <w:t xml:space="preserve">(7)</w:t>
      </w:r>
      <w:r>
        <w:rPr>
          <w:rFonts w:ascii="Roboto" w:cs="Roboto" w:eastAsia="Roboto" w:hAnsi="Roboto"/>
          <w:color w:val="1A1A1A"/>
          <w:sz w:val="21"/>
          <w:szCs w:val="21"/>
        </w:rPr>
        <w:t xml:space="preserve"> resultaron copias exactas de esas seis ilustraciones; se conservó únicamente el archivo </w:t>
      </w:r>
      <w:r>
        <w:rPr>
          <w:rFonts w:ascii="Roboto" w:cs="Roboto" w:eastAsia="Roboto" w:hAnsi="Roboto"/>
          <w:i/>
          <w:iCs/>
          <w:color w:val="1A1A1A"/>
          <w:sz w:val="21"/>
          <w:szCs w:val="21"/>
        </w:rPr>
        <w:t xml:space="preserve">Ipomoea murucoides</w:t>
      </w:r>
      <w:r>
        <w:rPr>
          <w:rFonts w:ascii="Roboto" w:cs="Roboto" w:eastAsia="Roboto" w:hAnsi="Roboto"/>
          <w:color w:val="1A1A1A"/>
          <w:sz w:val="21"/>
          <w:szCs w:val="21"/>
        </w:rPr>
        <w:t xml:space="preserve"> sin número. </w:t>
      </w:r>
      <w:r>
        <w:rPr>
          <w:rFonts w:ascii="Roboto" w:cs="Roboto" w:eastAsia="Roboto" w:hAnsi="Roboto"/>
          <w:b/>
          <w:bCs/>
          <w:color w:val="1A1A1A"/>
          <w:sz w:val="21"/>
          <w:szCs w:val="21"/>
        </w:rPr>
        <w:t xml:space="preserve">Se pide a diseño: </w:t>
      </w:r>
      <w:r>
        <w:rPr>
          <w:rFonts w:ascii="Roboto" w:cs="Roboto" w:eastAsia="Roboto" w:hAnsi="Roboto"/>
          <w:color w:val="1A1A1A"/>
          <w:sz w:val="21"/>
          <w:szCs w:val="21"/>
        </w:rPr>
        <w:t xml:space="preserve">el nombre científico de las seis, y confirmar que el archivo conservado es efectivamente el cazahuate (</w:t>
      </w:r>
      <w:r>
        <w:rPr>
          <w:rFonts w:ascii="Roboto" w:cs="Roboto" w:eastAsia="Roboto" w:hAnsi="Roboto"/>
          <w:i/>
          <w:iCs/>
          <w:color w:val="1A1A1A"/>
          <w:sz w:val="21"/>
          <w:szCs w:val="21"/>
        </w:rPr>
        <w:t xml:space="preserve">Ipomoea murucoides</w:t>
      </w:r>
      <w:r>
        <w:rPr>
          <w:rFonts w:ascii="Roboto" w:cs="Roboto" w:eastAsia="Roboto" w:hAnsi="Roboto"/>
          <w:color w:val="1A1A1A"/>
          <w:sz w:val="21"/>
          <w:szCs w:val="21"/>
        </w:rPr>
        <w:t xml:space="preserve">).</w:t>
      </w:r>
    </w:p>
    <w:p>
      <w:pPr>
        <w:pBdr>
          <w:bottom w:val="single" w:color="B28E5C" w:sz="8" w:space="2"/>
        </w:pBdr>
        <w:spacing w:after="160" w:before="320"/>
      </w:pPr>
      <w:r>
        <w:rPr>
          <w:rFonts w:ascii="Cabin" w:cs="Cabin" w:eastAsia="Cabin" w:hAnsi="Cabin"/>
          <w:b/>
          <w:bCs/>
          <w:color w:val="9D2148"/>
          <w:sz w:val="26"/>
          <w:szCs w:val="26"/>
        </w:rPr>
        <w:t xml:space="preserve">4. Consideraciones finales</w:t>
      </w:r>
    </w:p>
    <w:p>
      <w:pPr>
        <w:spacing w:after="140" w:line="276"/>
        <w:jc w:val="both"/>
      </w:pPr>
      <w:r>
        <w:rPr>
          <w:rFonts w:ascii="Roboto" w:cs="Roboto" w:eastAsia="Roboto" w:hAnsi="Roboto"/>
          <w:b/>
          <w:bCs/>
          <w:color w:val="1A1A1A"/>
          <w:sz w:val="21"/>
          <w:szCs w:val="21"/>
        </w:rPr>
        <w:t xml:space="preserve">Primero. </w:t>
      </w:r>
      <w:r>
        <w:rPr>
          <w:rFonts w:ascii="Roboto" w:cs="Roboto" w:eastAsia="Roboto" w:hAnsi="Roboto"/>
          <w:color w:val="1A1A1A"/>
          <w:sz w:val="21"/>
          <w:szCs w:val="21"/>
        </w:rPr>
        <w:t xml:space="preserve">Área técnica del registro: entregar la redacción propia de la categoría HISTÓRICO (3.1) y confirmar la numeración de los artículos 34 y 105 de la reforma a la Ley Ambiental contra la Gaceta núm. 1929 Bis (3.2). Son los dos pendientes que afectan lo que el sitio afirma; conviene resolverlos antes de difundir el lote nuevo.</w:t>
      </w:r>
    </w:p>
    <w:p>
      <w:pPr>
        <w:spacing w:after="140" w:line="276"/>
        <w:jc w:val="both"/>
      </w:pPr>
      <w:r>
        <w:rPr>
          <w:rFonts w:ascii="Roboto" w:cs="Roboto" w:eastAsia="Roboto" w:hAnsi="Roboto"/>
          <w:b/>
          <w:bCs/>
          <w:color w:val="1A1A1A"/>
          <w:sz w:val="21"/>
          <w:szCs w:val="21"/>
        </w:rPr>
        <w:t xml:space="preserve">Segundo. </w:t>
      </w:r>
      <w:r>
        <w:rPr>
          <w:rFonts w:ascii="Roboto" w:cs="Roboto" w:eastAsia="Roboto" w:hAnsi="Roboto"/>
          <w:color w:val="1A1A1A"/>
          <w:sz w:val="21"/>
          <w:szCs w:val="21"/>
        </w:rPr>
        <w:t xml:space="preserve">Área técnica del registro: confirmar la especie del ejemplar 0014 (3.3) y asignar nombres distintos a los ejemplares 0018 y 0019 (3.4) directamente en el padrón; el sitio los tomará en la siguiente actualización sin trabajo adicional.</w:t>
      </w:r>
    </w:p>
    <w:p>
      <w:pPr>
        <w:spacing w:after="140" w:line="276"/>
        <w:jc w:val="both"/>
      </w:pPr>
      <w:r>
        <w:rPr>
          <w:rFonts w:ascii="Roboto" w:cs="Roboto" w:eastAsia="Roboto" w:hAnsi="Roboto"/>
          <w:b/>
          <w:bCs/>
          <w:color w:val="1A1A1A"/>
          <w:sz w:val="21"/>
          <w:szCs w:val="21"/>
        </w:rPr>
        <w:t xml:space="preserve">Tercero. </w:t>
      </w:r>
      <w:r>
        <w:rPr>
          <w:rFonts w:ascii="Roboto" w:cs="Roboto" w:eastAsia="Roboto" w:hAnsi="Roboto"/>
          <w:color w:val="1A1A1A"/>
          <w:sz w:val="21"/>
          <w:szCs w:val="21"/>
        </w:rPr>
        <w:t xml:space="preserve">Área técnica del registro: capturar los enlaces al programa de manejo de los diez ejemplares nuevos y los campos menores pendientes (3.5), y dejar en Drive los originales de las 23 fotografías del Anexo 1 (3.6).</w:t>
      </w:r>
    </w:p>
    <w:p>
      <w:pPr>
        <w:spacing w:after="140" w:line="276"/>
        <w:jc w:val="both"/>
      </w:pPr>
      <w:r>
        <w:rPr>
          <w:rFonts w:ascii="Roboto" w:cs="Roboto" w:eastAsia="Roboto" w:hAnsi="Roboto"/>
          <w:b/>
          <w:bCs/>
          <w:color w:val="1A1A1A"/>
          <w:sz w:val="21"/>
          <w:szCs w:val="21"/>
        </w:rPr>
        <w:t xml:space="preserve">Cuarto. </w:t>
      </w:r>
      <w:r>
        <w:rPr>
          <w:rFonts w:ascii="Roboto" w:cs="Roboto" w:eastAsia="Roboto" w:hAnsi="Roboto"/>
          <w:color w:val="1A1A1A"/>
          <w:sz w:val="21"/>
          <w:szCs w:val="21"/>
        </w:rPr>
        <w:t xml:space="preserve">Área de diseño: entregar las ilustraciones de encino, cedro blanco y olivo en el formato de la biblioteca (3.7) y los nombres científicos de las seis ilustraciones identificadas por nombre común (3.8).</w:t>
      </w:r>
    </w:p>
    <w:p>
      <w:pPr>
        <w:spacing w:after="140" w:line="276"/>
        <w:jc w:val="both"/>
      </w:pPr>
      <w:r>
        <w:rPr>
          <w:rFonts w:ascii="Roboto" w:cs="Roboto" w:eastAsia="Roboto" w:hAnsi="Roboto"/>
          <w:b/>
          <w:bCs/>
          <w:color w:val="1A1A1A"/>
          <w:sz w:val="21"/>
          <w:szCs w:val="21"/>
        </w:rPr>
        <w:t xml:space="preserve">Quinto. </w:t>
      </w:r>
      <w:r>
        <w:rPr>
          <w:rFonts w:ascii="Roboto" w:cs="Roboto" w:eastAsia="Roboto" w:hAnsi="Roboto"/>
          <w:color w:val="1A1A1A"/>
          <w:sz w:val="21"/>
          <w:szCs w:val="21"/>
        </w:rPr>
        <w:t xml:space="preserve">Oficina de la Secretaría: en cuanto se reciba cada insumo, integrarlo, reconstruir el sitio, correr las dieciséis suites y publicar. Los puntos 5 y 6 no requieren intervención en el sitio.</w:t>
      </w:r>
    </w:p>
    <w:p>
      <w:r>
        <w:br w:type="page"/>
      </w:r>
    </w:p>
    <w:p>
      <w:pPr>
        <w:spacing w:after="200"/>
        <w:jc w:val="center"/>
      </w:pPr>
      <w:r>
        <w:rPr>
          <w:rFonts w:ascii="Cabin" w:cs="Cabin" w:eastAsia="Cabin" w:hAnsi="Cabin"/>
          <w:b/>
          <w:bCs/>
          <w:color w:val="9D2148"/>
          <w:sz w:val="24"/>
          <w:szCs w:val="24"/>
        </w:rPr>
        <w:t xml:space="preserve">ANEXO 1. FOTOGRAFÍAS ENTREGADAS EN BAJA RESOLUCIÓN</w:t>
      </w:r>
    </w:p>
    <w:p>
      <w:pPr>
        <w:spacing w:after="140" w:line="276"/>
        <w:jc w:val="both"/>
      </w:pPr>
      <w:r>
        <w:rPr>
          <w:rFonts w:ascii="Roboto" w:cs="Roboto" w:eastAsia="Roboto" w:hAnsi="Roboto"/>
          <w:color w:val="1A1A1A"/>
          <w:sz w:val="21"/>
          <w:szCs w:val="21"/>
        </w:rPr>
        <w:t xml:space="preserve">Las 23 fotografías siguientes llegaron a la carpeta de Drive de cada ejemplar ya reducidas (entre 547 × 654 y 684 × 769 píxeles). El número corresponde al orden de la carpeta y al que llevan publicadas en el sitio; el original debe dejarse con ese mismo número.</w:t>
      </w:r>
    </w:p>
    <w:p>
      <w:pPr>
        <w:spacing w:after="100" w:before="160" w:line="240"/>
      </w:pPr>
      <w:r>
        <w:rPr>
          <w:rFonts w:ascii="Roboto" w:cs="Roboto" w:eastAsia="Roboto" w:hAnsi="Roboto"/>
          <w:b/>
          <w:bCs/>
          <w:color w:val="9D2148"/>
          <w:sz w:val="19"/>
          <w:szCs w:val="19"/>
        </w:rPr>
        <w:t xml:space="preserve">Tabla 2. </w:t>
      </w:r>
      <w:r>
        <w:rPr>
          <w:rFonts w:ascii="Roboto" w:cs="Roboto" w:eastAsia="Roboto" w:hAnsi="Roboto"/>
          <w:color w:val="1A1A1A"/>
          <w:sz w:val="19"/>
          <w:szCs w:val="19"/>
        </w:rPr>
        <w:t xml:space="preserve">Fotografías de las que se solicita el original, por ejemplar.</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2900"/>
        <w:gridCol w:w="1600"/>
        <w:gridCol w:w="2172"/>
      </w:tblGrid>
      <w:tr>
        <w:trPr>
          <w:tblHeader/>
        </w:trPr>
        <w:tc>
          <w:tcPr>
            <w:tcW w:type="dxa" w:w="3300"/>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Ejemplar</w:t>
            </w:r>
          </w:p>
        </w:tc>
        <w:tc>
          <w:tcPr>
            <w:tcW w:type="dxa" w:w="2900"/>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Nombre asignado</w:t>
            </w:r>
          </w:p>
        </w:tc>
        <w:tc>
          <w:tcPr>
            <w:tcW w:type="dxa" w:w="1600"/>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Fotografías</w:t>
            </w:r>
          </w:p>
        </w:tc>
        <w:tc>
          <w:tcPr>
            <w:tcW w:type="dxa" w:w="2172"/>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Total de fotos del ejemplar</w:t>
            </w:r>
          </w:p>
        </w:tc>
      </w:tr>
      <w:tr>
        <w:tc>
          <w:tcPr>
            <w:tcW w:type="dxa" w:w="3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26-TLP-QUE-14751ANGIO-0014</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Diamante Tepeximilpa</w:t>
            </w:r>
          </w:p>
        </w:tc>
        <w:tc>
          <w:tcPr>
            <w:tcW w:type="dxa" w:w="1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04, 05, 06, 07</w:t>
            </w:r>
          </w:p>
        </w:tc>
        <w:tc>
          <w:tcPr>
            <w:tcW w:type="dxa" w:w="21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7</w:t>
            </w:r>
          </w:p>
        </w:tc>
      </w:tr>
      <w:tr>
        <w:tc>
          <w:tcPr>
            <w:tcW w:type="dxa" w:w="3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26-AZC-TAX-19405GIMNO-0018</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Los Gemelos de San Álvaro</w:t>
            </w:r>
          </w:p>
        </w:tc>
        <w:tc>
          <w:tcPr>
            <w:tcW w:type="dxa" w:w="16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05</w:t>
            </w:r>
          </w:p>
        </w:tc>
        <w:tc>
          <w:tcPr>
            <w:tcW w:type="dxa" w:w="217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5</w:t>
            </w:r>
          </w:p>
        </w:tc>
      </w:tr>
      <w:tr>
        <w:tc>
          <w:tcPr>
            <w:tcW w:type="dxa" w:w="3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26-AZC-TAX-19405GIMNO-0019</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Los Gemelos de San Álvaro</w:t>
            </w:r>
          </w:p>
        </w:tc>
        <w:tc>
          <w:tcPr>
            <w:tcW w:type="dxa" w:w="1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04</w:t>
            </w:r>
          </w:p>
        </w:tc>
        <w:tc>
          <w:tcPr>
            <w:tcW w:type="dxa" w:w="21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6</w:t>
            </w:r>
          </w:p>
        </w:tc>
      </w:tr>
      <w:tr>
        <w:tc>
          <w:tcPr>
            <w:tcW w:type="dxa" w:w="3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26-COY-TAX-19405GIMNO-0021</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Atlahuitl</w:t>
            </w:r>
          </w:p>
        </w:tc>
        <w:tc>
          <w:tcPr>
            <w:tcW w:type="dxa" w:w="16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01, 02</w:t>
            </w:r>
          </w:p>
        </w:tc>
        <w:tc>
          <w:tcPr>
            <w:tcW w:type="dxa" w:w="217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6</w:t>
            </w:r>
          </w:p>
        </w:tc>
      </w:tr>
      <w:tr>
        <w:tc>
          <w:tcPr>
            <w:tcW w:type="dxa" w:w="3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26-BJU-TAX-19405GIMNO-0023</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Ahuehuetlan</w:t>
            </w:r>
          </w:p>
        </w:tc>
        <w:tc>
          <w:tcPr>
            <w:tcW w:type="dxa" w:w="1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01, 02, 03, 04, 05</w:t>
            </w:r>
          </w:p>
        </w:tc>
        <w:tc>
          <w:tcPr>
            <w:tcW w:type="dxa" w:w="21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9</w:t>
            </w:r>
          </w:p>
        </w:tc>
      </w:tr>
      <w:tr>
        <w:tc>
          <w:tcPr>
            <w:tcW w:type="dxa" w:w="3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26-XOC-TAX-19405GIMNO-0024</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San Cristóbal Xallan</w:t>
            </w:r>
          </w:p>
        </w:tc>
        <w:tc>
          <w:tcPr>
            <w:tcW w:type="dxa" w:w="16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01, 02, 03</w:t>
            </w:r>
          </w:p>
        </w:tc>
        <w:tc>
          <w:tcPr>
            <w:tcW w:type="dxa" w:w="217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7</w:t>
            </w:r>
          </w:p>
        </w:tc>
      </w:tr>
      <w:tr>
        <w:tc>
          <w:tcPr>
            <w:tcW w:type="dxa" w:w="3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26-XOC-TAX-19405GIMNO-0025</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Molotla</w:t>
            </w:r>
          </w:p>
        </w:tc>
        <w:tc>
          <w:tcPr>
            <w:tcW w:type="dxa" w:w="1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03, 04</w:t>
            </w:r>
          </w:p>
        </w:tc>
        <w:tc>
          <w:tcPr>
            <w:tcW w:type="dxa" w:w="21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5</w:t>
            </w:r>
          </w:p>
        </w:tc>
      </w:tr>
      <w:tr>
        <w:tc>
          <w:tcPr>
            <w:tcW w:type="dxa" w:w="3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26-MAC-CUP-19282GIMNO-0026</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Cedro de Padierna</w:t>
            </w:r>
          </w:p>
        </w:tc>
        <w:tc>
          <w:tcPr>
            <w:tcW w:type="dxa" w:w="16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03, 04</w:t>
            </w:r>
          </w:p>
        </w:tc>
        <w:tc>
          <w:tcPr>
            <w:tcW w:type="dxa" w:w="217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6</w:t>
            </w:r>
          </w:p>
        </w:tc>
      </w:tr>
      <w:tr>
        <w:tc>
          <w:tcPr>
            <w:tcW w:type="dxa" w:w="33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26-XOC-TAX-19405GIMNO-0027</w:t>
            </w:r>
          </w:p>
        </w:tc>
        <w:tc>
          <w:tcPr>
            <w:tcW w:type="dxa" w:w="29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Tlanahuac</w:t>
            </w:r>
          </w:p>
        </w:tc>
        <w:tc>
          <w:tcPr>
            <w:tcW w:type="dxa" w:w="1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03</w:t>
            </w:r>
          </w:p>
        </w:tc>
        <w:tc>
          <w:tcPr>
            <w:tcW w:type="dxa" w:w="21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5</w:t>
            </w:r>
          </w:p>
        </w:tc>
      </w:tr>
      <w:tr>
        <w:tc>
          <w:tcPr>
            <w:tcW w:type="dxa" w:w="33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26-XOC-OLE-57117ANGIO-0028</w:t>
            </w:r>
          </w:p>
        </w:tc>
        <w:tc>
          <w:tcPr>
            <w:tcW w:type="dxa" w:w="29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Teuhtli</w:t>
            </w:r>
          </w:p>
        </w:tc>
        <w:tc>
          <w:tcPr>
            <w:tcW w:type="dxa" w:w="16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02, 03</w:t>
            </w:r>
          </w:p>
        </w:tc>
        <w:tc>
          <w:tcPr>
            <w:tcW w:type="dxa" w:w="217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6</w:t>
            </w:r>
          </w:p>
        </w:tc>
      </w:tr>
    </w:tbl>
    <w:p>
      <w:pPr>
        <w:spacing w:after="240" w:before="70" w:line="220"/>
      </w:pPr>
      <w:r>
        <w:rPr>
          <w:rFonts w:ascii="Roboto" w:cs="Roboto" w:eastAsia="Roboto" w:hAnsi="Roboto"/>
          <w:i/>
          <w:iCs/>
          <w:color w:val="55585A"/>
          <w:sz w:val="16"/>
          <w:szCs w:val="16"/>
        </w:rPr>
        <w:t xml:space="preserve">Fuente: dimensiones medidas sobre los archivos descargados de las carpetas de Drive enlazadas en el padrón, 28 de septiembre de 2026. Las fotografías 01 de 0021, 0023 y 0024 son las que encabezan la tarjeta del listado.</w:t>
      </w:r>
    </w:p>
    <w:p>
      <w:r>
        <w:br w:type="page"/>
      </w:r>
    </w:p>
    <w:p>
      <w:pPr>
        <w:spacing w:after="200"/>
        <w:jc w:val="center"/>
      </w:pPr>
      <w:r>
        <w:rPr>
          <w:rFonts w:ascii="Cabin" w:cs="Cabin" w:eastAsia="Cabin" w:hAnsi="Cabin"/>
          <w:b/>
          <w:bCs/>
          <w:color w:val="9D2148"/>
          <w:sz w:val="24"/>
          <w:szCs w:val="24"/>
        </w:rPr>
        <w:t xml:space="preserve">ANEXO 2. ESPECIFICACIÓN DE LAS ILUSTRACIONES DE ESPECIE</w:t>
      </w:r>
    </w:p>
    <w:p>
      <w:pPr>
        <w:spacing w:after="140" w:line="276"/>
        <w:jc w:val="both"/>
      </w:pPr>
      <w:r>
        <w:rPr>
          <w:rFonts w:ascii="Roboto" w:cs="Roboto" w:eastAsia="Roboto" w:hAnsi="Roboto"/>
          <w:color w:val="1A1A1A"/>
          <w:sz w:val="21"/>
          <w:szCs w:val="21"/>
        </w:rPr>
        <w:t xml:space="preserve">Para que una ilustración pueda incorporarse al sitio sin retrabajo, debe cumplir lo siguiente, que es lo que cumplen las 44 de la biblioteca entregada.</w:t>
      </w:r>
    </w:p>
    <w:p>
      <w:pPr>
        <w:spacing w:after="100" w:before="160" w:line="240"/>
      </w:pPr>
      <w:r>
        <w:rPr>
          <w:rFonts w:ascii="Roboto" w:cs="Roboto" w:eastAsia="Roboto" w:hAnsi="Roboto"/>
          <w:b/>
          <w:bCs/>
          <w:color w:val="9D2148"/>
          <w:sz w:val="19"/>
          <w:szCs w:val="19"/>
        </w:rPr>
        <w:t xml:space="preserve">Tabla 3. </w:t>
      </w:r>
      <w:r>
        <w:rPr>
          <w:rFonts w:ascii="Roboto" w:cs="Roboto" w:eastAsia="Roboto" w:hAnsi="Roboto"/>
          <w:color w:val="1A1A1A"/>
          <w:sz w:val="19"/>
          <w:szCs w:val="19"/>
        </w:rPr>
        <w:t xml:space="preserve">Requisitos de entrega de las ilustraciones de especie.</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372"/>
      </w:tblGrid>
      <w:tr>
        <w:trPr>
          <w:tblHeader/>
        </w:trPr>
        <w:tc>
          <w:tcPr>
            <w:tcW w:type="dxa" w:w="2600"/>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Requisito</w:t>
            </w:r>
          </w:p>
        </w:tc>
        <w:tc>
          <w:tcPr>
            <w:tcW w:type="dxa" w:w="7372"/>
            <w:shd w:fill="9D2148" w:color="auto" w:val="clear"/>
            <w:tcMar>
              <w:top w:type="dxa" w:w="60"/>
              <w:left w:type="dxa" w:w="90"/>
              <w:bottom w:type="dxa" w:w="60"/>
              <w:right w:type="dxa" w:w="90"/>
            </w:tcMar>
            <w:vAlign w:val="top"/>
          </w:tcPr>
          <w:p>
            <w:pPr>
              <w:spacing w:after="40" w:line="240"/>
            </w:pPr>
            <w:r>
              <w:rPr>
                <w:rFonts w:ascii="Roboto" w:cs="Roboto" w:eastAsia="Roboto" w:hAnsi="Roboto"/>
                <w:b/>
                <w:bCs/>
                <w:color w:val="FFFFFF"/>
                <w:sz w:val="18"/>
                <w:szCs w:val="18"/>
              </w:rPr>
              <w:t xml:space="preserve">Especificación</w:t>
            </w:r>
          </w:p>
        </w:tc>
      </w:tr>
      <w:tr>
        <w:tc>
          <w:tcPr>
            <w:tcW w:type="dxa" w:w="2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Formato</w:t>
            </w:r>
          </w:p>
        </w:tc>
        <w:tc>
          <w:tcPr>
            <w:tcW w:type="dxa" w:w="73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PNG con fondo transparente (canal alfa), 1,439 × 2,000 píxeles, como el resto de la biblioteca</w:t>
            </w:r>
          </w:p>
        </w:tc>
      </w:tr>
      <w:tr>
        <w:tc>
          <w:tcPr>
            <w:tcW w:type="dxa" w:w="26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Encuadre</w:t>
            </w:r>
          </w:p>
        </w:tc>
        <w:tc>
          <w:tcPr>
            <w:tcW w:type="dxa" w:w="737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Árbol completo, de pie, con el fuste tocando el borde inferior del lienzo; sin suelo, sombra proyectada ni elementos de contexto</w:t>
            </w:r>
          </w:p>
        </w:tc>
      </w:tr>
      <w:tr>
        <w:tc>
          <w:tcPr>
            <w:tcW w:type="dxa" w:w="2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Porte</w:t>
            </w:r>
          </w:p>
        </w:tc>
        <w:tc>
          <w:tcPr>
            <w:tcW w:type="dxa" w:w="73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El porte típico de la especie adulta, no el de un ejemplar concreto; el sitio lo escala a la altura real medida de cada árbol</w:t>
            </w:r>
          </w:p>
        </w:tc>
      </w:tr>
      <w:tr>
        <w:tc>
          <w:tcPr>
            <w:tcW w:type="dxa" w:w="26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Especies pendientes</w:t>
            </w:r>
          </w:p>
        </w:tc>
        <w:tc>
          <w:tcPr>
            <w:tcW w:type="dxa" w:w="737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Encino (Quercus crassipes, salvo que el punto 3.3 resuelva Quercus rugosa), cedro blanco (Cupressus lusitanica) y olivo (Olea europaea)</w:t>
            </w:r>
          </w:p>
        </w:tc>
      </w:tr>
      <w:tr>
        <w:tc>
          <w:tcPr>
            <w:tcW w:type="dxa" w:w="2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Nombre del archivo</w:t>
            </w:r>
          </w:p>
        </w:tc>
        <w:tc>
          <w:tcPr>
            <w:tcW w:type="dxa" w:w="73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Género y especie en minúsculas, separados por guion: quercus-crassipes.png, cupressus-lusitanica.png, olea-europaea.png</w:t>
            </w:r>
          </w:p>
        </w:tc>
      </w:tr>
      <w:tr>
        <w:tc>
          <w:tcPr>
            <w:tcW w:type="dxa" w:w="2600"/>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Derechos</w:t>
            </w:r>
          </w:p>
        </w:tc>
        <w:tc>
          <w:tcPr>
            <w:tcW w:type="dxa" w:w="7372"/>
            <w:shd w:fill="F7F1F3"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Autoría de la Secretaría o licencia expresa para uso público; se registra en el LEEME de la biblioteca</w:t>
            </w:r>
          </w:p>
        </w:tc>
      </w:tr>
      <w:tr>
        <w:tc>
          <w:tcPr>
            <w:tcW w:type="dxa" w:w="2600"/>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Pendiente de nombre</w:t>
            </w:r>
          </w:p>
        </w:tc>
        <w:tc>
          <w:tcPr>
            <w:tcW w:type="dxa" w:w="7372"/>
            <w:shd w:fill="FFFFFF" w:color="auto" w:val="clear"/>
            <w:tcMar>
              <w:top w:type="dxa" w:w="60"/>
              <w:left w:type="dxa" w:w="90"/>
              <w:bottom w:type="dxa" w:w="60"/>
              <w:right w:type="dxa" w:w="90"/>
            </w:tcMar>
            <w:vAlign w:val="top"/>
          </w:tcPr>
          <w:p>
            <w:pPr>
              <w:spacing w:after="40" w:line="240"/>
            </w:pPr>
            <w:r>
              <w:rPr>
                <w:rFonts w:ascii="Roboto" w:cs="Roboto" w:eastAsia="Roboto" w:hAnsi="Roboto"/>
                <w:color w:val="1A1A1A"/>
                <w:sz w:val="18"/>
                <w:szCs w:val="18"/>
              </w:rPr>
              <w:t xml:space="preserve">capulín, ceiba, chapulixtle, clavelina, colorín, tronadora: indicar el binomio de cada una</w:t>
            </w:r>
          </w:p>
        </w:tc>
      </w:tr>
    </w:tbl>
    <w:p>
      <w:pPr>
        <w:spacing w:after="240" w:before="70" w:line="220"/>
      </w:pPr>
      <w:r>
        <w:rPr>
          <w:rFonts w:ascii="Roboto" w:cs="Roboto" w:eastAsia="Roboto" w:hAnsi="Roboto"/>
          <w:i/>
          <w:iCs/>
          <w:color w:val="55585A"/>
          <w:sz w:val="16"/>
          <w:szCs w:val="16"/>
        </w:rPr>
        <w:t xml:space="preserve">Fuente: LEEME de la biblioteca insumos/ilustraciones-especies del micrositio, 28 de septiembre de 2026.</w:t>
      </w:r>
    </w:p>
    <w:sectPr>
      <w:headerReference w:type="default" r:id="rId7"/>
      <w:headerReference w:type="first" r:id="rId8"/>
      <w:footerReference w:type="default" r:id="rId9"/>
      <w:footerReference w:type="first" r:id="rId10"/>
      <w:pgSz w:w="12240" w:h="15840"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B28E5C" w:sz="6" w:space="1"/>
      </w:pBdr>
      <w:spacing w:after="120" w:before="0"/>
    </w:pPr>
    <w:r>
      <w:rPr>
        <w:sz w:val="2"/>
        <w:szCs w:val="2"/>
      </w:rPr>
      <w:t xml:space="preserve"/>
    </w:r>
  </w:p>
  <w:p>
    <w:pPr>
      <w:jc w:val="right"/>
    </w:pPr>
    <w:r>
      <w:rPr>
        <w:rFonts w:ascii="Roboto" w:cs="Roboto" w:eastAsia="Roboto" w:hAnsi="Roboto"/>
        <w:color w:val="55585A"/>
        <w:sz w:val="16"/>
        <w:szCs w:val="16"/>
      </w:rPr>
      <w:t xml:space="preserve">Página </w:t>
    </w:r>
    <w:r>
      <w:rPr>
        <w:rFonts w:ascii="Roboto" w:cs="Roboto" w:eastAsia="Roboto" w:hAnsi="Roboto"/>
        <w:color w:val="55585A"/>
        <w:sz w:val="16"/>
        <w:szCs w:val="16"/>
      </w:rPr>
      <w:fldChar w:fldCharType="begin"/>
      <w:instrText xml:space="preserve">PAGE</w:instrText>
      <w:fldChar w:fldCharType="separate"/>
      <w:fldChar w:fldCharType="end"/>
    </w:r>
    <w:r>
      <w:rPr>
        <w:rFonts w:ascii="Roboto" w:cs="Roboto" w:eastAsia="Roboto" w:hAnsi="Roboto"/>
        <w:color w:val="55585A"/>
        <w:sz w:val="16"/>
        <w:szCs w:val="16"/>
      </w:rPr>
      <w:t xml:space="preserve"> de </w:t>
    </w:r>
    <w:r>
      <w:rPr>
        <w:rFonts w:ascii="Roboto" w:cs="Roboto" w:eastAsia="Roboto" w:hAnsi="Roboto"/>
        <w:color w:val="5558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B28E5C" w:sz="6" w:space="1"/>
      </w:pBdr>
      <w:spacing w:after="120" w:before="0"/>
    </w:pPr>
    <w:r>
      <w:rPr>
        <w:sz w:val="2"/>
        <w:szCs w:val="2"/>
      </w:rPr>
      <w:t xml:space="preserve"/>
    </w:r>
  </w:p>
  <w:p>
    <w:pPr>
      <w:jc w:val="right"/>
    </w:pPr>
    <w:r>
      <w:rPr>
        <w:rFonts w:ascii="Roboto" w:cs="Roboto" w:eastAsia="Roboto" w:hAnsi="Roboto"/>
        <w:color w:val="55585A"/>
        <w:sz w:val="16"/>
        <w:szCs w:val="16"/>
      </w:rPr>
      <w:t xml:space="preserve">Página </w:t>
    </w:r>
    <w:r>
      <w:rPr>
        <w:rFonts w:ascii="Roboto" w:cs="Roboto" w:eastAsia="Roboto" w:hAnsi="Roboto"/>
        <w:color w:val="55585A"/>
        <w:sz w:val="16"/>
        <w:szCs w:val="16"/>
      </w:rPr>
      <w:fldChar w:fldCharType="begin"/>
      <w:instrText xml:space="preserve">PAGE</w:instrText>
      <w:fldChar w:fldCharType="separate"/>
      <w:fldChar w:fldCharType="end"/>
    </w:r>
    <w:r>
      <w:rPr>
        <w:rFonts w:ascii="Roboto" w:cs="Roboto" w:eastAsia="Roboto" w:hAnsi="Roboto"/>
        <w:color w:val="55585A"/>
        <w:sz w:val="16"/>
        <w:szCs w:val="16"/>
      </w:rPr>
      <w:t xml:space="preserve"> de </w:t>
    </w:r>
    <w:r>
      <w:rPr>
        <w:rFonts w:ascii="Roboto" w:cs="Roboto" w:eastAsia="Roboto" w:hAnsi="Roboto"/>
        <w:color w:val="5558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2148" w:sz="12" w:space="1"/>
      </w:pBdr>
      <w:spacing w:after="120" w:before="0"/>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5200"/>
      <w:gridCol w:w="4772"/>
    </w:tblGrid>
    <w:tr>
      <w:tc>
        <w:tcPr>
          <w:tcW w:type="dxa" w:w="5200"/>
          <w:tcBorders>
            <w:top w:val="none" w:color="FFFFFF" w:sz="0"/>
            <w:left w:val="none" w:color="FFFFFF" w:sz="0"/>
            <w:bottom w:val="none" w:color="FFFFFF" w:sz="0"/>
            <w:right w:val="none" w:color="FFFFFF" w:sz="0"/>
          </w:tcBorders>
          <w:vAlign w:val="center"/>
        </w:tcPr>
        <w:p>
          <w:r>
            <w:drawing>
              <wp:inline distT="0" distB="0" distL="0" distR="0">
                <wp:extent cx="23622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62200" cy="476250"/>
                        </a:xfrm>
                        <a:prstGeom prst="rect">
                          <a:avLst/>
                        </a:prstGeom>
                      </pic:spPr>
                    </pic:pic>
                  </a:graphicData>
                </a:graphic>
              </wp:inline>
            </w:drawing>
          </w:r>
        </w:p>
      </w:tc>
      <w:tc>
        <w:tcPr>
          <w:tcW w:type="dxa" w:w="4772"/>
          <w:tcBorders>
            <w:top w:val="none" w:color="FFFFFF" w:sz="0"/>
            <w:left w:val="none" w:color="FFFFFF" w:sz="0"/>
            <w:bottom w:val="none" w:color="FFFFFF" w:sz="0"/>
            <w:right w:val="none" w:color="FFFFFF" w:sz="0"/>
          </w:tcBorders>
          <w:vAlign w:val="center"/>
        </w:tcPr>
        <w:p>
          <w:pPr>
            <w:spacing w:after="0" w:line="240"/>
            <w:jc w:val="right"/>
          </w:pPr>
          <w:r>
            <w:rPr>
              <w:rFonts w:ascii="Cabin" w:cs="Cabin" w:eastAsia="Cabin" w:hAnsi="Cabin"/>
              <w:b/>
              <w:bCs/>
              <w:color w:val="55585A"/>
              <w:sz w:val="19"/>
              <w:szCs w:val="19"/>
            </w:rPr>
            <w:t xml:space="preserve">SECRETARÍA DEL MEDIO AMBIENTE</w:t>
          </w:r>
        </w:p>
        <w:p>
          <w:pPr>
            <w:spacing w:after="0" w:line="240"/>
            <w:jc w:val="right"/>
          </w:pPr>
          <w:r>
            <w:rPr>
              <w:rFonts w:ascii="Cabin" w:cs="Cabin" w:eastAsia="Cabin" w:hAnsi="Cabin"/>
              <w:color w:val="55585A"/>
              <w:sz w:val="18"/>
              <w:szCs w:val="18"/>
            </w:rPr>
            <w:t xml:space="preserve">Oficina de la Secretaría – Asesor "A"</w:t>
          </w:r>
        </w:p>
        <w:p>
          <w:pPr>
            <w:spacing w:after="0" w:line="240"/>
            <w:jc w:val="right"/>
          </w:pPr>
          <w:r>
            <w:rPr>
              <w:rFonts w:ascii="Roboto" w:cs="Roboto" w:eastAsia="Roboto" w:hAnsi="Roboto"/>
              <w:i/>
              <w:iCs/>
              <w:color w:val="55585A"/>
              <w:sz w:val="16"/>
              <w:szCs w:val="16"/>
            </w:rPr>
            <w:t xml:space="preserve">SEDEMA/OS/___/2026</w:t>
          </w:r>
        </w:p>
      </w:tc>
    </w:tr>
  </w:tbl>
  <w:p>
    <w:pPr>
      <w:pBdr>
        <w:bottom w:val="single" w:color="9D2148" w:sz="12" w:space="1"/>
      </w:pBdr>
      <w:spacing w:after="12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c689dbdd1eb629b0720a533751ffb454f9cdc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61845d06097cb1ec89d8814edb2df77cbefd32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2026-09-28T23:38:10.658Z</dcterms:created>
  <dcterms:modified xsi:type="dcterms:W3CDTF">2026-09-28T23:38:10.658Z</dcterms:modified>
</cp:coreProperties>
</file>

<file path=docProps/custom.xml><?xml version="1.0" encoding="utf-8"?>
<Properties xmlns="http://schemas.openxmlformats.org/officeDocument/2006/custom-properties" xmlns:vt="http://schemas.openxmlformats.org/officeDocument/2006/docPropsVTypes"/>
</file>