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Roboto" w:cs="Roboto" w:eastAsia="Roboto" w:hAnsi="Roboto"/>
          <w:i/>
          <w:iCs/>
          <w:color w:val="1A1A1A"/>
          <w:sz w:val="20"/>
          <w:szCs w:val="20"/>
        </w:rPr>
        <w:t xml:space="preserve">Ciudad de México, a 14 de septiembre de 2026</w:t>
      </w:r>
    </w:p>
    <w:p>
      <w:pPr>
        <w:spacing w:after="40"/>
        <w:jc w:val="center"/>
      </w:pPr>
      <w:r>
        <w:rPr>
          <w:rFonts w:ascii="Cabin" w:cs="Cabin" w:eastAsia="Cabin" w:hAnsi="Cabin"/>
          <w:b/>
          <w:bCs/>
          <w:color w:val="9D2148"/>
          <w:sz w:val="32"/>
          <w:szCs w:val="32"/>
        </w:rPr>
        <w:t xml:space="preserve">NOTA INFORMATIVA</w:t>
      </w:r>
    </w:p>
    <w:p>
      <w:pPr>
        <w:spacing w:after="200"/>
        <w:jc w:val="center"/>
      </w:pPr>
      <w:r>
        <w:rPr>
          <w:rFonts w:ascii="Cabin" w:cs="Cabin" w:eastAsia="Cabin" w:hAnsi="Cabin"/>
          <w:b/>
          <w:bCs/>
          <w:color w:val="2A2A2A"/>
          <w:sz w:val="22"/>
          <w:szCs w:val="22"/>
        </w:rPr>
        <w:t xml:space="preserve">Correcciones al inventario del Sistema de Información Ambiental y apertura de los documentos enlazados</w:t>
      </w:r>
    </w:p>
    <w:tbl>
      <w:tblPr>
        <w:tblW w:type="dxa" w:w="9972"/>
        <w:tblBorders>
          <w:top w:val="single" w:color="000000" w:sz="4"/>
          <w:left w:val="single" w:color="000000" w:sz="4"/>
          <w:bottom w:val="single" w:color="000000" w:sz="4"/>
          <w:right w:val="single" w:color="000000" w:sz="4"/>
          <w:insideH w:val="none" w:color="FFFFFF" w:sz="0"/>
          <w:insideV w:val="none" w:color="FFFFFF" w:sz="0"/>
        </w:tblBorders>
      </w:tblPr>
      <w:tblGrid>
        <w:gridCol w:w="9972"/>
      </w:tblGrid>
      <w:tr>
        <w:tc>
          <w:tcPr>
            <w:tcW w:type="dxa" w:w="9972"/>
            <w:tcMar>
              <w:top w:type="dxa" w:w="100"/>
              <w:left w:type="dxa" w:w="140"/>
              <w:bottom w:type="dxa" w:w="100"/>
              <w:right w:type="dxa" w:w="140"/>
            </w:tcMar>
          </w:tcPr>
          <w:p>
            <w:pPr>
              <w:spacing w:after="0" w:line="276"/>
              <w:jc w:val="both"/>
            </w:pPr>
            <w:r>
              <w:rPr>
                <w:rFonts w:ascii="Roboto" w:cs="Roboto" w:eastAsia="Roboto" w:hAnsi="Roboto"/>
                <w:b/>
                <w:bCs/>
                <w:color w:val="9D2148"/>
                <w:sz w:val="20"/>
                <w:szCs w:val="20"/>
              </w:rPr>
              <w:t xml:space="preserve">Asunto: </w:t>
            </w:r>
            <w:r>
              <w:rPr>
                <w:rFonts w:ascii="Roboto" w:cs="Roboto" w:eastAsia="Roboto" w:hAnsi="Roboto"/>
                <w:color w:val="1A1A1A"/>
                <w:sz w:val="20"/>
                <w:szCs w:val="20"/>
              </w:rPr>
              <w:t xml:space="preserve">Se comunican al área responsable del inventario de áreas de protección ambiental las 24 inconsistencias detectadas al cotejar el inventario con el texto de las Gacetas Oficiales enlazadas (22 áreas) y los 31 documentos de Google Drive que hoy no abren para el público (35 áreas), con la corrección exacta que se solicita en cada caso y las decisiones de criterio que requieren definición.</w:t>
            </w:r>
          </w:p>
        </w:tc>
      </w:tr>
    </w:tbl>
    <w:p>
      <w:pPr>
        <w:spacing w:after="120"/>
      </w:pPr>
    </w:p>
    <w:p>
      <w:pPr>
        <w:pBdr>
          <w:bottom w:val="single" w:color="B28E5C" w:sz="6" w:space="2"/>
        </w:pBdr>
        <w:spacing w:after="120" w:before="300"/>
      </w:pPr>
      <w:r>
        <w:rPr>
          <w:rFonts w:ascii="Cabin" w:cs="Cabin" w:eastAsia="Cabin" w:hAnsi="Cabin"/>
          <w:b/>
          <w:bCs/>
          <w:color w:val="9D2148"/>
          <w:sz w:val="24"/>
          <w:szCs w:val="24"/>
        </w:rPr>
        <w:t xml:space="preserve">1. Objeto y antecedentes</w:t>
      </w:r>
    </w:p>
    <w:p>
      <w:pPr>
        <w:spacing w:after="140" w:line="276"/>
        <w:jc w:val="both"/>
      </w:pPr>
      <w:r>
        <w:rPr>
          <w:rFonts w:ascii="Roboto" w:cs="Roboto" w:eastAsia="Roboto" w:hAnsi="Roboto"/>
          <w:color w:val="1A1A1A"/>
          <w:sz w:val="20"/>
          <w:szCs w:val="20"/>
        </w:rPr>
        <w:t xml:space="preserve">El Sistema de Información Ambiental (SIA) publica en sia.contactoverde.com el tablero de las 66 áreas de protección ambiental de la Ciudad de México (39 Áreas de Valor Ambiental y 27 Áreas Naturales Protegidas). El tablero no captura datos propios: lee en vivo la hoja de cálculo institucional del inventario (fechas, superficies, programas de manejo y ligas a decretos y programas) y la muestra en fichas y mapas. Toda inconsistencia de la hoja se reproduce, por tanto, en cada consulta que hace el personal en campo y en oficina.</w:t>
      </w:r>
    </w:p>
    <w:p>
      <w:pPr>
        <w:spacing w:after="140" w:line="276"/>
        <w:jc w:val="both"/>
      </w:pPr>
      <w:r>
        <w:rPr>
          <w:rFonts w:ascii="Roboto" w:cs="Roboto" w:eastAsia="Roboto" w:hAnsi="Roboto"/>
          <w:color w:val="1A1A1A"/>
          <w:sz w:val="20"/>
          <w:szCs w:val="20"/>
        </w:rPr>
        <w:t xml:space="preserve">El 13 de septiembre de 2026 la Oficina de la Secretaría realizó dos verificaciones sobre ese insumo: (i) el cotejo de 55 áreas contra el texto íntegro de las 54 Gacetas Oficiales enlazadas en la hoja, y (ii) la revisión de las 182 ligas del inventario (132 únicas), incluidos 76 archivos alojados en Google Drive. Esta nota reporta los resultados y precisa, celda por celda, lo que debe corregirse.</w:t>
      </w:r>
    </w:p>
    <w:p>
      <w:pPr>
        <w:spacing w:after="140" w:line="276"/>
        <w:jc w:val="both"/>
      </w:pPr>
      <w:r>
        <w:rPr>
          <w:rFonts w:ascii="Roboto" w:cs="Roboto" w:eastAsia="Roboto" w:hAnsi="Roboto"/>
          <w:color w:val="1A1A1A"/>
          <w:sz w:val="20"/>
          <w:szCs w:val="20"/>
        </w:rPr>
        <w:t xml:space="preserve">Las 11 áreas sin liga de Gaceta (nueve ANP federales publicadas en el Diario Oficial de la Federación, Bosque de las Lomas de 1994 y el Parque Ecológico de la Ciudad de México de 1989) quedaron fuera del cotejo y se verificarán contra el DOF en una segunda ronda.</w:t>
      </w:r>
    </w:p>
    <w:p>
      <w:pPr>
        <w:pBdr>
          <w:bottom w:val="single" w:color="B28E5C" w:sz="6" w:space="2"/>
        </w:pBdr>
        <w:spacing w:after="120" w:before="300"/>
      </w:pPr>
      <w:r>
        <w:rPr>
          <w:rFonts w:ascii="Cabin" w:cs="Cabin" w:eastAsia="Cabin" w:hAnsi="Cabin"/>
          <w:b/>
          <w:bCs/>
          <w:color w:val="9D2148"/>
          <w:sz w:val="24"/>
          <w:szCs w:val="24"/>
        </w:rPr>
        <w:t xml:space="preserve">2. Marco jurídico aplicable</w:t>
      </w:r>
    </w:p>
    <w:p>
      <w:pPr>
        <w:spacing w:after="140" w:line="276"/>
        <w:jc w:val="both"/>
      </w:pPr>
      <w:r>
        <w:rPr>
          <w:rFonts w:ascii="Roboto" w:cs="Roboto" w:eastAsia="Roboto" w:hAnsi="Roboto"/>
          <w:color w:val="1A1A1A"/>
          <w:sz w:val="20"/>
          <w:szCs w:val="20"/>
        </w:rPr>
        <w:t xml:space="preserve">Las declaratorias de Áreas Naturales Protegidas y de Áreas de Valor Ambiental de competencia local, y sus programas de manejo, se publican en la Gaceta Oficial de la Ciudad de México; el texto publicado es la fuente de fecha, denominación, categoría y superficie de cada área, y prevalece sobre cualquier transcripción en bases de datos internas. La presente nota no transcribe disposiciones normativas: sus hallazgos derivan del texto de las propias Gacetas enlazadas en el inventario</w:t>
      </w:r>
      <w:r>
        <w:rPr>
          <w:rStyle w:val="FootnoteReference"/>
        </w:rPr>
        <w:footnoteReference w:id="1"/>
      </w:r>
      <w:r>
        <w:rPr>
          <w:rFonts w:ascii="Roboto" w:cs="Roboto" w:eastAsia="Roboto" w:hAnsi="Roboto"/>
          <w:color w:val="1A1A1A"/>
          <w:sz w:val="20"/>
          <w:szCs w:val="20"/>
        </w:rPr>
        <w:t xml:space="preserve">.</w:t>
      </w:r>
    </w:p>
    <w:p>
      <w:pPr>
        <w:pBdr>
          <w:bottom w:val="single" w:color="B28E5C" w:sz="6" w:space="2"/>
        </w:pBdr>
        <w:spacing w:after="120" w:before="300"/>
      </w:pPr>
      <w:r>
        <w:rPr>
          <w:rFonts w:ascii="Cabin" w:cs="Cabin" w:eastAsia="Cabin" w:hAnsi="Cabin"/>
          <w:b/>
          <w:bCs/>
          <w:color w:val="9D2148"/>
          <w:sz w:val="24"/>
          <w:szCs w:val="24"/>
        </w:rPr>
        <w:t xml:space="preserve">3. Desarrollo</w:t>
      </w:r>
    </w:p>
    <w:p>
      <w:pPr>
        <w:spacing w:after="140" w:line="276"/>
        <w:jc w:val="both"/>
      </w:pPr>
      <w:r>
        <w:rPr>
          <w:rFonts w:ascii="Roboto" w:cs="Roboto" w:eastAsia="Roboto" w:hAnsi="Roboto"/>
          <w:b/>
          <w:bCs/>
          <w:color w:val="1A1A1A"/>
          <w:sz w:val="20"/>
          <w:szCs w:val="20"/>
        </w:rPr>
        <w:t xml:space="preserve">3.1 Cotejo con las Gacetas Oficiales. </w:t>
      </w:r>
      <w:r>
        <w:rPr>
          <w:rFonts w:ascii="Roboto" w:cs="Roboto" w:eastAsia="Roboto" w:hAnsi="Roboto"/>
          <w:color w:val="1A1A1A"/>
          <w:sz w:val="20"/>
          <w:szCs w:val="20"/>
        </w:rPr>
        <w:t xml:space="preserve">De las 55 áreas cotejadas, 33 coinciden en todos los campos. En 22 hay algo que corregir: 15 fechas de decreto, 3 fechas de programa de manejo, 5 ligas que apuntan a una Gaceta que no contiene el instrumento, 2 programas de manejo registrados que no existen en la Gaceta citada, 1 superficie (Bosque de Chapultepec) y 1 inversión de categorías (Sierra de Santa Catarina). El cuadro completo, con el valor actual, lo que dice la Gaceta y la corrección solicitada, es el Anexo 1.</w:t>
      </w:r>
    </w:p>
    <w:p>
      <w:pPr>
        <w:spacing w:after="140" w:line="276"/>
        <w:jc w:val="both"/>
      </w:pPr>
      <w:r>
        <w:rPr>
          <w:rFonts w:ascii="Roboto" w:cs="Roboto" w:eastAsia="Roboto" w:hAnsi="Roboto"/>
          <w:color w:val="1A1A1A"/>
          <w:sz w:val="20"/>
          <w:szCs w:val="20"/>
        </w:rPr>
        <w:t xml:space="preserve">Tres hallazgos requieren decisión del área antes de corregir: el nombre oficial de «Volta y Kotch» (así aparece en decreto y programa; la hoja dice «Koch»); la inversión de etiquetas entre la Zona de Conservación Ecológica y la Zona Sujeta a Conservación Ecológica de Sierra de Santa Catarina, que obliga a intercambiar nombres en la hoja y en la cartografía; y el criterio de la columna de fecha de decreto cuando un área tiene declaratoria original y decreto modificatorio (Anexo 4).</w:t>
      </w:r>
    </w:p>
    <w:p>
      <w:pPr>
        <w:spacing w:after="140" w:line="276"/>
        <w:jc w:val="both"/>
      </w:pPr>
      <w:r>
        <w:rPr>
          <w:rFonts w:ascii="Roboto" w:cs="Roboto" w:eastAsia="Roboto" w:hAnsi="Roboto"/>
          <w:b/>
          <w:bCs/>
          <w:color w:val="1A1A1A"/>
          <w:sz w:val="20"/>
          <w:szCs w:val="20"/>
        </w:rPr>
        <w:t xml:space="preserve">3.2 Superficies truncadas. </w:t>
      </w:r>
      <w:r>
        <w:rPr>
          <w:rFonts w:ascii="Roboto" w:cs="Roboto" w:eastAsia="Roboto" w:hAnsi="Roboto"/>
          <w:color w:val="1A1A1A"/>
          <w:sz w:val="20"/>
          <w:szCs w:val="20"/>
        </w:rPr>
        <w:t xml:space="preserve">Once superficies se capturaron truncadas en lugar de redondeadas (por ejemplo, 22.870 ha se registró como 22.86). Ninguna altera el dato en la práctica; se recomienda corregirlas todas con un mismo criterio de redondeo a dos decimales (Anexo 3).</w:t>
      </w:r>
    </w:p>
    <w:p>
      <w:pPr>
        <w:spacing w:after="140" w:line="276"/>
        <w:jc w:val="both"/>
      </w:pPr>
      <w:r>
        <w:rPr>
          <w:rFonts w:ascii="Roboto" w:cs="Roboto" w:eastAsia="Roboto" w:hAnsi="Roboto"/>
          <w:b/>
          <w:bCs/>
          <w:color w:val="1A1A1A"/>
          <w:sz w:val="20"/>
          <w:szCs w:val="20"/>
        </w:rPr>
        <w:t xml:space="preserve">3.3 Documentos en Google Drive. </w:t>
      </w:r>
      <w:r>
        <w:rPr>
          <w:rFonts w:ascii="Roboto" w:cs="Roboto" w:eastAsia="Roboto" w:hAnsi="Roboto"/>
          <w:color w:val="1A1A1A"/>
          <w:sz w:val="20"/>
          <w:szCs w:val="20"/>
        </w:rPr>
        <w:t xml:space="preserve">Ninguna liga del inventario está rota: las 54 Gacetas responden y los 76 archivos de Drive existen. El problema es de permisos: 31 archivos —30 propiedad de la cuenta claraaop.16@gmail.com y 1 (programa de manejo de Vista Hermosa) de rm.cristian.sedema@gmail.com— no tienen «acceso general», de modo que a cualquier persona distinta del propietario le piden iniciar sesión o solicitar acceso. Afecta a 38 ligas en 35 áreas (Anexo 2). Solo el propietario puede corregirlo: en Drive, Compartir → Acceso general → «Cualquier persona con el enlace» → Lector; si los archivos cuelgan de una misma carpeta, basta aplicarlo una vez sobre la carpeta.</w:t>
      </w:r>
    </w:p>
    <w:p>
      <w:pPr>
        <w:spacing w:after="140" w:line="276"/>
        <w:jc w:val="both"/>
      </w:pPr>
      <w:r>
        <w:rPr>
          <w:rFonts w:ascii="Roboto" w:cs="Roboto" w:eastAsia="Roboto" w:hAnsi="Roboto"/>
          <w:b/>
          <w:bCs/>
          <w:color w:val="1A1A1A"/>
          <w:sz w:val="20"/>
          <w:szCs w:val="20"/>
        </w:rPr>
        <w:t xml:space="preserve">3.4 Lo que hace el tablero mientras tanto. </w:t>
      </w:r>
      <w:r>
        <w:rPr>
          <w:rFonts w:ascii="Roboto" w:cs="Roboto" w:eastAsia="Roboto" w:hAnsi="Roboto"/>
          <w:color w:val="1A1A1A"/>
          <w:sz w:val="20"/>
          <w:szCs w:val="20"/>
        </w:rPr>
        <w:t xml:space="preserve">El SIA conserva una copia de respaldo del inventario y valida al arrancar el invariante de 66 áreas, pero no corrige datos por su cuenta: las fechas, superficies y ligas que ve el personal son las de la hoja. Cada corrección que se haga en la hoja se refleja en el tablero de inmediato, sin intervención técnica adicional, salvo las dos que tocan cartografía (renombrar Volta y Kotch e intercambiar Sierra de Santa Catarina), que ejecuta la Oficina de la Secretaría una vez confirmadas.</w:t>
      </w:r>
    </w:p>
    <w:p>
      <w:pPr>
        <w:pBdr>
          <w:bottom w:val="single" w:color="B28E5C" w:sz="6" w:space="2"/>
        </w:pBdr>
        <w:spacing w:after="120" w:before="300"/>
      </w:pPr>
      <w:r>
        <w:rPr>
          <w:rFonts w:ascii="Cabin" w:cs="Cabin" w:eastAsia="Cabin" w:hAnsi="Cabin"/>
          <w:b/>
          <w:bCs/>
          <w:color w:val="9D2148"/>
          <w:sz w:val="24"/>
          <w:szCs w:val="24"/>
        </w:rPr>
        <w:t xml:space="preserve">4. Consideraciones finales</w:t>
      </w:r>
    </w:p>
    <w:p>
      <w:pPr>
        <w:spacing w:after="140" w:line="276"/>
        <w:jc w:val="both"/>
      </w:pPr>
      <w:r>
        <w:rPr>
          <w:rFonts w:ascii="Roboto" w:cs="Roboto" w:eastAsia="Roboto" w:hAnsi="Roboto"/>
          <w:b/>
          <w:bCs/>
          <w:color w:val="9D2148"/>
          <w:sz w:val="20"/>
          <w:szCs w:val="20"/>
        </w:rPr>
        <w:t xml:space="preserve">Primero. </w:t>
      </w:r>
      <w:r>
        <w:rPr>
          <w:rFonts w:ascii="Roboto" w:cs="Roboto" w:eastAsia="Roboto" w:hAnsi="Roboto"/>
          <w:color w:val="1A1A1A"/>
          <w:sz w:val="20"/>
          <w:szCs w:val="20"/>
        </w:rPr>
        <w:t xml:space="preserve">El área responsable del inventario aplicará en la hoja de cálculo las correcciones de fecha, superficie y liga del Anexo 1 que no requieren decisión (filas 1, 2, 4, 7, 8, 9, 14, 15, 19, 20 y 22), en un plazo de cinco días hábiles, e informará a la Oficina de la Secretaría al concluir.</w:t>
      </w:r>
    </w:p>
    <w:p>
      <w:pPr>
        <w:spacing w:after="140" w:line="276"/>
        <w:jc w:val="both"/>
      </w:pPr>
      <w:r>
        <w:rPr>
          <w:rFonts w:ascii="Roboto" w:cs="Roboto" w:eastAsia="Roboto" w:hAnsi="Roboto"/>
          <w:b/>
          <w:bCs/>
          <w:color w:val="9D2148"/>
          <w:sz w:val="20"/>
          <w:szCs w:val="20"/>
        </w:rPr>
        <w:t xml:space="preserve">Segundo. </w:t>
      </w:r>
      <w:r>
        <w:rPr>
          <w:rFonts w:ascii="Roboto" w:cs="Roboto" w:eastAsia="Roboto" w:hAnsi="Roboto"/>
          <w:color w:val="1A1A1A"/>
          <w:sz w:val="20"/>
          <w:szCs w:val="20"/>
        </w:rPr>
        <w:t xml:space="preserve">El área responsable localizará y enlazará las Gacetas faltantes (filas 3, 10, 11, 12, 16, 21 y 23 del Anexo 1) y confirmará si existe programa de manejo publicado para Anzaldo y Becerra Tepehuache, Sección La Loma (filas 17 y 18); de no existir, la columna programa_manejo pasará a «No».</w:t>
      </w:r>
    </w:p>
    <w:p>
      <w:pPr>
        <w:spacing w:after="140" w:line="276"/>
        <w:jc w:val="both"/>
      </w:pPr>
      <w:r>
        <w:rPr>
          <w:rFonts w:ascii="Roboto" w:cs="Roboto" w:eastAsia="Roboto" w:hAnsi="Roboto"/>
          <w:b/>
          <w:bCs/>
          <w:color w:val="9D2148"/>
          <w:sz w:val="20"/>
          <w:szCs w:val="20"/>
        </w:rPr>
        <w:t xml:space="preserve">Tercero. </w:t>
      </w:r>
      <w:r>
        <w:rPr>
          <w:rFonts w:ascii="Roboto" w:cs="Roboto" w:eastAsia="Roboto" w:hAnsi="Roboto"/>
          <w:color w:val="1A1A1A"/>
          <w:sz w:val="20"/>
          <w:szCs w:val="20"/>
        </w:rPr>
        <w:t xml:space="preserve">El área responsable definirá, por escrito, tres criterios: el nombre oficial de Volta y Kotch (fila 13), el intercambio de categorías de Sierra de Santa Catarina (fila 24) y la regla de la columna fecha_decreto ante decretos modificatorios (Anexo 4). Con la confirmación, la Oficina de la Secretaría actualizará la cartografía del tablero en la misma semana.</w:t>
      </w:r>
    </w:p>
    <w:p>
      <w:pPr>
        <w:spacing w:after="140" w:line="276"/>
        <w:jc w:val="both"/>
      </w:pPr>
      <w:r>
        <w:rPr>
          <w:rFonts w:ascii="Roboto" w:cs="Roboto" w:eastAsia="Roboto" w:hAnsi="Roboto"/>
          <w:b/>
          <w:bCs/>
          <w:color w:val="9D2148"/>
          <w:sz w:val="20"/>
          <w:szCs w:val="20"/>
        </w:rPr>
        <w:t xml:space="preserve">Cuarto. </w:t>
      </w:r>
      <w:r>
        <w:rPr>
          <w:rFonts w:ascii="Roboto" w:cs="Roboto" w:eastAsia="Roboto" w:hAnsi="Roboto"/>
          <w:color w:val="1A1A1A"/>
          <w:sz w:val="20"/>
          <w:szCs w:val="20"/>
        </w:rPr>
        <w:t xml:space="preserve">Los propietarios de los archivos de Drive del Anexo 2 abrirán el acceso general («Cualquier persona con el enlace», Lector), de preferencia sobre la carpeta que los contiene, y confirmarán a la Oficina de la Secretaría. Se recomienda que esa carpeta se traslade a la cuenta institucional que se designe como copropietaria del inventario.</w:t>
      </w:r>
    </w:p>
    <w:p>
      <w:pPr>
        <w:spacing w:after="140" w:line="276"/>
        <w:jc w:val="both"/>
      </w:pPr>
      <w:r>
        <w:rPr>
          <w:rFonts w:ascii="Roboto" w:cs="Roboto" w:eastAsia="Roboto" w:hAnsi="Roboto"/>
          <w:b/>
          <w:bCs/>
          <w:color w:val="9D2148"/>
          <w:sz w:val="20"/>
          <w:szCs w:val="20"/>
        </w:rPr>
        <w:t xml:space="preserve">Quinto. </w:t>
      </w:r>
      <w:r>
        <w:rPr>
          <w:rFonts w:ascii="Roboto" w:cs="Roboto" w:eastAsia="Roboto" w:hAnsi="Roboto"/>
          <w:color w:val="1A1A1A"/>
          <w:sz w:val="20"/>
          <w:szCs w:val="20"/>
        </w:rPr>
        <w:t xml:space="preserve">Concluidas las correcciones, la Oficina de la Secretaría repetirá el cotejo automatizado contra las Gacetas y la revisión de ligas, y reportará el cierre; las 11 áreas con instrumento federal se verificarán contra el Diario Oficial de la Federación en esa misma ronda.</w:t>
      </w:r>
    </w:p>
    <w:p>
      <w:r>
        <w:br w:type="page"/>
      </w:r>
    </w:p>
    <w:p>
      <w:pPr>
        <w:spacing w:after="200" w:before="0"/>
        <w:jc w:val="center"/>
      </w:pPr>
      <w:r>
        <w:rPr>
          <w:rFonts w:ascii="Cabin" w:cs="Cabin" w:eastAsia="Cabin" w:hAnsi="Cabin"/>
          <w:b/>
          <w:bCs/>
          <w:color w:val="9D2148"/>
          <w:sz w:val="24"/>
          <w:szCs w:val="24"/>
        </w:rPr>
        <w:t xml:space="preserve">ANEXO 1. Correcciones al inventario derivadas del cotejo con las Gacetas Oficiales</w:t>
      </w:r>
    </w:p>
    <w:p>
      <w:pPr>
        <w:spacing w:after="100" w:before="160" w:line="240"/>
      </w:pPr>
      <w:r>
        <w:rPr>
          <w:rFonts w:ascii="Roboto" w:cs="Roboto" w:eastAsia="Roboto" w:hAnsi="Roboto"/>
          <w:b/>
          <w:bCs/>
          <w:color w:val="9D2148"/>
          <w:sz w:val="19"/>
          <w:szCs w:val="19"/>
        </w:rPr>
        <w:t xml:space="preserve">Tabla 1. </w:t>
      </w:r>
      <w:r>
        <w:rPr>
          <w:rFonts w:ascii="Roboto" w:cs="Roboto" w:eastAsia="Roboto" w:hAnsi="Roboto"/>
          <w:color w:val="1A1A1A"/>
          <w:sz w:val="19"/>
          <w:szCs w:val="19"/>
        </w:rPr>
        <w:t xml:space="preserve">Inconsistencias detectadas y corrección solicitada, por área y campo de la hoja de cálculo</w:t>
      </w:r>
    </w:p>
    <w:tbl>
      <w:tblPr>
        <w:tblW w:type="dxa" w:w="9972"/>
        <w:tblBorders>
          <w:top w:val="single" w:color="D9D3C0" w:sz="4"/>
          <w:left w:val="single" w:color="D9D3C0" w:sz="4"/>
          <w:bottom w:val="single" w:color="D9D3C0" w:sz="4"/>
          <w:right w:val="single" w:color="D9D3C0" w:sz="4"/>
          <w:insideH w:val="single" w:color="D9D3C0" w:sz="4"/>
          <w:insideV w:val="single" w:color="D9D3C0" w:sz="4"/>
        </w:tblBorders>
      </w:tblPr>
      <w:tblGrid>
        <w:gridCol w:w="420"/>
        <w:gridCol w:w="1500"/>
        <w:gridCol w:w="1500"/>
        <w:gridCol w:w="1600"/>
        <w:gridCol w:w="2700"/>
        <w:gridCol w:w="2252"/>
      </w:tblGrid>
      <w:tr>
        <w:trPr>
          <w:tblHeader/>
        </w:trPr>
        <w:tc>
          <w:tcPr>
            <w:tcW w:type="dxa" w:w="420"/>
            <w:shd w:fill="9D2148" w:color="9D2148" w:val="clear"/>
            <w:tcMar>
              <w:top w:type="dxa" w:w="60"/>
              <w:left w:type="dxa" w:w="80"/>
              <w:bottom w:type="dxa" w:w="60"/>
              <w:right w:type="dxa" w:w="80"/>
            </w:tcMar>
            <w:vAlign w:val="center"/>
          </w:tcPr>
          <w:p>
            <w:r>
              <w:rPr>
                <w:rFonts w:ascii="Roboto" w:cs="Roboto" w:eastAsia="Roboto" w:hAnsi="Roboto"/>
                <w:b/>
                <w:bCs/>
                <w:color w:val="FFFFFF"/>
                <w:sz w:val="15"/>
                <w:szCs w:val="15"/>
              </w:rPr>
              <w:t xml:space="preserve">#</w:t>
            </w:r>
          </w:p>
        </w:tc>
        <w:tc>
          <w:tcPr>
            <w:tcW w:type="dxa" w:w="1500"/>
            <w:shd w:fill="9D2148" w:color="9D2148" w:val="clear"/>
            <w:tcMar>
              <w:top w:type="dxa" w:w="60"/>
              <w:left w:type="dxa" w:w="80"/>
              <w:bottom w:type="dxa" w:w="60"/>
              <w:right w:type="dxa" w:w="80"/>
            </w:tcMar>
            <w:vAlign w:val="center"/>
          </w:tcPr>
          <w:p>
            <w:r>
              <w:rPr>
                <w:rFonts w:ascii="Roboto" w:cs="Roboto" w:eastAsia="Roboto" w:hAnsi="Roboto"/>
                <w:b/>
                <w:bCs/>
                <w:color w:val="FFFFFF"/>
                <w:sz w:val="15"/>
                <w:szCs w:val="15"/>
              </w:rPr>
              <w:t xml:space="preserve">Área</w:t>
            </w:r>
          </w:p>
        </w:tc>
        <w:tc>
          <w:tcPr>
            <w:tcW w:type="dxa" w:w="1500"/>
            <w:shd w:fill="9D2148" w:color="9D2148" w:val="clear"/>
            <w:tcMar>
              <w:top w:type="dxa" w:w="60"/>
              <w:left w:type="dxa" w:w="80"/>
              <w:bottom w:type="dxa" w:w="60"/>
              <w:right w:type="dxa" w:w="80"/>
            </w:tcMar>
            <w:vAlign w:val="center"/>
          </w:tcPr>
          <w:p>
            <w:r>
              <w:rPr>
                <w:rFonts w:ascii="Roboto" w:cs="Roboto" w:eastAsia="Roboto" w:hAnsi="Roboto"/>
                <w:b/>
                <w:bCs/>
                <w:color w:val="FFFFFF"/>
                <w:sz w:val="15"/>
                <w:szCs w:val="15"/>
              </w:rPr>
              <w:t xml:space="preserve">Campo</w:t>
            </w:r>
          </w:p>
        </w:tc>
        <w:tc>
          <w:tcPr>
            <w:tcW w:type="dxa" w:w="1600"/>
            <w:shd w:fill="9D2148" w:color="9D2148" w:val="clear"/>
            <w:tcMar>
              <w:top w:type="dxa" w:w="60"/>
              <w:left w:type="dxa" w:w="80"/>
              <w:bottom w:type="dxa" w:w="60"/>
              <w:right w:type="dxa" w:w="80"/>
            </w:tcMar>
            <w:vAlign w:val="center"/>
          </w:tcPr>
          <w:p>
            <w:r>
              <w:rPr>
                <w:rFonts w:ascii="Roboto" w:cs="Roboto" w:eastAsia="Roboto" w:hAnsi="Roboto"/>
                <w:b/>
                <w:bCs/>
                <w:color w:val="FFFFFF"/>
                <w:sz w:val="15"/>
                <w:szCs w:val="15"/>
              </w:rPr>
              <w:t xml:space="preserve">La hoja dice</w:t>
            </w:r>
          </w:p>
        </w:tc>
        <w:tc>
          <w:tcPr>
            <w:tcW w:type="dxa" w:w="2700"/>
            <w:shd w:fill="9D2148" w:color="9D2148" w:val="clear"/>
            <w:tcMar>
              <w:top w:type="dxa" w:w="60"/>
              <w:left w:type="dxa" w:w="80"/>
              <w:bottom w:type="dxa" w:w="60"/>
              <w:right w:type="dxa" w:w="80"/>
            </w:tcMar>
            <w:vAlign w:val="center"/>
          </w:tcPr>
          <w:p>
            <w:r>
              <w:rPr>
                <w:rFonts w:ascii="Roboto" w:cs="Roboto" w:eastAsia="Roboto" w:hAnsi="Roboto"/>
                <w:b/>
                <w:bCs/>
                <w:color w:val="FFFFFF"/>
                <w:sz w:val="15"/>
                <w:szCs w:val="15"/>
              </w:rPr>
              <w:t xml:space="preserve">La Gaceta dice</w:t>
            </w:r>
          </w:p>
        </w:tc>
        <w:tc>
          <w:tcPr>
            <w:tcW w:type="dxa" w:w="2252"/>
            <w:shd w:fill="9D2148" w:color="9D2148" w:val="clear"/>
            <w:tcMar>
              <w:top w:type="dxa" w:w="60"/>
              <w:left w:type="dxa" w:w="80"/>
              <w:bottom w:type="dxa" w:w="60"/>
              <w:right w:type="dxa" w:w="80"/>
            </w:tcMar>
            <w:vAlign w:val="center"/>
          </w:tcPr>
          <w:p>
            <w:r>
              <w:rPr>
                <w:rFonts w:ascii="Roboto" w:cs="Roboto" w:eastAsia="Roboto" w:hAnsi="Roboto"/>
                <w:b/>
                <w:bCs/>
                <w:color w:val="FFFFFF"/>
                <w:sz w:val="15"/>
                <w:szCs w:val="15"/>
              </w:rPr>
              <w:t xml:space="preserve">Corrección solicitada</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Alameda del Sur</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05/07/2024</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GOCDMX 1373: 05/06/2024 (11.13 ha).</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05/06/2024</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Atzoyapan</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url_gaceta_decreto</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28/11/2011 · GODF 1233</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GODF 1233 no contiene el instrumento; el decreto está en GODF 1491 del 28/11/2012 (208,179.942 m² = 20.82 ha).</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28/11/2012 · liga a la GODF 1491 (archivo 50b59a2dbb95c.pdf)</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3</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Bezares y El Castillo</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url_gaceta_decreto</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28/11/2011 · GODF 1233</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GODF 1233 no lo contiene y no aparece en ninguna de las 54 Gacetas enlazadas.</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Localizar la Gaceta correcta (probablemente 2007–2008, misma tanda que Vista Hermosa, Río Becerra y La Diferencia).</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4</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Bosque de Chapultepec</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superficie</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866.01</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GOCDMX 1182 Bis, art. 1º: 866.37 ha (273.83 + 168.03 + 243.90 + 180.61).</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866.37</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5</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Bosque de Chapultepec</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31/08/2023</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GOCDMX 1182 Bis (31/08/2023) es decreto modificatorio; la declaratoria original es GODF 94 del 02/12/2003.</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Depende del criterio del Anexo 4: declaratoria (02/12/2003) o última modificación (31/08/2023).</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6</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Bosque de Chapultepec</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fecha_pm · url_gaceta_pm</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21/08/2024 · liga a GODF 137</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liga corresponde al PM de 2006 (GODF 137, 17/11/2006, 686.018 ha), no al de 2024.</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Sustituir por la liga del PM 2024 (GOCDMX del 21/08/2024) o corregir la fecha a 17/11/2006.</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7</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Cerro de la Estrella (local)</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fecha_pm</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06/04/2007</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GODF 62: 16/04/2007.</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16/04/2007</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8</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Cerro de Zacatepetl</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23/04/2003</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GODF 35 Bis: 29/04/2003 (31-93-39.53 ha, coincide).</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29/04/2003</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9</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Coyotera</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url_gaceta_decreto</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15/06/2022 · GOCDMX 873</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GOCDMX 873 no lo contiene; el decreto está en GODF 1250 del 21/12/2011 (106,210.853 m² = 10.62 ha, coincide).</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21/12/2011 · liga a la GODF 1250 (archivo 4ef15cdb50e4a.pdf)</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10</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Río Becerra Tepehuache</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url_gaceta_decreto</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15/06/2022 · GOCDMX 873</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GOCDMX 873 no lo contiene; su PM (GODF 1493) cita el decreto del 05/07/2007, modificado el 03/08/2007.</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05/07/2007 · localizar la Gaceta de esa fecha</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11</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Diferencia</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url_gaceta_decreto</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15/06/2012 · GODF 1374</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GODF 1374 no lo contiene; su PM (GODF 1494) cita el decreto del 05/07/2007, modificado el 29/05/2008.</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05/07/2007 · localizar la Gaceta</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12</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Vista Hermosa</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url_gaceta_decreto</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28/11/2012 · GODF 1491</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GODF 1491 no lo contiene; su PM (GODF 1495) cita el decreto del 05/07/2007 (3,212.046 m² = 0.32 ha, coincide).</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05/07/2007 · localizar la Gaceta</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13</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Volta y Koch</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url_gaceta_decreto · nombre</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15/06/2012 · GODF 1374 · «Koch»</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GODF 1374 no lo contiene; el decreto está en GODF 1491 del 28/11/2012 (18,214.955 m² = 1.82 ha, coincide). El nombre oficial en decreto y PM es «Volta y Kotch».</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28/11/2012 · liga a la GODF 1491 · confirmar si se corrige el nombre a «Volta y Kotch» (la Oficina de la Secretaría renombra la geometría).</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14</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Pachuquilla</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01/12/2012</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GODF del 01/12/2011 (205,854.14 m²); el PM lo confirma.</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01/12/2011</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15</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Santa Rita</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01/12/2012</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GODF del 01/12/2011 (30,312.54 m²); el PM lo confirma.</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01/12/2011</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16</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Tecamachalco</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 ↔ fecha_pm</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decreto 23/12/2013 · PM 23/12/2011</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El decreto está en GODF 1252 del 23/12/2011 (118,279 m² = 11.83 ha, coincide). La Gaceta 1761 del 23/12/2013 enlazada como decreto no menciona Tecamachalco.</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decreto 23/12/2011 (liga a la GODF 1252, archivo 4ef403bd043a3.pdf) · verificar fecha y liga del PM</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17</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Anzaldo</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programa_manejo · fecha_pm</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Sí · 21/12/2011</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GODF 1250 (21/12/2011) trae solo el decreto; la misma liga se usó para decreto y PM.</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Si no existe otro PM publicado: programa_manejo = No</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18</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Becerra Tepehuache, Sección La Loma</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programa_manejo · fecha_pm</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Sí · 28/11/2012</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GODF 1491 (28/11/2012) trae solo el decreto (1,223,804.746 m² = 122.38 ha, coincide); no hay PM ahí.</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Si no existe otro PM publicado: programa_manejo = No</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19</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Mimosas</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url_gaceta_pm</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liga a GODF 1493 (30/11/2012)</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El PM está en GODF 1494 del 03/12/2012 (la fecha del Sheet sí es 03/12/2012).</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liga a la GODF 1494 (archivo 50bc21ee521c2.pdf)</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20</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Ecoguardas</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20/11/2006</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GODF 141: 29/11/2006 (132-63-00 ha, coincide).</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29/11/2006</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21</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Ejidos de Xochimilco y San Gregorio Atlapulco</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url_gaceta_pm (y fecha)</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26/02/2018 · liga a GOCDMX 479 (26/12/2018)</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Gaceta enlazada no menciona Xochimilco ni Atlapulco; el decreto enlazado (GODF 142, 04/12/2006) tampoco contiene el texto (posible ejemplar escaneado).</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Verificar la fecha del PM y reponer ambas ligas</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22</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Loreto y Peña Pobre</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fecha_decreto</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04/06/2024</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GOCDMX 1337: 15/04/2024 (21,253.50 m² = 2.13 ha).</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15/04/2024</w:t>
            </w:r>
          </w:p>
        </w:tc>
      </w:tr>
      <w:tr>
        <w:tc>
          <w:tcPr>
            <w:tcW w:type="dxa" w:w="42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23</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Tempiluli</w:t>
            </w:r>
          </w:p>
        </w:tc>
        <w:tc>
          <w:tcPr>
            <w:tcW w:type="dxa" w:w="15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url_gaceta_decreto</w:t>
            </w:r>
          </w:p>
        </w:tc>
        <w:tc>
          <w:tcPr>
            <w:tcW w:type="dxa" w:w="16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GODF 1158 (11/08/2011)</w:t>
            </w:r>
          </w:p>
        </w:tc>
        <w:tc>
          <w:tcPr>
            <w:tcW w:type="dxa" w:w="27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 Gaceta enlazada no menciona Tempiluli (el PM de 2023 sí es correcto).</w:t>
            </w:r>
          </w:p>
        </w:tc>
        <w:tc>
          <w:tcPr>
            <w:tcW w:type="dxa" w:w="225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Localizar la Gaceta del decreto (¿1158 Bis?)</w:t>
            </w:r>
          </w:p>
        </w:tc>
      </w:tr>
      <w:tr>
        <w:tc>
          <w:tcPr>
            <w:tcW w:type="dxa" w:w="42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24</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Sierra de Santa Catarina (ZCE) / (ZSCE)</w:t>
            </w:r>
          </w:p>
        </w:tc>
        <w:tc>
          <w:tcPr>
            <w:tcW w:type="dxa" w:w="15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categoría ↔ superficie</w:t>
            </w:r>
          </w:p>
        </w:tc>
        <w:tc>
          <w:tcPr>
            <w:tcW w:type="dxa" w:w="16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ZCE = 528 ha · ZSCE = 220.55 ha</w:t>
            </w:r>
          </w:p>
        </w:tc>
        <w:tc>
          <w:tcPr>
            <w:tcW w:type="dxa" w:w="27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GODF 67 (21/08/2003) y PM (GODF 98, 19/08/2005): la ZSCE, decretada en 1994 con 576-33-02 ha, «queda comprendida en 528-00-00 ha»; la ZCE nueva es de 220-55-00 ha en siete polígonos.</w:t>
            </w:r>
          </w:p>
        </w:tc>
        <w:tc>
          <w:tcPr>
            <w:tcW w:type="dxa" w:w="225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5"/>
                <w:szCs w:val="15"/>
              </w:rPr>
              <w:t xml:space="preserve">Las etiquetas están invertidas: intercambiar los nombres en el Sheet. La Oficina de la Secretaría intercambia las geometrías en cuanto se confirme.</w:t>
            </w:r>
          </w:p>
        </w:tc>
      </w:tr>
    </w:tbl>
    <w:p>
      <w:pPr>
        <w:spacing w:after="240" w:before="70" w:line="220"/>
      </w:pPr>
      <w:r>
        <w:rPr>
          <w:rFonts w:ascii="Roboto" w:cs="Roboto" w:eastAsia="Roboto" w:hAnsi="Roboto"/>
          <w:i/>
          <w:iCs/>
          <w:color w:val="55585A"/>
          <w:sz w:val="16"/>
          <w:szCs w:val="16"/>
        </w:rPr>
        <w:t xml:space="preserve">Fuente: Oficina de la Secretaría, cotejo del texto de las 54 Gacetas Oficiales enlazadas en el inventario, 13 de septiembre de 2026. Nota: GODF = Gaceta Oficial del Distrito Federal; GOCDMX = Gaceta Oficial de la Ciudad de México; PM = programa de manejo. Los nombres de archivo corresponden al portal de la Consejería Jurídica (data.consejeria.cdmx.gob.mx).</w:t>
      </w:r>
    </w:p>
    <w:p>
      <w:pPr>
        <w:spacing w:after="140" w:line="276"/>
        <w:jc w:val="both"/>
      </w:pPr>
      <w:r>
        <w:rPr>
          <w:rFonts w:ascii="Roboto" w:cs="Roboto" w:eastAsia="Roboto" w:hAnsi="Roboto"/>
          <w:color w:val="1A1A1A"/>
          <w:sz w:val="20"/>
          <w:szCs w:val="20"/>
        </w:rPr>
        <w:t xml:space="preserve">Las filas 3, 10, 11, 12, 16, 21 y 23 no se resuelven con una captura: exigen localizar el ejemplar correcto de la Gaceta. Las filas 13 y 24 modifican nombres que también existen en la cartografía y por eso se ejecutan en dos pasos: primero la hoja, después el tablero.</w:t>
      </w:r>
    </w:p>
    <w:p>
      <w:r>
        <w:br w:type="page"/>
      </w:r>
    </w:p>
    <w:p>
      <w:pPr>
        <w:spacing w:after="200" w:before="0"/>
        <w:jc w:val="center"/>
      </w:pPr>
      <w:r>
        <w:rPr>
          <w:rFonts w:ascii="Cabin" w:cs="Cabin" w:eastAsia="Cabin" w:hAnsi="Cabin"/>
          <w:b/>
          <w:bCs/>
          <w:color w:val="9D2148"/>
          <w:sz w:val="24"/>
          <w:szCs w:val="24"/>
        </w:rPr>
        <w:t xml:space="preserve">ANEXO 2. Documentos de Google Drive sin acceso público</w:t>
      </w:r>
    </w:p>
    <w:p>
      <w:pPr>
        <w:spacing w:after="100" w:before="160" w:line="240"/>
      </w:pPr>
      <w:r>
        <w:rPr>
          <w:rFonts w:ascii="Roboto" w:cs="Roboto" w:eastAsia="Roboto" w:hAnsi="Roboto"/>
          <w:b/>
          <w:bCs/>
          <w:color w:val="9D2148"/>
          <w:sz w:val="19"/>
          <w:szCs w:val="19"/>
        </w:rPr>
        <w:t xml:space="preserve">Tabla 2. </w:t>
      </w:r>
      <w:r>
        <w:rPr>
          <w:rFonts w:ascii="Roboto" w:cs="Roboto" w:eastAsia="Roboto" w:hAnsi="Roboto"/>
          <w:color w:val="1A1A1A"/>
          <w:sz w:val="19"/>
          <w:szCs w:val="19"/>
        </w:rPr>
        <w:t xml:space="preserve">Archivos enlazados en el inventario que hoy piden iniciar sesión a cualquier persona distinta del propietario</w:t>
      </w:r>
    </w:p>
    <w:tbl>
      <w:tblPr>
        <w:tblW w:type="dxa" w:w="9972"/>
        <w:tblBorders>
          <w:top w:val="single" w:color="D9D3C0" w:sz="4"/>
          <w:left w:val="single" w:color="D9D3C0" w:sz="4"/>
          <w:bottom w:val="single" w:color="D9D3C0" w:sz="4"/>
          <w:right w:val="single" w:color="D9D3C0" w:sz="4"/>
          <w:insideH w:val="single" w:color="D9D3C0" w:sz="4"/>
          <w:insideV w:val="single" w:color="D9D3C0" w:sz="4"/>
        </w:tblBorders>
      </w:tblPr>
      <w:tblGrid>
        <w:gridCol w:w="5400"/>
        <w:gridCol w:w="4572"/>
      </w:tblGrid>
      <w:tr>
        <w:trPr>
          <w:tblHeader/>
        </w:trPr>
        <w:tc>
          <w:tcPr>
            <w:tcW w:type="dxa" w:w="5400"/>
            <w:shd w:fill="9D2148" w:color="9D2148" w:val="clear"/>
            <w:tcMar>
              <w:top w:type="dxa" w:w="60"/>
              <w:left w:type="dxa" w:w="80"/>
              <w:bottom w:type="dxa" w:w="60"/>
              <w:right w:type="dxa" w:w="80"/>
            </w:tcMar>
            <w:vAlign w:val="center"/>
          </w:tcPr>
          <w:p>
            <w:r>
              <w:rPr>
                <w:rFonts w:ascii="Roboto" w:cs="Roboto" w:eastAsia="Roboto" w:hAnsi="Roboto"/>
                <w:b/>
                <w:bCs/>
                <w:color w:val="FFFFFF"/>
                <w:sz w:val="17"/>
                <w:szCs w:val="17"/>
              </w:rPr>
              <w:t xml:space="preserve">Área</w:t>
            </w:r>
          </w:p>
        </w:tc>
        <w:tc>
          <w:tcPr>
            <w:tcW w:type="dxa" w:w="4572"/>
            <w:shd w:fill="9D2148" w:color="9D2148" w:val="clear"/>
            <w:tcMar>
              <w:top w:type="dxa" w:w="60"/>
              <w:left w:type="dxa" w:w="80"/>
              <w:bottom w:type="dxa" w:w="60"/>
              <w:right w:type="dxa" w:w="80"/>
            </w:tcMar>
            <w:vAlign w:val="center"/>
          </w:tcPr>
          <w:p>
            <w:r>
              <w:rPr>
                <w:rFonts w:ascii="Roboto" w:cs="Roboto" w:eastAsia="Roboto" w:hAnsi="Roboto"/>
                <w:b/>
                <w:bCs/>
                <w:color w:val="FFFFFF"/>
                <w:sz w:val="17"/>
                <w:szCs w:val="17"/>
              </w:rPr>
              <w:t xml:space="preserve">Documento afectado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Alameda del Sur</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Bosque de Chapultepec (1a, 2a, 3a y 4a secciones)</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 · 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Bosque de Nativitas</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Bosque de San Luis Tlaxialtemalco</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Bosque de Tláhuac</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Canal Nacional</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 · 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Cerro de Zacatepetl</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Cerro de la Estrella (local)</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Del Moral</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Echánove</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El Zapote</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Gran Canal (Ave Fénix)</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Guadalupe</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Hueyetlaco</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Jalalpa</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Jardín López Velarde</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La Diferencia</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Las Margaritas</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Loreto y Peña Pobre</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Magdalena Eslava</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Milpa Vieja</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Mimosas</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Mixcoac</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Pachuquilla</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Parque Cuitláhuac Sur y Norte</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Parque Lineal Vicente Guerrero</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Río Becerra Tepehuache</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San Borja</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San Juan de Aragón</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Santa Rita</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Tarango (Puerta Grande y Puerta Colorado)</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Tecamachalco</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Texcalatlaco</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w:t>
            </w:r>
          </w:p>
        </w:tc>
      </w:tr>
      <w:tr>
        <w:tc>
          <w:tcPr>
            <w:tcW w:type="dxa" w:w="5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Vista Hermosa</w:t>
            </w:r>
          </w:p>
        </w:tc>
        <w:tc>
          <w:tcPr>
            <w:tcW w:type="dxa" w:w="4572"/>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Decreto · Programa de manejo</w:t>
            </w:r>
          </w:p>
        </w:tc>
      </w:tr>
      <w:tr>
        <w:tc>
          <w:tcPr>
            <w:tcW w:type="dxa" w:w="5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Volta y Koch</w:t>
            </w:r>
          </w:p>
        </w:tc>
        <w:tc>
          <w:tcPr>
            <w:tcW w:type="dxa" w:w="4572"/>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Programa de manejo</w:t>
            </w:r>
          </w:p>
        </w:tc>
      </w:tr>
    </w:tbl>
    <w:p>
      <w:pPr>
        <w:spacing w:after="240" w:before="70" w:line="220"/>
      </w:pPr>
      <w:r>
        <w:rPr>
          <w:rFonts w:ascii="Roboto" w:cs="Roboto" w:eastAsia="Roboto" w:hAnsi="Roboto"/>
          <w:i/>
          <w:iCs/>
          <w:color w:val="55585A"/>
          <w:sz w:val="16"/>
          <w:szCs w:val="16"/>
        </w:rPr>
        <w:t xml:space="preserve">Fuente: Oficina de la Secretaría, revisión de las 182 ligas del inventario con y sin credenciales, 13 de septiembre de 2026. Nota: 30 archivos son propiedad de claraaop.16@gmail.com y 1 (programa de manejo de Vista Hermosa) de rm.cristian.sedema@gmail.com. Ningún archivo devolvió error: todos existen.</w:t>
      </w:r>
    </w:p>
    <w:p>
      <w:pPr>
        <w:spacing w:after="140" w:line="276"/>
        <w:jc w:val="both"/>
      </w:pPr>
      <w:r>
        <w:rPr>
          <w:rFonts w:ascii="Roboto" w:cs="Roboto" w:eastAsia="Roboto" w:hAnsi="Roboto"/>
          <w:color w:val="1A1A1A"/>
          <w:sz w:val="20"/>
          <w:szCs w:val="20"/>
        </w:rPr>
        <w:t xml:space="preserve">La corrección es una sola acción por archivo o por carpeta: Compartir → Acceso general → «Cualquier persona con el enlace» → Lector. Aplicada sobre la carpeta, los archivos heredan el permiso y quedan cubiertos los que se agreguen después.</w:t>
      </w:r>
    </w:p>
    <w:p>
      <w:r>
        <w:br w:type="page"/>
      </w:r>
    </w:p>
    <w:p>
      <w:pPr>
        <w:spacing w:after="200" w:before="0"/>
        <w:jc w:val="center"/>
      </w:pPr>
      <w:r>
        <w:rPr>
          <w:rFonts w:ascii="Cabin" w:cs="Cabin" w:eastAsia="Cabin" w:hAnsi="Cabin"/>
          <w:b/>
          <w:bCs/>
          <w:color w:val="9D2148"/>
          <w:sz w:val="24"/>
          <w:szCs w:val="24"/>
        </w:rPr>
        <w:t xml:space="preserve">ANEXO 3. Superficies capturadas con truncamiento</w:t>
      </w:r>
    </w:p>
    <w:p>
      <w:pPr>
        <w:spacing w:after="100" w:before="160" w:line="240"/>
      </w:pPr>
      <w:r>
        <w:rPr>
          <w:rFonts w:ascii="Roboto" w:cs="Roboto" w:eastAsia="Roboto" w:hAnsi="Roboto"/>
          <w:b/>
          <w:bCs/>
          <w:color w:val="9D2148"/>
          <w:sz w:val="19"/>
          <w:szCs w:val="19"/>
        </w:rPr>
        <w:t xml:space="preserve">Tabla 3. </w:t>
      </w:r>
      <w:r>
        <w:rPr>
          <w:rFonts w:ascii="Roboto" w:cs="Roboto" w:eastAsia="Roboto" w:hAnsi="Roboto"/>
          <w:color w:val="1A1A1A"/>
          <w:sz w:val="19"/>
          <w:szCs w:val="19"/>
        </w:rPr>
        <w:t xml:space="preserve">Superficies del inventario truncadas en lugar de redondeadas (hectáreas)</w:t>
      </w:r>
    </w:p>
    <w:tbl>
      <w:tblPr>
        <w:tblW w:type="dxa" w:w="9972"/>
        <w:tblBorders>
          <w:top w:val="single" w:color="D9D3C0" w:sz="4"/>
          <w:left w:val="single" w:color="D9D3C0" w:sz="4"/>
          <w:bottom w:val="single" w:color="D9D3C0" w:sz="4"/>
          <w:right w:val="single" w:color="D9D3C0" w:sz="4"/>
          <w:insideH w:val="single" w:color="D9D3C0" w:sz="4"/>
          <w:insideV w:val="single" w:color="D9D3C0" w:sz="4"/>
        </w:tblBorders>
      </w:tblPr>
      <w:tblGrid>
        <w:gridCol w:w="4400"/>
        <w:gridCol w:w="2786"/>
        <w:gridCol w:w="2786"/>
      </w:tblGrid>
      <w:tr>
        <w:trPr>
          <w:tblHeader/>
        </w:trPr>
        <w:tc>
          <w:tcPr>
            <w:tcW w:type="dxa" w:w="4400"/>
            <w:shd w:fill="9D2148" w:color="9D2148" w:val="clear"/>
            <w:tcMar>
              <w:top w:type="dxa" w:w="60"/>
              <w:left w:type="dxa" w:w="80"/>
              <w:bottom w:type="dxa" w:w="60"/>
              <w:right w:type="dxa" w:w="80"/>
            </w:tcMar>
            <w:vAlign w:val="center"/>
          </w:tcPr>
          <w:p>
            <w:r>
              <w:rPr>
                <w:rFonts w:ascii="Roboto" w:cs="Roboto" w:eastAsia="Roboto" w:hAnsi="Roboto"/>
                <w:b/>
                <w:bCs/>
                <w:color w:val="FFFFFF"/>
                <w:sz w:val="17"/>
                <w:szCs w:val="17"/>
              </w:rPr>
              <w:t xml:space="preserve">Área</w:t>
            </w:r>
          </w:p>
        </w:tc>
        <w:tc>
          <w:tcPr>
            <w:tcW w:type="dxa" w:w="2786"/>
            <w:shd w:fill="9D2148" w:color="9D2148" w:val="clear"/>
            <w:tcMar>
              <w:top w:type="dxa" w:w="60"/>
              <w:left w:type="dxa" w:w="80"/>
              <w:bottom w:type="dxa" w:w="60"/>
              <w:right w:type="dxa" w:w="80"/>
            </w:tcMar>
            <w:vAlign w:val="center"/>
          </w:tcPr>
          <w:p>
            <w:r>
              <w:rPr>
                <w:rFonts w:ascii="Roboto" w:cs="Roboto" w:eastAsia="Roboto" w:hAnsi="Roboto"/>
                <w:b/>
                <w:bCs/>
                <w:color w:val="FFFFFF"/>
                <w:sz w:val="17"/>
                <w:szCs w:val="17"/>
              </w:rPr>
              <w:t xml:space="preserve">Superficie en la Gaceta</w:t>
            </w:r>
          </w:p>
        </w:tc>
        <w:tc>
          <w:tcPr>
            <w:tcW w:type="dxa" w:w="2786"/>
            <w:shd w:fill="9D2148" w:color="9D2148" w:val="clear"/>
            <w:tcMar>
              <w:top w:type="dxa" w:w="60"/>
              <w:left w:type="dxa" w:w="80"/>
              <w:bottom w:type="dxa" w:w="60"/>
              <w:right w:type="dxa" w:w="80"/>
            </w:tcMar>
            <w:vAlign w:val="center"/>
          </w:tcPr>
          <w:p>
            <w:r>
              <w:rPr>
                <w:rFonts w:ascii="Roboto" w:cs="Roboto" w:eastAsia="Roboto" w:hAnsi="Roboto"/>
                <w:b/>
                <w:bCs/>
                <w:color w:val="FFFFFF"/>
                <w:sz w:val="17"/>
                <w:szCs w:val="17"/>
              </w:rPr>
              <w:t xml:space="preserve">Superficie en la hoja</w:t>
            </w:r>
          </w:p>
        </w:tc>
      </w:tr>
      <w:tr>
        <w:tc>
          <w:tcPr>
            <w:tcW w:type="dxa" w:w="4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Del Moral</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22.870</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22.86</w:t>
            </w:r>
          </w:p>
        </w:tc>
      </w:tr>
      <w:tr>
        <w:tc>
          <w:tcPr>
            <w:tcW w:type="dxa" w:w="4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Guadalupe</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74.407</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74.4</w:t>
            </w:r>
          </w:p>
        </w:tc>
      </w:tr>
      <w:tr>
        <w:tc>
          <w:tcPr>
            <w:tcW w:type="dxa" w:w="4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Mixcoac</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84.706</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84.7</w:t>
            </w:r>
          </w:p>
        </w:tc>
      </w:tr>
      <w:tr>
        <w:tc>
          <w:tcPr>
            <w:tcW w:type="dxa" w:w="4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Hueyetlaco</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7.718</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7.71</w:t>
            </w:r>
          </w:p>
        </w:tc>
      </w:tr>
      <w:tr>
        <w:tc>
          <w:tcPr>
            <w:tcW w:type="dxa" w:w="4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Las Margaritas</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4.570</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4.56</w:t>
            </w:r>
          </w:p>
        </w:tc>
      </w:tr>
      <w:tr>
        <w:tc>
          <w:tcPr>
            <w:tcW w:type="dxa" w:w="4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Milpa Vieja</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30.889</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30.88</w:t>
            </w:r>
          </w:p>
        </w:tc>
      </w:tr>
      <w:tr>
        <w:tc>
          <w:tcPr>
            <w:tcW w:type="dxa" w:w="4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Pachuquilla</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20.585</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20.58</w:t>
            </w:r>
          </w:p>
        </w:tc>
      </w:tr>
      <w:tr>
        <w:tc>
          <w:tcPr>
            <w:tcW w:type="dxa" w:w="4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Tarango</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267.189</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267.18</w:t>
            </w:r>
          </w:p>
        </w:tc>
      </w:tr>
      <w:tr>
        <w:tc>
          <w:tcPr>
            <w:tcW w:type="dxa" w:w="4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San Juan de Aragón</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160.186</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160.18</w:t>
            </w:r>
          </w:p>
        </w:tc>
      </w:tr>
      <w:tr>
        <w:tc>
          <w:tcPr>
            <w:tcW w:type="dxa" w:w="4400"/>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Loreto y Peña Pobre</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2.125</w:t>
            </w:r>
          </w:p>
        </w:tc>
        <w:tc>
          <w:tcPr>
            <w:tcW w:type="dxa" w:w="2786"/>
            <w:shd w:fill="F7F1F3" w:color="F7F1F3"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2.12</w:t>
            </w:r>
          </w:p>
        </w:tc>
      </w:tr>
      <w:tr>
        <w:tc>
          <w:tcPr>
            <w:tcW w:type="dxa" w:w="4400"/>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Bosque de Tlalpan</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252.868</w:t>
            </w:r>
          </w:p>
        </w:tc>
        <w:tc>
          <w:tcPr>
            <w:tcW w:type="dxa" w:w="2786"/>
            <w:shd w:fill="FFFFFF" w:color="FFFFFF" w:val="clear"/>
            <w:tcMar>
              <w:top w:type="dxa" w:w="50"/>
              <w:left w:type="dxa" w:w="80"/>
              <w:bottom w:type="dxa" w:w="50"/>
              <w:right w:type="dxa" w:w="80"/>
            </w:tcMar>
            <w:vAlign w:val="top"/>
          </w:tcPr>
          <w:p>
            <w:pPr>
              <w:spacing w:after="0" w:line="240"/>
            </w:pPr>
            <w:r>
              <w:rPr>
                <w:rFonts w:ascii="Roboto" w:cs="Roboto" w:eastAsia="Roboto" w:hAnsi="Roboto"/>
                <w:color w:val="1A1A1A"/>
                <w:sz w:val="17"/>
                <w:szCs w:val="17"/>
              </w:rPr>
              <w:t xml:space="preserve">252.86</w:t>
            </w:r>
          </w:p>
        </w:tc>
      </w:tr>
    </w:tbl>
    <w:p>
      <w:pPr>
        <w:spacing w:after="240" w:before="70" w:line="220"/>
      </w:pPr>
      <w:r>
        <w:rPr>
          <w:rFonts w:ascii="Roboto" w:cs="Roboto" w:eastAsia="Roboto" w:hAnsi="Roboto"/>
          <w:i/>
          <w:iCs/>
          <w:color w:val="55585A"/>
          <w:sz w:val="16"/>
          <w:szCs w:val="16"/>
        </w:rPr>
        <w:t xml:space="preserve">Fuente: Oficina de la Secretaría, 13 de septiembre de 2026. Nota: la diferencia máxima es de una centésima de hectárea; ninguna altera la lectura del dato.</w:t>
      </w:r>
    </w:p>
    <w:p>
      <w:pPr>
        <w:spacing w:after="140" w:line="276"/>
        <w:jc w:val="both"/>
      </w:pPr>
      <w:r>
        <w:rPr>
          <w:rFonts w:ascii="Roboto" w:cs="Roboto" w:eastAsia="Roboto" w:hAnsi="Roboto"/>
          <w:color w:val="1A1A1A"/>
          <w:sz w:val="20"/>
          <w:szCs w:val="20"/>
        </w:rPr>
        <w:t xml:space="preserve">Si se decide corregir, conviene hacerlo en todas las filas con el mismo criterio (redondeo a dos decimales) para que la columna sea homogénea.</w:t>
      </w:r>
    </w:p>
    <w:p>
      <w:r>
        <w:br w:type="page"/>
      </w:r>
    </w:p>
    <w:p>
      <w:pPr>
        <w:spacing w:after="200" w:before="0"/>
        <w:jc w:val="center"/>
      </w:pPr>
      <w:r>
        <w:rPr>
          <w:rFonts w:ascii="Cabin" w:cs="Cabin" w:eastAsia="Cabin" w:hAnsi="Cabin"/>
          <w:b/>
          <w:bCs/>
          <w:color w:val="9D2148"/>
          <w:sz w:val="24"/>
          <w:szCs w:val="24"/>
        </w:rPr>
        <w:t xml:space="preserve">ANEXO 4. Criterio de la columna fecha_decreto</w:t>
      </w:r>
    </w:p>
    <w:p>
      <w:pPr>
        <w:spacing w:after="140" w:line="276"/>
        <w:jc w:val="both"/>
      </w:pPr>
      <w:r>
        <w:rPr>
          <w:rFonts w:ascii="Roboto" w:cs="Roboto" w:eastAsia="Roboto" w:hAnsi="Roboto"/>
          <w:color w:val="1A1A1A"/>
          <w:sz w:val="20"/>
          <w:szCs w:val="20"/>
        </w:rPr>
        <w:t xml:space="preserve">Cinco áreas tienen declaratoria original y decreto modificatorio posterior: Bosque de Chapultepec (2003 y 2023), Sierra de Guadalupe (1990 y 2002), Sierra de Santa Catarina ZSCE (1994 y 2003), Río Becerra Tepehuache (julio y agosto de 2007) y La Diferencia (2007 y 2008). La hoja registra unas veces la fecha original y otras la de la modificación.</w:t>
      </w:r>
    </w:p>
    <w:p>
      <w:pPr>
        <w:spacing w:after="140" w:line="276"/>
        <w:jc w:val="both"/>
      </w:pPr>
      <w:r>
        <w:rPr>
          <w:rFonts w:ascii="Roboto" w:cs="Roboto" w:eastAsia="Roboto" w:hAnsi="Roboto"/>
          <w:color w:val="1A1A1A"/>
          <w:sz w:val="20"/>
          <w:szCs w:val="20"/>
        </w:rPr>
        <w:t xml:space="preserve">Se propone que fecha_decreto registre siempre la declaratoria original y que se agregue la columna fecha_modificacion para la última reforma; el tablero mostraría ambas fechas en la ficha. Si el área prefiere una sola fecha, debe ser la de la declaratoria original, que es la que da origen al régimen de protección.</w:t>
      </w:r>
    </w:p>
    <w:sectPr>
      <w:headerReference w:type="default" r:id="rId7"/>
      <w:headerReference w:type="first" r:id="rId8"/>
      <w:footerReference w:type="default" r:id="rId9"/>
      <w:footerReference w:type="first" r:id="rId10"/>
      <w:pgSz w:w="12240" w:h="15840"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8E5C" w:sz="8" w:space="1"/>
      </w:pBdr>
      <w:spacing w:after="60" w:before="0"/>
    </w:pPr>
    <w:r>
      <w:rPr>
        <w:sz w:val="2"/>
        <w:szCs w:val="2"/>
      </w:rPr>
      <w:t xml:space="preserve"/>
    </w:r>
  </w:p>
  <w:p>
    <w:pPr>
      <w:jc w:val="center"/>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instrText xml:space="preserve">PAGE</w:instrText>
      <w:fldChar w:fldCharType="separate"/>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8E5C" w:sz="8" w:space="1"/>
      </w:pBdr>
      <w:spacing w:after="60" w:before="0"/>
    </w:pPr>
    <w:r>
      <w:rPr>
        <w:sz w:val="2"/>
        <w:szCs w:val="2"/>
      </w:rPr>
      <w:t xml:space="preserve"/>
    </w:r>
  </w:p>
  <w:p>
    <w:pPr>
      <w:jc w:val="center"/>
    </w:pPr>
    <w:r>
      <w:rPr>
        <w:rFonts w:ascii="Roboto" w:cs="Roboto" w:eastAsia="Roboto" w:hAnsi="Roboto"/>
        <w:color w:val="55585A"/>
        <w:sz w:val="16"/>
        <w:szCs w:val="16"/>
      </w:rPr>
      <w:t xml:space="preserve">Página </w:t>
    </w:r>
    <w:r>
      <w:rPr>
        <w:rFonts w:ascii="Roboto" w:cs="Roboto" w:eastAsia="Roboto" w:hAnsi="Roboto"/>
        <w:color w:val="55585A"/>
        <w:sz w:val="16"/>
        <w:szCs w:val="16"/>
      </w:rPr>
      <w:fldChar w:fldCharType="begin"/>
      <w:instrText xml:space="preserve">PAGE</w:instrText>
      <w:fldChar w:fldCharType="separate"/>
      <w:fldChar w:fldCharType="end"/>
    </w:r>
    <w:r>
      <w:rPr>
        <w:rFonts w:ascii="Roboto" w:cs="Roboto" w:eastAsia="Roboto" w:hAnsi="Roboto"/>
        <w:color w:val="55585A"/>
        <w:sz w:val="16"/>
        <w:szCs w:val="16"/>
      </w:rPr>
      <w:t xml:space="preserve"> de </w:t>
    </w:r>
    <w:r>
      <w:rPr>
        <w:rFonts w:ascii="Roboto" w:cs="Roboto" w:eastAsia="Roboto" w:hAnsi="Roboto"/>
        <w:color w:val="5558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Roboto" w:cs="Roboto" w:eastAsia="Roboto" w:hAnsi="Roboto"/>
          <w:i/>
          <w:iCs/>
          <w:color w:val="55585A"/>
          <w:sz w:val="16"/>
          <w:szCs w:val="16"/>
        </w:rPr>
        <w:t xml:space="preserve"> Cotejo realizado sobre los ejemplares en PDF del portal de la Consejería Jurídica y de Servicios Legales (data.consejeria.cdmx.gob.mx) enlazados en la propia hoja; el ejemplar de Tepepolco proviene de proyectos.sedema.cdmx.gob.mx. Los fundamentos normativos específicos [Art. __, fracc. __] se incorporarán al oficio de trámite una vez verificado el texto vigente.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2148" w:sz="8" w:space="1"/>
      </w:pBdr>
      <w:spacing w:after="120" w:before="0"/>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2"/>
      <w:tblBorders>
        <w:top w:val="none" w:color="FFFFFF" w:sz="0"/>
        <w:left w:val="none" w:color="FFFFFF" w:sz="0"/>
        <w:bottom w:val="none" w:color="FFFFFF" w:sz="0"/>
        <w:right w:val="none" w:color="FFFFFF" w:sz="0"/>
        <w:insideH w:val="none" w:color="FFFFFF" w:sz="0"/>
        <w:insideV w:val="none" w:color="FFFFFF" w:sz="0"/>
      </w:tblBorders>
    </w:tblPr>
    <w:tblGrid>
      <w:gridCol w:w="5200"/>
      <w:gridCol w:w="4772"/>
    </w:tblGrid>
    <w:tr>
      <w:tc>
        <w:tcPr>
          <w:tcW w:type="dxa" w:w="5200"/>
          <w:tcBorders>
            <w:top w:val="none" w:color="FFFFFF" w:sz="0"/>
            <w:left w:val="none" w:color="FFFFFF" w:sz="0"/>
            <w:bottom w:val="none" w:color="FFFFFF" w:sz="0"/>
            <w:right w:val="none" w:color="FFFFFF" w:sz="0"/>
          </w:tcBorders>
          <w:vAlign w:val="center"/>
        </w:tcPr>
        <w:p>
          <w:r>
            <w:drawing>
              <wp:inline distT="0" distB="0" distL="0" distR="0">
                <wp:extent cx="23622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62200" cy="476250"/>
                        </a:xfrm>
                        <a:prstGeom prst="rect">
                          <a:avLst/>
                        </a:prstGeom>
                      </pic:spPr>
                    </pic:pic>
                  </a:graphicData>
                </a:graphic>
              </wp:inline>
            </w:drawing>
          </w:r>
        </w:p>
      </w:tc>
      <w:tc>
        <w:tcPr>
          <w:tcW w:type="dxa" w:w="4772"/>
          <w:tcBorders>
            <w:top w:val="none" w:color="FFFFFF" w:sz="0"/>
            <w:left w:val="none" w:color="FFFFFF" w:sz="0"/>
            <w:bottom w:val="none" w:color="FFFFFF" w:sz="0"/>
            <w:right w:val="none" w:color="FFFFFF" w:sz="0"/>
          </w:tcBorders>
          <w:vAlign w:val="center"/>
        </w:tcPr>
        <w:p>
          <w:pPr>
            <w:spacing w:after="0"/>
            <w:jc w:val="right"/>
          </w:pPr>
          <w:r>
            <w:rPr>
              <w:rFonts w:ascii="Roboto" w:cs="Roboto" w:eastAsia="Roboto" w:hAnsi="Roboto"/>
              <w:b/>
              <w:bCs/>
              <w:color w:val="55585A"/>
              <w:sz w:val="18"/>
              <w:szCs w:val="18"/>
            </w:rPr>
            <w:t xml:space="preserve">SECRETARÍA DEL MEDIO AMBIENTE</w:t>
          </w:r>
        </w:p>
        <w:p>
          <w:pPr>
            <w:spacing w:after="0"/>
            <w:jc w:val="right"/>
          </w:pPr>
          <w:r>
            <w:rPr>
              <w:rFonts w:ascii="Roboto" w:cs="Roboto" w:eastAsia="Roboto" w:hAnsi="Roboto"/>
              <w:color w:val="55585A"/>
              <w:sz w:val="18"/>
              <w:szCs w:val="18"/>
            </w:rPr>
            <w:t xml:space="preserve">Oficina de la Secretaría – Asesor "A"</w:t>
          </w:r>
        </w:p>
        <w:p>
          <w:pPr>
            <w:spacing w:after="0"/>
            <w:jc w:val="right"/>
          </w:pPr>
          <w:r>
            <w:rPr>
              <w:rFonts w:ascii="Roboto" w:cs="Roboto" w:eastAsia="Roboto" w:hAnsi="Roboto"/>
              <w:i/>
              <w:iCs/>
              <w:color w:val="55585A"/>
              <w:sz w:val="16"/>
              <w:szCs w:val="16"/>
            </w:rPr>
            <w:t xml:space="preserve">SEDEMA/OS/___/2026</w:t>
          </w:r>
        </w:p>
      </w:tc>
    </w:tr>
  </w:tbl>
  <w:p>
    <w:pPr>
      <w:pBdr>
        <w:bottom w:val="single" w:color="9D2148" w:sz="8" w:space="1"/>
      </w:pBdr>
      <w:spacing w:after="12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3322438207831fe7e8126c788695155a70e005c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2026-09-14T15:59:53.883Z</dcterms:created>
  <dcterms:modified xsi:type="dcterms:W3CDTF">2026-09-14T15:59:53.902Z</dcterms:modified>
</cp:coreProperties>
</file>

<file path=docProps/custom.xml><?xml version="1.0" encoding="utf-8"?>
<Properties xmlns="http://schemas.openxmlformats.org/officeDocument/2006/custom-properties" xmlns:vt="http://schemas.openxmlformats.org/officeDocument/2006/docPropsVTypes"/>
</file>