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00" w:line="264"/>
        <w:jc w:val="right"/>
      </w:pPr>
      <w:r>
        <w:rPr>
          <w:rFonts w:ascii="Roboto" w:cs="Roboto" w:eastAsia="Roboto" w:hAnsi="Roboto"/>
          <w:i/>
          <w:iCs/>
          <w:color w:val="55585A"/>
          <w:sz w:val="20"/>
          <w:szCs w:val="20"/>
        </w:rPr>
        <w:t xml:space="preserve">Ciudad de México, a ____ de ______________ de 2026</w:t>
      </w:r>
    </w:p>
    <w:p>
      <w:pPr>
        <w:spacing w:after="60" w:before="0" w:line="264"/>
        <w:jc w:val="center"/>
      </w:pPr>
      <w:r>
        <w:rPr>
          <w:rFonts w:ascii="Cabin" w:cs="Cabin" w:eastAsia="Cabin" w:hAnsi="Cabin"/>
          <w:b/>
          <w:bCs/>
          <w:color w:val="9D2148"/>
          <w:sz w:val="34"/>
          <w:szCs w:val="34"/>
        </w:rPr>
        <w:t xml:space="preserve">CÉDULA DE RESPUESTA</w:t>
      </w:r>
    </w:p>
    <w:p>
      <w:pPr>
        <w:spacing w:after="240" w:before="0" w:line="264"/>
        <w:jc w:val="center"/>
      </w:pPr>
      <w:r>
        <w:rPr>
          <w:rFonts w:ascii="Roboto" w:cs="Roboto" w:eastAsia="Roboto" w:hAnsi="Roboto"/>
          <w:b/>
          <w:bCs/>
          <w:color w:val="55585A"/>
          <w:sz w:val="21"/>
          <w:szCs w:val="21"/>
        </w:rPr>
        <w:t xml:space="preserve">Once determinaciones que requiere el formulario web de denuncia ambiental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972"/>
      </w:tblGrid>
      <w:tr>
        <w:tc>
          <w:tcPr>
            <w:tcW w:type="dxa" w:w="9972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20"/>
                <w:szCs w:val="20"/>
              </w:rPr>
              <w:t xml:space="preserve">Asunto: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Se somete a consideración de la Dirección General de Inspección y Vigilancia Ambiental el conjunto de preguntas abiertas cuya respuesta le corresponde, para pasar del prototipo validado a la versión funcional del formulario web de denuncia ambiental. Cada pregunta se presenta con su razón, sus opciones cuando las tiene y una recomendación formulada, de modo que pueda resolverse en sesión y quede constancia de la respuesta.</w:t>
            </w:r>
          </w:p>
        </w:tc>
      </w:tr>
    </w:tbl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Cómo se responde</w:t>
      </w:r>
    </w:p>
    <w:p>
      <w:pPr>
        <w:spacing w:after="12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Cada pregunta ocupa una página y cierra con un recuadro para la respuesta. Basta con confirmar la recomendación, elegir una opción o escribir la determinación que corresponda, y anotar quién la adoptó y en qué fecha. El resumen de la página siguiente sirve para llevar la cuenta.</w:t>
      </w:r>
    </w:p>
    <w:p>
      <w:pPr>
        <w:spacing w:after="2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Las respuestas se incorporan al documento de decisiones del proyecto, que es el que sustenta el diseño del formulario ante la Unidad de Transparencia.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Orden sugerido</w:t>
      </w:r>
    </w:p>
    <w:p>
      <w:pPr>
        <w:spacing w:after="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La pregunta P-01 se atiende primero, porque de ella dependen la naturaleza del instrumento y la redacción de todos sus textos. Las ocho del bloque II se resuelven de corrido y no requieren consulta jurídica. Las dos del bloque III pueden formularse en la misma sesión y resolverse después, con la opinión jurídica a la vista.</w:t>
      </w:r>
    </w:p>
    <w:p>
      <w:r>
        <w:br w:type="page"/>
      </w:r>
    </w:p>
    <w:p>
      <w:pPr>
        <w:keepNext/>
        <w:spacing w:after="60"/>
      </w:pPr>
      <w:r>
        <w:rPr>
          <w:rFonts w:ascii="Roboto" w:cs="Roboto" w:eastAsia="Roboto" w:hAnsi="Roboto"/>
          <w:b/>
          <w:bCs/>
          <w:color w:val="9D2148"/>
          <w:sz w:val="19"/>
          <w:szCs w:val="19"/>
        </w:rPr>
        <w:t xml:space="preserve">Tabla 1. </w:t>
      </w:r>
      <w:r>
        <w:rPr>
          <w:rFonts w:ascii="Roboto" w:cs="Roboto" w:eastAsia="Roboto" w:hAnsi="Roboto"/>
          <w:color w:val="1A1A1A"/>
          <w:sz w:val="19"/>
          <w:szCs w:val="19"/>
        </w:rPr>
        <w:t xml:space="preserve">Resumen de las once determinaciones, para llevar la cuenta de lo resuelto en sesión.</w:t>
      </w:r>
    </w:p>
    <w:tbl>
      <w:tblPr>
        <w:tblW w:type="dxa" w:w="9972"/>
        <w:tblBorders>
          <w:top w:val="single" w:color="C9A6B2" w:sz="4"/>
          <w:left w:val="single" w:color="C9A6B2" w:sz="4"/>
          <w:bottom w:val="single" w:color="C9A6B2" w:sz="4"/>
          <w:right w:val="single" w:color="C9A6B2" w:sz="4"/>
          <w:insideH w:val="single" w:color="C9A6B2" w:sz="4"/>
          <w:insideV w:val="single" w:color="C9A6B2" w:sz="4"/>
        </w:tblBorders>
      </w:tblPr>
      <w:tblGrid>
        <w:gridCol w:w="900"/>
        <w:gridCol w:w="4150"/>
        <w:gridCol w:w="1150"/>
        <w:gridCol w:w="3772"/>
      </w:tblGrid>
      <w:tr>
        <w:trPr>
          <w:tblHeader/>
        </w:trPr>
        <w:tc>
          <w:tcPr>
            <w:tcW w:type="dxa" w:w="900"/>
            <w:shd w:fill="9D21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150"/>
            <w:shd w:fill="9D21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Determinación</w:t>
            </w:r>
          </w:p>
        </w:tc>
        <w:tc>
          <w:tcPr>
            <w:tcW w:type="dxa" w:w="1150"/>
            <w:shd w:fill="9D21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772"/>
            <w:shd w:fill="9D21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P-01</w:t>
            </w:r>
          </w:p>
        </w:tc>
        <w:tc>
          <w:tcPr>
            <w:tcW w:type="dxa" w:w="4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Fundamento y alcance de la recepción</w:t>
            </w:r>
          </w:p>
        </w:tc>
        <w:tc>
          <w:tcPr>
            <w:tcW w:type="dxa" w:w="1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3772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P-05</w:t>
            </w:r>
          </w:p>
        </w:tc>
        <w:tc>
          <w:tcPr>
            <w:tcW w:type="dxa" w:w="4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Procedencia de la denuncia anónima</w:t>
            </w:r>
          </w:p>
        </w:tc>
        <w:tc>
          <w:tcPr>
            <w:tcW w:type="dxa" w:w="1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</w:t>
            </w:r>
          </w:p>
        </w:tc>
        <w:tc>
          <w:tcPr>
            <w:tcW w:type="dxa" w:w="3772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P-06</w:t>
            </w:r>
          </w:p>
        </w:tc>
        <w:tc>
          <w:tcPr>
            <w:tcW w:type="dxa" w:w="4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Número y peso de los archivos de evidencia</w:t>
            </w:r>
          </w:p>
        </w:tc>
        <w:tc>
          <w:tcPr>
            <w:tcW w:type="dxa" w:w="1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</w:t>
            </w:r>
          </w:p>
        </w:tc>
        <w:tc>
          <w:tcPr>
            <w:tcW w:type="dxa" w:w="3772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P-07</w:t>
            </w:r>
          </w:p>
        </w:tc>
        <w:tc>
          <w:tcPr>
            <w:tcW w:type="dxa" w:w="4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Plazo para informar a quien pregunta por su folio</w:t>
            </w:r>
          </w:p>
        </w:tc>
        <w:tc>
          <w:tcPr>
            <w:tcW w:type="dxa" w:w="1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</w:t>
            </w:r>
          </w:p>
        </w:tc>
        <w:tc>
          <w:tcPr>
            <w:tcW w:type="dxa" w:w="3772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P-09</w:t>
            </w:r>
          </w:p>
        </w:tc>
        <w:tc>
          <w:tcPr>
            <w:tcW w:type="dxa" w:w="4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Domicilios, horarios y teléfonos de las unidades</w:t>
            </w:r>
          </w:p>
        </w:tc>
        <w:tc>
          <w:tcPr>
            <w:tcW w:type="dxa" w:w="1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</w:t>
            </w:r>
          </w:p>
        </w:tc>
        <w:tc>
          <w:tcPr>
            <w:tcW w:type="dxa" w:w="3772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P-08</w:t>
            </w:r>
          </w:p>
        </w:tc>
        <w:tc>
          <w:tcPr>
            <w:tcW w:type="dxa" w:w="4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Contactos de las instancias de derivación</w:t>
            </w:r>
          </w:p>
        </w:tc>
        <w:tc>
          <w:tcPr>
            <w:tcW w:type="dxa" w:w="1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</w:t>
            </w:r>
          </w:p>
        </w:tc>
        <w:tc>
          <w:tcPr>
            <w:tcW w:type="dxa" w:w="3772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P-14</w:t>
            </w:r>
          </w:p>
        </w:tc>
        <w:tc>
          <w:tcPr>
            <w:tcW w:type="dxa" w:w="4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Estados del expediente visibles a quien denunció</w:t>
            </w:r>
          </w:p>
        </w:tc>
        <w:tc>
          <w:tcPr>
            <w:tcW w:type="dxa" w:w="1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</w:t>
            </w:r>
          </w:p>
        </w:tc>
        <w:tc>
          <w:tcPr>
            <w:tcW w:type="dxa" w:w="3772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P-17</w:t>
            </w:r>
          </w:p>
        </w:tc>
        <w:tc>
          <w:tcPr>
            <w:tcW w:type="dxa" w:w="4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Obligatoriedad del teléfono</w:t>
            </w:r>
          </w:p>
        </w:tc>
        <w:tc>
          <w:tcPr>
            <w:tcW w:type="dxa" w:w="1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</w:t>
            </w:r>
          </w:p>
        </w:tc>
        <w:tc>
          <w:tcPr>
            <w:tcW w:type="dxa" w:w="3772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P-21</w:t>
            </w:r>
          </w:p>
        </w:tc>
        <w:tc>
          <w:tcPr>
            <w:tcW w:type="dxa" w:w="4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Criterio de acumulación y priorización</w:t>
            </w:r>
          </w:p>
        </w:tc>
        <w:tc>
          <w:tcPr>
            <w:tcW w:type="dxa" w:w="1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</w:t>
            </w:r>
          </w:p>
        </w:tc>
        <w:tc>
          <w:tcPr>
            <w:tcW w:type="dxa" w:w="3772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P-15</w:t>
            </w:r>
          </w:p>
        </w:tc>
        <w:tc>
          <w:tcPr>
            <w:tcW w:type="dxa" w:w="4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Obligatoriedad de la cuenta Llave CDMX</w:t>
            </w:r>
          </w:p>
        </w:tc>
        <w:tc>
          <w:tcPr>
            <w:tcW w:type="dxa" w:w="115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III</w:t>
            </w:r>
          </w:p>
        </w:tc>
        <w:tc>
          <w:tcPr>
            <w:tcW w:type="dxa" w:w="3772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P-22</w:t>
            </w:r>
          </w:p>
        </w:tc>
        <w:tc>
          <w:tcPr>
            <w:tcW w:type="dxa" w:w="4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Competencia en ANP federal coadministrada</w:t>
            </w:r>
          </w:p>
        </w:tc>
        <w:tc>
          <w:tcPr>
            <w:tcW w:type="dxa" w:w="1150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III</w:t>
            </w:r>
          </w:p>
        </w:tc>
        <w:tc>
          <w:tcPr>
            <w:tcW w:type="dxa" w:w="3772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360" w:before="80" w:line="264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Nota: el bloque I condiciona la redacción de todos los textos del formulario; el bloque II no requiere consulta jurídica; el bloque III se resuelve con opinión de la unidad jurídica de la Secretaría.</w:t>
      </w:r>
    </w:p>
    <w:p>
      <w:pPr>
        <w:keepNext/>
        <w:spacing w:after="80" w:before="0" w:line="264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I. La pregunta que condiciona a todas las demás</w:t>
      </w:r>
    </w:p>
    <w:p>
      <w:pPr>
        <w:pBdr>
          <w:bottom w:val="single" w:color="B28E5C" w:sz="6"/>
        </w:pBdr>
        <w:spacing w:after="140" w:before="0"/>
      </w:pPr>
      <w:r>
        <w:rPr>
          <w:sz w:val="2"/>
          <w:szCs w:val="2"/>
        </w:rPr>
        <w:t xml:space="preserve"/>
      </w:r>
    </w:p>
    <w:p>
      <w:pPr>
        <w:spacing w:after="240" w:before="0" w:line="264"/>
        <w:jc w:val="both"/>
      </w:pPr>
      <w:r>
        <w:rPr>
          <w:rFonts w:ascii="Roboto" w:cs="Roboto" w:eastAsia="Roboto" w:hAnsi="Roboto"/>
          <w:i/>
          <w:iCs/>
          <w:color w:val="55585A"/>
          <w:sz w:val="20"/>
          <w:szCs w:val="20"/>
        </w:rPr>
        <w:t xml:space="preserve">Debe resolverse primero: de su respuesta dependen el nombre del instrumento, los textos del acuse, el aviso de privacidad y los plazos que la Secretaría adquiere frente a la persona denunciante.</w:t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P-01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¿Con qué fundamento recibe la Secretaría, y qué obligaciones asume al recibir?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La recepción no está en duda. El Reglamento Interior del Poder Ejecutivo y de la Administración Pública de la Ciudad de México, vigente al 27 de marzo de 2026, la ordena en términos literales: su artículo 191, fracción XXX, corresponde a esta Dirección General «Recibir, tramitar, atender, denuncias ciudadanas […] relacionadas con suelo urbano y áreas de valor ambiental», y el artículo 188, fracción XXXVIII, dice lo mismo para la Dirección General de la Comisión de Recursos Naturales y Desarrollo Rural en suelo de conservación y Áreas Naturales Protegidas. Ambas son de la reforma del 19 de enero de 2023.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El artículo 329 de la Ley Ambiental dispone que toda persona «podrá denunciar ante la Procuraduría»: es una vía que se abre a la persona, no una competencia exclusiva, y su segundo párrafo presupone que otra autoridad reciba la denuncia y la turne cuando no le corresponda.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La ratificación y la contestación en treinta días hábiles del artículo 332 son cargas de la Procuraduría; no se trasladan a la Secretaría por recibir. El último párrafo de ese artículo, en cambio, no acota el sujeto: «La autoridad estará obligada a informar al denunciante sobre el trámite que recaiga a su denuncia». Conviene asumirla, y es lo que pregunta P-07.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Opciones</w:t>
      </w:r>
    </w:p>
    <w:tbl>
      <w:tblPr>
        <w:tblW w:type="dxa" w:w="9972"/>
        <w:tblBorders>
          <w:top w:val="single" w:color="E4D9DD" w:sz="4"/>
          <w:left w:val="single" w:color="E4D9DD" w:sz="4"/>
          <w:bottom w:val="single" w:color="E4D9DD" w:sz="4"/>
          <w:right w:val="single" w:color="E4D9DD" w:sz="4"/>
          <w:insideH w:val="single" w:color="E4D9DD" w:sz="4"/>
          <w:insideV w:val="single" w:color="E4D9DD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A. Denuncia ciudadana ante la Secretaría.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Se recibe, se tramita y se atiende con fundamento en las fracciones citadas, y el acuse informa que existen además la vía de la Procuraduría y la penal ante la Fiscalía. La Secretaría fija su propio plazo para informar del trámite.</w:t>
            </w:r>
          </w:p>
        </w:tc>
      </w:tr>
      <w:tr>
        <w:trPr>
          <w:cantSplit/>
        </w:trPr>
        <w:tc>
          <w:tcPr>
            <w:tcW w:type="dxa" w:w="9972"/>
            <w:shd w:fill="FCFAFB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B. Ventanilla que remite a la Procuraduría.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El formulario capta y remite. Renuncia a una facultad que el Reglamento Interior atribuye expresamente a estas direcciones generales.</w:t>
            </w:r>
          </w:p>
        </w:tc>
      </w:tr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C. Atención propia con remisión automática.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Se atiende aquí y además se remite siempre. Cada denuncia se volvería un requerimiento de la Procuraduría, con informe en diez días hábiles, sin beneficio para la persona.</w:t>
            </w:r>
          </w:p>
        </w:tc>
      </w:tr>
      <w:tr>
        <w:trPr>
          <w:cantSplit/>
        </w:trPr>
        <w:tc>
          <w:tcPr>
            <w:tcW w:type="dxa" w:w="9972"/>
            <w:shd w:fill="FCFAFB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D. Reporte ciudadano.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Se capta información y se actúa de oficio conforme al artículo 280 de la Ley Ambiental, sin llamar denuncia al instrumento. Subutiliza el fundamento y desconcierta a quien conoce la figura.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Opción A. Es la que corresponde al texto vigente: ambas direcciones generales tienen atribución expresa para recibir, tramitar y atender denuncias ciudadanas, y el artículo 280 permite instaurar la inspección con la información recabada, sin ratificación.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Lo que obliga a cuidar es el acuse: debe decir que la Secretaría atiende la denuncia, en qué plazo informa del trámite, y que quien quiera la respuesta del artículo 332 puede acudir además a la Procuraduría.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P-02, P-05, P-07 y la redacción de todos los textos del formulario.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80" w:before="0" w:line="264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II. Determinaciones que pueden adoptarse en sesión</w:t>
      </w:r>
    </w:p>
    <w:p>
      <w:pPr>
        <w:pBdr>
          <w:bottom w:val="single" w:color="B28E5C" w:sz="6"/>
        </w:pBdr>
        <w:spacing w:after="140" w:before="0"/>
      </w:pPr>
      <w:r>
        <w:rPr>
          <w:sz w:val="2"/>
          <w:szCs w:val="2"/>
        </w:rPr>
        <w:t xml:space="preserve"/>
      </w:r>
    </w:p>
    <w:p>
      <w:pPr>
        <w:spacing w:after="240" w:before="0" w:line="264"/>
        <w:jc w:val="both"/>
      </w:pPr>
      <w:r>
        <w:rPr>
          <w:rFonts w:ascii="Roboto" w:cs="Roboto" w:eastAsia="Roboto" w:hAnsi="Roboto"/>
          <w:i/>
          <w:iCs/>
          <w:color w:val="55585A"/>
          <w:sz w:val="20"/>
          <w:szCs w:val="20"/>
        </w:rPr>
        <w:t xml:space="preserve">Ninguna requiere consulta jurídica. Cada una lleva su recomendación formulada, de modo que la respuesta puede consistir en confirmarla o apartarse de ella.</w:t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P-05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¿Cuál es el criterio de procedencia de la denuncia anónima?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Sin datos de contacto no es posible requerir información faltante ni notificar el resultado. El anonimato, sin embargo, no impide la actuación de la autoridad: el artículo 23, fracción II, de la Ley Orgánica de la Procuraduría enumera las denuncias no ratificadas como supuesto de investigación de oficio, y el equivalente para la Secretaría es el artículo 280 de la Ley Ambiental.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Admitirla siempre, tratarla como insumo de actuación de oficio y condicionar la práctica de la inspección a que la descripción y la ubicación resulten suficientes por sí mismas. El formulario debe decirlo con esas palabras: la denuncia anónima se atiende, pero no se notifica.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La regla de negocio RN-21.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P-06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¿Cuántos archivos de evidencia se admiten y de qué peso máximo?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Determina el dimensionamiento del almacenamiento y el mensaje que el formulario muestra al rechazar un archivo.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Diez archivos de hasta veinticinco megabytes cada uno, que es el supuesto con el que opera el prototipo.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La regla de negocio RN-25.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P-07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¿En cuántos días se responde a quien pregunta por su folio?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El Manual Administrativo ya fija los plazos del procedimiento: tres días hábiles para recibir la denuncia y turnarla, diez para analizar el caso, cinco para turnar o rechazar cuando no hay competencia, y noventa y tres días hábiles el procedimiento completo en suelo urbano —noventa, aproximadamente, en suelo de conservación—. Esas cifras ya están incorporadas al formulario.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Lo que el Manual no fija es el plazo para informar a la persona denunciante. La Jefatura de Unidad Departamental de Seguimiento a Denuncias tiene la función de elaborar esos informes, pero sin plazo escrito. El acuse promete informar el resultado: falta saber en cuántos días.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Fijar un plazo expreso, aunque sea holgado. Un acuse que promete informar sin decir cuándo genera la expectativa que después no puede atenderse, y traslada la carga a la atención telefónica y a la Unidad de Transparencia.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La parte de la regla RN-29 relativa al aviso de resultado.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P-09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¿Cuáles son los domicilios, horarios y teléfonos vigentes de las unidades que atienden?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Hoy conviven dos domicilios contradictorios en los canales oficiales: el formato en PDF señala Tlaxcoaque No. 8 y el portal remite al Bosque de San Juan de Aragón. Un domicilio publicado en un canal oficial y desmentido en otro es, en sí mismo, un problema de certeza jurídica para quien presenta una denuncia por escrito.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A eso se suma que, desde que el turnado se decide por el tipo de suelo, la unidad que atiende ya no siempre es la misma. El pie del formulario y el apartado «Qué sigue» del acuse deben mostrar el domicilio de la unidad que efectivamente atenderá el caso.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Datos por confirmar, con domicilio completo, horario y teléfono</w:t>
      </w:r>
    </w:p>
    <w:tbl>
      <w:tblPr>
        <w:tblW w:type="dxa" w:w="9972"/>
        <w:tblBorders>
          <w:top w:val="single" w:color="E4D9DD" w:sz="4"/>
          <w:left w:val="single" w:color="E4D9DD" w:sz="4"/>
          <w:bottom w:val="single" w:color="E4D9DD" w:sz="4"/>
          <w:right w:val="single" w:color="E4D9DD" w:sz="4"/>
          <w:insideH w:val="single" w:color="E4D9DD" w:sz="4"/>
          <w:insideV w:val="single" w:color="E4D9DD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Recepción de denuncias.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Domicilio y horario de la Oficialía de Partes que recibe. Si es única para ambas direcciones generales, basta uno; si cada una recibe por su cuenta, son dos.</w:t>
            </w:r>
          </w:p>
        </w:tc>
      </w:tr>
      <w:tr>
        <w:trPr>
          <w:cantSplit/>
        </w:trPr>
        <w:tc>
          <w:tcPr>
            <w:tcW w:type="dxa" w:w="9972"/>
            <w:shd w:fill="FCFAFB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Dirección General de Inspección y Vigilancia Ambiental.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Domicilio de atención al público, horario y teléfono.</w:t>
            </w:r>
          </w:p>
        </w:tc>
      </w:tr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Coordinación de Inspección Ambiental en Suelo de Conservación y Áreas Naturales Protegidas.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Domicilio de atención al público, horario y teléfono. Conviene precisar si atiende en la sede de la dirección general o en oficinas en suelo de conservación.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Mientras no se confirmen, el formulario y el acuse muestran únicamente la Oficialía de Partes con la advertencia correspondiente.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Los textos del pie y del acuse, y la corrección del portal institucional.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P-08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¿Cuáles son los datos de contacto vigentes de las instancias receptoras por derivación?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Cuando el hecho denunciado no es competencia de la Secretaría, el formulario orienta a la instancia que sí lo atiende. Hoy esos datos aparecen marcados como pendientes.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Qué se requiere</w:t>
      </w:r>
    </w:p>
    <w:tbl>
      <w:tblPr>
        <w:tblW w:type="dxa" w:w="9972"/>
        <w:tblBorders>
          <w:top w:val="single" w:color="E4D9DD" w:sz="4"/>
          <w:left w:val="single" w:color="E4D9DD" w:sz="4"/>
          <w:bottom w:val="single" w:color="E4D9DD" w:sz="4"/>
          <w:right w:val="single" w:color="E4D9DD" w:sz="4"/>
          <w:insideH w:val="single" w:color="E4D9DD" w:sz="4"/>
          <w:insideV w:val="single" w:color="E4D9DD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Se requieren teléfono y liga vigentes de: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Secretaría de Obras y Servicios, Secretaría de Seguridad Ciudadana, Procuraduría Ambiental y del Ordenamiento Territorial, Procuraduría Federal de Protección al Ambiente, Instituto de Verificación Administrativa, Agencia de Atención Animal y las dieciséis alcaldías.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Puede resolverse con el directorio institucional publicado, contrastado con lo que cada instancia señala en su propio portal.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Las pantallas de derivación.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P-14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¿Qué estados del expediente pueden mostrarse a quien denunció y con qué redacción?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El seguimiento ciudadano no puede mostrar el estado interno tal cual: hay etapas cuya difusión compromete la diligencia de la visita de inspección o expone datos del presunto responsable. Se requiere una equivalencia autorizada entre los estados operativos y los estados públicos.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Definir el catálogo interno de estados y, junto a cada uno, la frase que la persona denunciante ve. Hasta cuándo permanece disponible la consulta se define con la Unidad de Transparencia.</w:t>
      </w:r>
    </w:p>
    <w:p>
      <w:pPr>
        <w:spacing w:after="60" w:before="60" w:line="264"/>
        <w:jc w:val="both"/>
      </w:pP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Se resuelve con la Coordinación de Inspección Ambiental en Suelo de Conservación y Áreas Naturales Protegidas y con opinión de la Unidad de Transparencia.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El desarrollo del seguimiento ciudadano por folio.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P-17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¿El teléfono debe seguir siendo obligatorio?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El teléfono es obligatorio en el esquema actual, pero no es vía de notificación: la notificación se practica por correo electrónico o por domicilio. Su uso real es operativo —aclarar un dato, coordinar el acceso al sitio durante la visita—. La revisión de minimización de datos lo hizo visible: un dato personal que no sostiene ninguna actuación formal está condicionando la presentación de la denuncia.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Opciones</w:t>
      </w:r>
    </w:p>
    <w:tbl>
      <w:tblPr>
        <w:tblW w:type="dxa" w:w="9972"/>
        <w:tblBorders>
          <w:top w:val="single" w:color="E4D9DD" w:sz="4"/>
          <w:left w:val="single" w:color="E4D9DD" w:sz="4"/>
          <w:bottom w:val="single" w:color="E4D9DD" w:sz="4"/>
          <w:right w:val="single" w:color="E4D9DD" w:sz="4"/>
          <w:insideH w:val="single" w:color="E4D9DD" w:sz="4"/>
          <w:insideV w:val="single" w:color="E4D9DD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A. Dejarlo obligatorio.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Se conserva como requisito de envío en la ruta identificada.</w:t>
            </w:r>
          </w:p>
        </w:tc>
      </w:tr>
      <w:tr>
        <w:trPr>
          <w:cantSplit/>
        </w:trPr>
        <w:tc>
          <w:tcPr>
            <w:tcW w:type="dxa" w:w="9972"/>
            <w:shd w:fill="FCFAFB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B. Volverlo opcional.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Con la ayuda «agiliza la visita si el personal necesita confirmar algo contigo».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Opción B. Quien quiera darlo lo dará; exigirlo sólo aparta a quien no quiere dejar su teléfono, y esa persona hoy no tiene alternativa salvo la denuncia anónima, que renuncia al seguimiento.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El cierre del esquema de obligatoriedad.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P-21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¿Cuál es el criterio de acumulación y priorización ante un envío masivo?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Quedan adoptados los dos primeros controles contra el envío masivo: prueba de humanidad en el envío y límite por origen y ventana de tiempo. Lo que falta no es técnico, es sustantivo.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La autoridad no puede negarse a recibir. Lo que sí puede es ordenar la cola: la defensa correcta no es el rechazo por sospecha, es la priorización y la acumulación de denuncias que versan sobre el mismo punto y la misma materia.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Fijar el criterio con el que varias denuncias sobre el mismo punto y materia se acumulan en un solo expediente, y el umbral a partir del cual una ráfaga se marca para revisión sin detener la recepción.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La puesta en operación, no el prototipo.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80" w:before="0" w:line="264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III. Determinaciones que requieren opinión de la unidad jurídica</w:t>
      </w:r>
    </w:p>
    <w:p>
      <w:pPr>
        <w:pBdr>
          <w:bottom w:val="single" w:color="B28E5C" w:sz="6"/>
        </w:pBdr>
        <w:spacing w:after="140" w:before="0"/>
      </w:pPr>
      <w:r>
        <w:rPr>
          <w:sz w:val="2"/>
          <w:szCs w:val="2"/>
        </w:rPr>
        <w:t xml:space="preserve"/>
      </w:r>
    </w:p>
    <w:p>
      <w:pPr>
        <w:spacing w:after="240" w:before="0" w:line="264"/>
        <w:jc w:val="both"/>
      </w:pPr>
      <w:r>
        <w:rPr>
          <w:rFonts w:ascii="Roboto" w:cs="Roboto" w:eastAsia="Roboto" w:hAnsi="Roboto"/>
          <w:i/>
          <w:iCs/>
          <w:color w:val="55585A"/>
          <w:sz w:val="20"/>
          <w:szCs w:val="20"/>
        </w:rPr>
        <w:t xml:space="preserve">Pueden formularse en la misma sesión y resolverse después, con la opinión a la vista.</w:t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P-15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¿La cuenta Llave CDMX será obligatoria para denunciar?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El formulario opera hoy con tres rutas de identificación: anónima, datos escritos y cuenta Llave CDMX. Exigir cuenta para denunciar es incompatible con la denuncia anónima.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Si esta Dirección General determina que la cuenta sea obligatoria, la denuncia anónima desaparece del canal y la pregunta P-05 debe resolverse en ese sentido. La integración técnica corresponde a la Agencia Digital de Innovación Pública y no se pregunta aquí.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Opciones</w:t>
      </w:r>
    </w:p>
    <w:tbl>
      <w:tblPr>
        <w:tblW w:type="dxa" w:w="9972"/>
        <w:tblBorders>
          <w:top w:val="single" w:color="E4D9DD" w:sz="4"/>
          <w:left w:val="single" w:color="E4D9DD" w:sz="4"/>
          <w:bottom w:val="single" w:color="E4D9DD" w:sz="4"/>
          <w:right w:val="single" w:color="E4D9DD" w:sz="4"/>
          <w:insideH w:val="single" w:color="E4D9DD" w:sz="4"/>
          <w:insideV w:val="single" w:color="E4D9DD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A. Conservar las tres rutas.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La cuenta prellena los datos, vincula el folio y habilita el seguimiento; la ruta anónima subsiste con folio y clave en pantalla, sin notificación ni recuperación.</w:t>
            </w:r>
          </w:p>
        </w:tc>
      </w:tr>
      <w:tr>
        <w:trPr>
          <w:cantSplit/>
        </w:trPr>
        <w:tc>
          <w:tcPr>
            <w:tcW w:type="dxa" w:w="9972"/>
            <w:shd w:fill="FCFAFB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B. Cuenta obligatoria.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Desaparece la denuncia anónima del canal.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Opción A. La autenticación traslada a la cuenta datos personales que hoy se capturan a mano, lo que conviene; pero un muro de autenticación pierde la denuncia de quien no tiene cuenta, y el artículo 280 de la Ley Ambiental permite actuar sin identificación de la persona denunciante.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La versión funcional del formulario y los dos módulos de seguimiento.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9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72"/>
      </w:tblGrid>
      <w:tr>
        <w:trPr>
          <w:cantSplit/>
        </w:trPr>
        <w:tc>
          <w:tcPr>
            <w:tcW w:type="dxa" w:w="1100"/>
            <w:shd w:fill="9D214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FFFFFF"/>
                <w:sz w:val="22"/>
                <w:szCs w:val="22"/>
              </w:rPr>
              <w:t xml:space="preserve">P-22</w:t>
            </w:r>
          </w:p>
        </w:tc>
        <w:tc>
          <w:tcPr>
            <w:tcW w:type="dxa" w:w="8872"/>
            <w:shd w:fill="F7F1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bin" w:cs="Cabin" w:eastAsia="Cabin" w:hAnsi="Cabin"/>
                <w:b/>
                <w:bCs/>
                <w:color w:val="9D2148"/>
                <w:sz w:val="21"/>
                <w:szCs w:val="21"/>
              </w:rPr>
              <w:t xml:space="preserve">¿Quién atiende una denuncia dentro de un Área Natural Protegida federal coadministrada?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Por qué importa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Es la pregunta de competencia con más consecuencias. Si la Secretaría inspecciona donde no puede, el acto nace viciado y la persona denunciada lo revierte; si deriva a la Federación lo que sí podía atender, el canal pierde su razón de ser en ocho de los sitios de mayor valor ambiental de la Ciudad: Desierto de los Leones, Cumbres del Ajusco, Tepeyac, Lomas de Padierna, Fuentes Brotantes, Cerro de la Estrella, Insurgente Miguel Hidalgo y Costilla, y Tláhuac-Xico.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La cláusula SEGUNDA del Convenio Marco CONANP–Ciudad de México define la administración como actividades de conservación, «sin perjuicio de las facultades que en materia de inspección y vigilancia otorga el Título Sexto de la Ley General del Equilibrio Ecológico y la Protección al Ambiente», cuyo artículo 161 las atribuye a la autoridad federal. Leído así, el convenio reparte administración y manejo, no inspección.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Lo que no resuelve es si esa salvedad impide del todo a la Secretaría inspeccionar ahí, o si puede hacerlo por otra vía: el decreto local cuando hay concurrencia, un convenio específico de los que prevé la cláusula QUINTA, o la coadyuvancia en vigilancia de la cláusula CUARTA, inciso d). Tampoco convino el cauce de remisión de la denuncia federal recibida.</w:t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Opciones</w:t>
      </w:r>
    </w:p>
    <w:tbl>
      <w:tblPr>
        <w:tblW w:type="dxa" w:w="9972"/>
        <w:tblBorders>
          <w:top w:val="single" w:color="E4D9DD" w:sz="4"/>
          <w:left w:val="single" w:color="E4D9DD" w:sz="4"/>
          <w:bottom w:val="single" w:color="E4D9DD" w:sz="4"/>
          <w:right w:val="single" w:color="E4D9DD" w:sz="4"/>
          <w:insideH w:val="single" w:color="E4D9DD" w:sz="4"/>
          <w:insideV w:val="single" w:color="E4D9DD" w:sz="4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A. Competencia federal en las nueve áreas.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La denuncia se recibe y se remite a la Procuraduría Federal de Protección al Ambiente. Es lo que el formulario hace hoy, de forma provisional.</w:t>
            </w:r>
          </w:p>
        </w:tc>
      </w:tr>
      <w:tr>
        <w:trPr>
          <w:cantSplit/>
        </w:trPr>
        <w:tc>
          <w:tcPr>
            <w:tcW w:type="dxa" w:w="9972"/>
            <w:shd w:fill="FCFAFB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B. Competencia local en las ocho coadministradas.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Requiere el fundamento que el convenio no da: habría que exhibirlo.</w:t>
            </w:r>
          </w:p>
        </w:tc>
      </w:tr>
      <w:tr>
        <w:trPr>
          <w:cantSplit/>
        </w:trPr>
        <w:tc>
          <w:tcPr>
            <w:tcW w:type="dxa" w:w="9972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C. Competencia federal, con convenio específico de remisión y de vigilancia. </w:t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Se conviene con la CONANP el cauce —que su cláusula TERCERA, inciso p), contempla al enumerar la denuncia ciudadana entre las materias de los proyectos conjuntos— y la Secretaría coadyuva en vigilancia sin ordenar inspecciones.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keepNext/>
        <w:spacing w:after="40" w:before="130" w:line="264"/>
      </w:pPr>
      <w:r>
        <w:rPr>
          <w:rFonts w:ascii="Roboto" w:cs="Roboto" w:eastAsia="Roboto" w:hAnsi="Roboto"/>
          <w:b/>
          <w:bCs/>
          <w:caps/>
          <w:color w:val="55585A"/>
          <w:spacing w:val="20"/>
          <w:sz w:val="16"/>
          <w:szCs w:val="16"/>
        </w:rPr>
        <w:t xml:space="preserve">Recomendación del Sistema de Información Ambiental</w:t>
      </w:r>
    </w:p>
    <w:p>
      <w:pPr>
        <w:spacing w:after="1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Opción A mientras no haya respuesta, y opción C como destino. La opción A no compromete nada y evita el acto viciado; la C aprovecha el convenio para algo más que quedar enterada.</w:t>
      </w:r>
    </w:p>
    <w:p>
      <w:pPr>
        <w:spacing w:after="60" w:before="60" w:line="264"/>
        <w:jc w:val="both"/>
      </w:pP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Corresponde a esta Dirección General junto con la Dirección General de la Comisión de Recursos Naturales y Desarrollo Rural y la unidad jurídica de la Secretaría. Conviene consultarlo también con la Dirección Regional Centro y Eje Neovolcánico de la CONANP, responsable designada en la cláusula SÉPTIMA.</w:t>
      </w:r>
    </w:p>
    <w:p>
      <w:pPr>
        <w:spacing w:after="150" w:before="40" w:line="264"/>
      </w:pPr>
      <w:r>
        <w:rPr>
          <w:rFonts w:ascii="Roboto" w:cs="Roboto" w:eastAsia="Roboto" w:hAnsi="Roboto"/>
          <w:b/>
          <w:bCs/>
          <w:i/>
          <w:iCs/>
          <w:color w:val="55585A"/>
          <w:sz w:val="17"/>
          <w:szCs w:val="17"/>
        </w:rPr>
        <w:t xml:space="preserve">Qué desbloquea: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Las reglas RN-04 y RN-05 en su parte federal, y la pregunta P-04, cuya respuesta se deriva de ésta.</w:t>
      </w:r>
    </w:p>
    <w:tbl>
      <w:tblPr>
        <w:tblW w:type="dxa" w:w="9972"/>
        <w:tblBorders>
          <w:top w:val="single" w:color="9D2148" w:sz="12"/>
          <w:left w:val="single" w:color="9D2148" w:sz="4"/>
          <w:bottom w:val="single" w:color="9D2148" w:sz="4"/>
          <w:right w:val="single" w:color="9D2148" w:sz="4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type="dxa" w:w="11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24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Respuesta de la Dirección General</w:t>
            </w:r>
          </w:p>
          <w:tbl>
            <w:tblPr>
              <w:tblW w:type="dxa" w:w="9652"/>
              <w:tblBorders>
                <w:top w:val="none" w:color="FFFFFF" w:sz="0"/>
                <w:left w:val="none" w:color="FFFFFF" w:sz="0"/>
                <w:bottom w:val="dotted" w:color="8A8D8F" w:sz="4"/>
                <w:right w:val="none" w:color="FFFFFF" w:sz="0"/>
                <w:insideH w:val="dotted" w:color="8A8D8F" w:sz="4"/>
                <w:insideV w:val="none" w:color="FFFFFF" w:sz="0"/>
              </w:tblBorders>
            </w:tblPr>
            <w:tblGrid>
              <w:gridCol w:w="9652"/>
            </w:tblGrid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965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0" w:before="15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Quién determinó: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_______________________________________    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Fecha: </w:t>
            </w:r>
            <w:r>
              <w:rPr>
                <w:rFonts w:ascii="Roboto" w:cs="Roboto" w:eastAsia="Roboto" w:hAnsi="Roboto"/>
                <w:color w:val="8A8D8F"/>
                <w:sz w:val="17"/>
                <w:szCs w:val="17"/>
              </w:rPr>
              <w:t xml:space="preserve">____ / ____ / 2026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80" w:before="0" w:line="264"/>
      </w:pPr>
      <w:r>
        <w:rPr>
          <w:rFonts w:ascii="Cabin" w:cs="Cabin" w:eastAsia="Cabin" w:hAnsi="Cabin"/>
          <w:b/>
          <w:bCs/>
          <w:color w:val="9D2148"/>
          <w:sz w:val="24"/>
          <w:szCs w:val="24"/>
        </w:rPr>
        <w:t xml:space="preserve">Para conocimiento: preguntas que se gestionan con otras instancias</w:t>
      </w:r>
    </w:p>
    <w:p>
      <w:pPr>
        <w:pBdr>
          <w:bottom w:val="single" w:color="B28E5C" w:sz="6"/>
        </w:pBdr>
        <w:spacing w:after="140" w:before="0"/>
      </w:pPr>
      <w:r>
        <w:rPr>
          <w:sz w:val="2"/>
          <w:szCs w:val="2"/>
        </w:rPr>
        <w:t xml:space="preserve"/>
      </w:r>
    </w:p>
    <w:p>
      <w:pPr>
        <w:spacing w:after="160" w:before="0" w:line="264"/>
      </w:pPr>
      <w:r>
        <w:rPr>
          <w:rFonts w:ascii="Roboto" w:cs="Roboto" w:eastAsia="Roboto" w:hAnsi="Roboto"/>
          <w:i/>
          <w:iCs/>
          <w:color w:val="55585A"/>
          <w:sz w:val="20"/>
          <w:szCs w:val="20"/>
        </w:rPr>
        <w:t xml:space="preserve">Se enuncian para que no se lleven a esta mesa y para dejar constancia de que están en curso.</w:t>
      </w:r>
    </w:p>
    <w:tbl>
      <w:tblPr>
        <w:tblW w:type="dxa" w:w="9972"/>
        <w:tblBorders>
          <w:top w:val="single" w:color="C9A6B2" w:sz="4"/>
          <w:left w:val="single" w:color="C9A6B2" w:sz="4"/>
          <w:bottom w:val="single" w:color="C9A6B2" w:sz="4"/>
          <w:right w:val="single" w:color="C9A6B2" w:sz="4"/>
          <w:insideH w:val="single" w:color="C9A6B2" w:sz="4"/>
          <w:insideV w:val="single" w:color="C9A6B2" w:sz="4"/>
        </w:tblBorders>
      </w:tblPr>
      <w:tblGrid>
        <w:gridCol w:w="3000"/>
        <w:gridCol w:w="6972"/>
      </w:tblGrid>
      <w:tr>
        <w:trPr>
          <w:tblHeader/>
        </w:trPr>
        <w:tc>
          <w:tcPr>
            <w:tcW w:type="dxa" w:w="3000"/>
            <w:shd w:fill="9D214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Instancia</w:t>
            </w:r>
          </w:p>
        </w:tc>
        <w:tc>
          <w:tcPr>
            <w:tcW w:type="dxa" w:w="6972"/>
            <w:shd w:fill="9D214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8"/>
                <w:szCs w:val="18"/>
              </w:rPr>
              <w:t xml:space="preserve">Preguntas a su cargo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Unidad de Transparencia</w:t>
            </w:r>
          </w:p>
        </w:tc>
        <w:tc>
          <w:tcPr>
            <w:tcW w:type="dxa" w:w="6972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P-02 · Reexpedición del aviso de privacidad. P-19 · Los seis datos que el aviso necesita para poder publicarse. P-20 · Tratamiento del género como dato sensible.</w:t>
            </w:r>
          </w:p>
        </w:tc>
      </w:tr>
      <w:tr>
        <w:trPr>
          <w:cantSplit/>
        </w:trPr>
        <w:tc>
          <w:tcPr>
            <w:tcW w:type="dxa" w:w="3000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Agencia Digital de Innovación Pública</w:t>
            </w:r>
          </w:p>
        </w:tc>
        <w:tc>
          <w:tcPr>
            <w:tcW w:type="dxa" w:w="6972"/>
            <w:shd w:fill="F7F1F3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P-15 en su parte técnica · Mecanismo de integración con Llave CDMX. P-16 · Catálogo oficial de colonias y códigos postales. Se solicitan en un solo oficio.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9"/>
                <w:szCs w:val="19"/>
              </w:rPr>
              <w:t xml:space="preserve">Sistema de Información Ambiental</w:t>
            </w:r>
          </w:p>
        </w:tc>
        <w:tc>
          <w:tcPr>
            <w:tcW w:type="dxa" w:w="6972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Roboto" w:cs="Roboto" w:eastAsia="Roboto" w:hAnsi="Roboto"/>
                <w:b w:val="false"/>
                <w:bCs w:val="false"/>
                <w:color w:val="1A1A1A"/>
                <w:sz w:val="19"/>
                <w:szCs w:val="19"/>
              </w:rPr>
              <w:t xml:space="preserve">P-11 · Normalización de las categorías de la capa. P-12 · Servicio de geocodificación y cruce espacial en la versión funcional. P-13 · Estructura del folio. P-18 · Resolución de los enlaces cortos de mapas, ya decidida y por construir.</w:t>
            </w:r>
          </w:p>
        </w:tc>
      </w:tr>
    </w:tbl>
    <w:p>
      <w:pPr>
        <w:keepNext/>
        <w:spacing w:after="80" w:before="400" w:line="264"/>
      </w:pPr>
      <w:r>
        <w:rPr>
          <w:rFonts w:ascii="Cabin" w:cs="Cabin" w:eastAsia="Cabin" w:hAnsi="Cabin"/>
          <w:b/>
          <w:bCs/>
          <w:color w:val="9D2148"/>
          <w:sz w:val="24"/>
          <w:szCs w:val="24"/>
        </w:rPr>
        <w:t xml:space="preserve">Constancia</w:t>
      </w:r>
    </w:p>
    <w:p>
      <w:pPr>
        <w:pBdr>
          <w:bottom w:val="single" w:color="B28E5C" w:sz="6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500" w:before="0" w:line="264"/>
        <w:jc w:val="both"/>
      </w:pPr>
      <w:r>
        <w:rPr>
          <w:rFonts w:ascii="Roboto" w:cs="Roboto" w:eastAsia="Roboto" w:hAnsi="Roboto"/>
          <w:color w:val="1A1A1A"/>
          <w:sz w:val="20"/>
          <w:szCs w:val="20"/>
        </w:rPr>
        <w:t xml:space="preserve">Las determinaciones anotadas en esta cédula se tienen por adoptadas por la Dirección General de Inspección y Vigilancia Ambiental y se incorporan al documento de decisiones del proyecto.</w:t>
      </w:r>
    </w:p>
    <w:tbl>
      <w:tblPr>
        <w:tblW w:type="dxa" w:w="95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86"/>
        <w:gridCol w:w="4786"/>
      </w:tblGrid>
      <w:tr>
        <w:tc>
          <w:tcPr>
            <w:tcW w:type="dxa" w:w="4786"/>
            <w:tcMar>
              <w:left w:type="dxa" w:w="0"/>
              <w:right w:type="dxa" w:w="200"/>
            </w:tcMar>
          </w:tcPr>
          <w:p>
            <w:pPr>
              <w:pBdr>
                <w:bottom w:val="single" w:color="55585A" w:sz="4"/>
              </w:pBdr>
              <w:spacing w:after="6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64"/>
              <w:jc w:val="center"/>
            </w:pPr>
            <w:r>
              <w:rPr>
                <w:rFonts w:ascii="Roboto" w:cs="Roboto" w:eastAsia="Roboto" w:hAnsi="Roboto"/>
                <w:color w:val="55585A"/>
                <w:sz w:val="17"/>
                <w:szCs w:val="17"/>
              </w:rPr>
              <w:t xml:space="preserve">Nombre y firma</w:t>
            </w:r>
          </w:p>
        </w:tc>
        <w:tc>
          <w:tcPr>
            <w:tcW w:type="dxa" w:w="4786"/>
            <w:tcMar>
              <w:left w:type="dxa" w:w="0"/>
              <w:right w:type="dxa" w:w="200"/>
            </w:tcMar>
          </w:tcPr>
          <w:p>
            <w:pPr>
              <w:pBdr>
                <w:bottom w:val="single" w:color="55585A" w:sz="4"/>
              </w:pBdr>
              <w:spacing w:after="6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64"/>
              <w:jc w:val="center"/>
            </w:pPr>
            <w:r>
              <w:rPr>
                <w:rFonts w:ascii="Roboto" w:cs="Roboto" w:eastAsia="Roboto" w:hAnsi="Roboto"/>
                <w:color w:val="55585A"/>
                <w:sz w:val="17"/>
                <w:szCs w:val="17"/>
              </w:rPr>
              <w:t xml:space="preserve">Cargo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17" w:right="1133" w:bottom="1077" w:left="1133" w:header="680" w:footer="566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B28E5C" w:sz="6"/>
      </w:pBdr>
      <w:spacing w:after="40" w:before="0"/>
    </w:pPr>
    <w:r>
      <w:rPr>
        <w:sz w:val="2"/>
        <w:szCs w:val="2"/>
      </w:rPr>
      <w:t xml:space="preserve"/>
    </w:r>
  </w:p>
  <w:p>
    <w:pPr>
      <w:spacing w:after="0"/>
      <w:jc w:val="center"/>
    </w:pPr>
    <w:r>
      <w:rPr>
        <w:rFonts w:ascii="Roboto" w:cs="Roboto" w:eastAsia="Roboto" w:hAnsi="Roboto"/>
        <w:color w:val="55585A"/>
        <w:sz w:val="16"/>
        <w:szCs w:val="16"/>
      </w:rPr>
      <w:t xml:space="preserve">Página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55585A"/>
        <w:sz w:val="16"/>
        <w:szCs w:val="16"/>
      </w:rPr>
      <w:t xml:space="preserve"> de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B28E5C" w:sz="6"/>
      </w:pBdr>
      <w:spacing w:after="40" w:before="0"/>
    </w:pPr>
    <w:r>
      <w:rPr>
        <w:sz w:val="2"/>
        <w:szCs w:val="2"/>
      </w:rPr>
      <w:t xml:space="preserve"/>
    </w:r>
  </w:p>
  <w:p>
    <w:pPr>
      <w:spacing w:after="0"/>
      <w:jc w:val="center"/>
    </w:pPr>
    <w:r>
      <w:rPr>
        <w:rFonts w:ascii="Roboto" w:cs="Roboto" w:eastAsia="Roboto" w:hAnsi="Roboto"/>
        <w:color w:val="55585A"/>
        <w:sz w:val="16"/>
        <w:szCs w:val="16"/>
      </w:rPr>
      <w:t xml:space="preserve">Página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55585A"/>
        <w:sz w:val="16"/>
        <w:szCs w:val="16"/>
      </w:rPr>
      <w:t xml:space="preserve"> de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2148" w:sz="8"/>
      </w:pBdr>
      <w:spacing w:after="0" w:before="0"/>
    </w:pPr>
    <w:r>
      <w:rPr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185"/>
      <w:gridCol w:w="4787"/>
    </w:tblGrid>
    <w:tr>
      <w:tc>
        <w:tcPr>
          <w:tcW w:type="dxa" w:w="5185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75260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260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87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00"/>
            <w:jc w:val="right"/>
          </w:pPr>
          <w:r>
            <w:rPr>
              <w:rFonts w:ascii="Roboto" w:cs="Roboto" w:eastAsia="Roboto" w:hAnsi="Roboto"/>
              <w:b/>
              <w:bCs/>
              <w:caps/>
              <w:color w:val="55585A"/>
              <w:sz w:val="17"/>
              <w:szCs w:val="17"/>
            </w:rPr>
            <w:t xml:space="preserve">SECRETARÍA DEL MEDIO AMBIENTE</w:t>
          </w:r>
        </w:p>
        <w:p>
          <w:pPr>
            <w:spacing w:after="0" w:before="0" w:line="200"/>
            <w:jc w:val="right"/>
          </w:pPr>
          <w:r>
            <w:rPr>
              <w:rFonts w:ascii="Roboto" w:cs="Roboto" w:eastAsia="Roboto" w:hAnsi="Roboto"/>
              <w:color w:val="55585A"/>
              <w:sz w:val="17"/>
              <w:szCs w:val="17"/>
            </w:rPr>
            <w:t xml:space="preserve">Oficina de la Secretaría – Asesor "A"</w:t>
          </w:r>
        </w:p>
        <w:p>
          <w:pPr>
            <w:spacing w:after="0" w:before="0" w:line="200"/>
            <w:jc w:val="right"/>
          </w:pPr>
          <w:r>
            <w:rPr>
              <w:rFonts w:ascii="Roboto" w:cs="Roboto" w:eastAsia="Roboto" w:hAnsi="Roboto"/>
              <w:i/>
              <w:iCs/>
              <w:color w:val="55585A"/>
              <w:sz w:val="15"/>
              <w:szCs w:val="15"/>
            </w:rPr>
            <w:t xml:space="preserve">SEDEMA/OS/___/2026</w:t>
          </w:r>
        </w:p>
      </w:tc>
    </w:tr>
  </w:tbl>
  <w:p>
    <w:pPr>
      <w:pBdr>
        <w:bottom w:val="single" w:color="9D2148" w:sz="8"/>
      </w:pBdr>
      <w:spacing w:after="0" w:before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3322438207831fe7e8126c788695155a70e005c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Cédula de respuesta · Formulario web de denuncia ambiental</dc:title>
  <dc:creator>Secretaría del Medio Ambiente de la Ciudad de México</dc:creator>
  <dc:description>Once determinaciones que requiere la Dirección General de Inspección y Vigilancia Ambiental</dc:description>
  <cp:lastModifiedBy>Un-named</cp:lastModifiedBy>
  <cp:revision>1</cp:revision>
  <dcterms:created xsi:type="dcterms:W3CDTF">2026-09-25T20:40:47.471Z</dcterms:created>
  <dcterms:modified xsi:type="dcterms:W3CDTF">2026-09-25T20:40:47.472Z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