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00" w:line="264"/>
        <w:jc w:val="right"/>
      </w:pPr>
      <w:r>
        <w:rPr>
          <w:rFonts w:ascii="Roboto" w:cs="Roboto" w:eastAsia="Roboto" w:hAnsi="Roboto"/>
          <w:i/>
          <w:iCs/>
          <w:color w:val="55585A"/>
          <w:sz w:val="20"/>
          <w:szCs w:val="20"/>
        </w:rPr>
        <w:t xml:space="preserve">Ciudad de México, a ____ de ______________ de 2026</w:t>
      </w:r>
    </w:p>
    <w:p>
      <w:pPr>
        <w:spacing w:after="60" w:before="0" w:line="264"/>
        <w:jc w:val="center"/>
      </w:pPr>
      <w:r>
        <w:rPr>
          <w:rFonts w:ascii="Cabin" w:cs="Cabin" w:eastAsia="Cabin" w:hAnsi="Cabin"/>
          <w:b/>
          <w:bCs/>
          <w:color w:val="9D2148"/>
          <w:sz w:val="34"/>
          <w:szCs w:val="34"/>
        </w:rPr>
        <w:t xml:space="preserve">CÉDULA DE RESPUESTA</w:t>
      </w:r>
    </w:p>
    <w:p>
      <w:pPr>
        <w:spacing w:after="240" w:before="0" w:line="264"/>
        <w:jc w:val="center"/>
      </w:pPr>
      <w:r>
        <w:rPr>
          <w:rFonts w:ascii="Roboto" w:cs="Roboto" w:eastAsia="Roboto" w:hAnsi="Roboto"/>
          <w:b/>
          <w:bCs/>
          <w:color w:val="55585A"/>
          <w:sz w:val="21"/>
          <w:szCs w:val="21"/>
        </w:rPr>
        <w:t xml:space="preserve">Once determinaciones que requiere el formulario web de denuncia ambiental</w:t>
      </w:r>
    </w:p>
    <w:tbl>
      <w:tblPr>
        <w:tblW w:type="dxa" w:w="9972"/>
        <w:tblBorders>
          <w:top w:val="single" w:color="000000" w:sz="4"/>
          <w:left w:val="single" w:color="000000" w:sz="4"/>
          <w:bottom w:val="single" w:color="000000" w:sz="4"/>
          <w:right w:val="single" w:color="000000" w:sz="4"/>
          <w:insideH w:val="single" w:color="000000" w:sz="4"/>
          <w:insideV w:val="single" w:color="000000" w:sz="4"/>
        </w:tblBorders>
      </w:tblPr>
      <w:tblGrid>
        <w:gridCol w:w="9972"/>
      </w:tblGrid>
      <w:tr>
        <w:tc>
          <w:tcPr>
            <w:tcW w:type="dxa" w:w="9972"/>
            <w:tcMar>
              <w:top w:type="dxa" w:w="140"/>
              <w:left w:type="dxa" w:w="160"/>
              <w:bottom w:type="dxa" w:w="140"/>
              <w:right w:type="dxa" w:w="160"/>
            </w:tcMar>
          </w:tcPr>
          <w:p>
            <w:pPr>
              <w:spacing w:after="0" w:line="276"/>
            </w:pPr>
            <w:r>
              <w:rPr>
                <w:rFonts w:ascii="Roboto" w:cs="Roboto" w:eastAsia="Roboto" w:hAnsi="Roboto"/>
                <w:b/>
                <w:bCs/>
                <w:color w:val="9D2148"/>
                <w:sz w:val="20"/>
                <w:szCs w:val="20"/>
              </w:rPr>
              <w:t xml:space="preserve">Asunto: </w:t>
            </w:r>
            <w:r>
              <w:rPr>
                <w:rFonts w:ascii="Roboto" w:cs="Roboto" w:eastAsia="Roboto" w:hAnsi="Roboto"/>
                <w:color w:val="1A1A1A"/>
                <w:sz w:val="20"/>
                <w:szCs w:val="20"/>
              </w:rPr>
              <w:t xml:space="preserve">Se somete a consideración de la Dirección General de Inspección y Vigilancia Ambiental el conjunto de preguntas abiertas cuya respuesta le corresponde, para pasar del prototipo validado a la versión funcional del formulario web de denuncia ambiental. Cada pregunta se presenta con su razón, sus opciones cuando las tiene y una recomendación formulada, de modo que pueda resolverse en sesión y quede constancia de la respuesta.</w:t>
            </w:r>
          </w:p>
        </w:tc>
      </w:tr>
    </w:tbl>
    <w:p>
      <w:pPr>
        <w:keepNext/>
        <w:spacing w:after="40" w:before="130" w:line="264"/>
      </w:pPr>
      <w:r>
        <w:rPr>
          <w:rFonts w:ascii="Roboto" w:cs="Roboto" w:eastAsia="Roboto" w:hAnsi="Roboto"/>
          <w:b/>
          <w:bCs/>
          <w:caps/>
          <w:color w:val="55585A"/>
          <w:spacing w:val="20"/>
          <w:sz w:val="16"/>
          <w:szCs w:val="16"/>
        </w:rPr>
        <w:t xml:space="preserve">Cómo se responde</w:t>
      </w:r>
    </w:p>
    <w:p>
      <w:pPr>
        <w:spacing w:after="120" w:before="0" w:line="264"/>
        <w:jc w:val="both"/>
      </w:pPr>
      <w:r>
        <w:rPr>
          <w:rFonts w:ascii="Roboto" w:cs="Roboto" w:eastAsia="Roboto" w:hAnsi="Roboto"/>
          <w:color w:val="1A1A1A"/>
          <w:sz w:val="20"/>
          <w:szCs w:val="20"/>
        </w:rPr>
        <w:t xml:space="preserve">Cada pregunta ocupa una página y cierra con un recuadro para la respuesta. Basta con confirmar la recomendación, elegir una opción o escribir la determinación que corresponda, y anotar quién la adoptó y en qué fecha. El resumen de la página siguiente sirve para llevar la cuenta.</w:t>
      </w:r>
    </w:p>
    <w:p>
      <w:pPr>
        <w:spacing w:after="200" w:before="0" w:line="264"/>
        <w:jc w:val="both"/>
      </w:pPr>
      <w:r>
        <w:rPr>
          <w:rFonts w:ascii="Roboto" w:cs="Roboto" w:eastAsia="Roboto" w:hAnsi="Roboto"/>
          <w:color w:val="1A1A1A"/>
          <w:sz w:val="20"/>
          <w:szCs w:val="20"/>
        </w:rPr>
        <w:t xml:space="preserve">Las respuestas se incorporan al documento de decisiones del proyecto, que es el que sustenta el diseño del formulario ante la Unidad de Transparencia.</w:t>
      </w:r>
    </w:p>
    <w:p>
      <w:pPr>
        <w:keepNext/>
        <w:spacing w:after="40" w:before="130" w:line="264"/>
      </w:pPr>
      <w:r>
        <w:rPr>
          <w:rFonts w:ascii="Roboto" w:cs="Roboto" w:eastAsia="Roboto" w:hAnsi="Roboto"/>
          <w:b/>
          <w:bCs/>
          <w:caps/>
          <w:color w:val="55585A"/>
          <w:spacing w:val="20"/>
          <w:sz w:val="16"/>
          <w:szCs w:val="16"/>
        </w:rPr>
        <w:t xml:space="preserve">Orden sugerido</w:t>
      </w:r>
    </w:p>
    <w:p>
      <w:pPr>
        <w:spacing w:after="0" w:before="0" w:line="264"/>
        <w:jc w:val="both"/>
      </w:pPr>
      <w:r>
        <w:rPr>
          <w:rFonts w:ascii="Roboto" w:cs="Roboto" w:eastAsia="Roboto" w:hAnsi="Roboto"/>
          <w:color w:val="1A1A1A"/>
          <w:sz w:val="20"/>
          <w:szCs w:val="20"/>
        </w:rPr>
        <w:t xml:space="preserve">La pregunta P-01 se atiende primero, porque de ella dependen la naturaleza del instrumento y la redacción de todos sus textos. Las ocho del bloque II se resuelven de corrido y no requieren consulta jurídica. Las dos del bloque III pueden formularse en la misma sesión y resolverse después, con la opinión jurídica a la vista.</w:t>
      </w:r>
    </w:p>
    <w:p>
      <w:r>
        <w:br w:type="page"/>
      </w:r>
    </w:p>
    <w:p>
      <w:pPr>
        <w:keepNext/>
        <w:spacing w:after="60"/>
      </w:pPr>
      <w:r>
        <w:rPr>
          <w:rFonts w:ascii="Roboto" w:cs="Roboto" w:eastAsia="Roboto" w:hAnsi="Roboto"/>
          <w:b/>
          <w:bCs/>
          <w:color w:val="9D2148"/>
          <w:sz w:val="19"/>
          <w:szCs w:val="19"/>
        </w:rPr>
        <w:t xml:space="preserve">Tabla 1. </w:t>
      </w:r>
      <w:r>
        <w:rPr>
          <w:rFonts w:ascii="Roboto" w:cs="Roboto" w:eastAsia="Roboto" w:hAnsi="Roboto"/>
          <w:color w:val="1A1A1A"/>
          <w:sz w:val="19"/>
          <w:szCs w:val="19"/>
        </w:rPr>
        <w:t xml:space="preserve">Resumen de las once determinaciones, para llevar la cuenta de lo resuelto en sesión.</w:t>
      </w:r>
    </w:p>
    <w:tbl>
      <w:tblPr>
        <w:tblW w:type="dxa" w:w="9972"/>
        <w:tblBorders>
          <w:top w:val="single" w:color="C9A6B2" w:sz="4"/>
          <w:left w:val="single" w:color="C9A6B2" w:sz="4"/>
          <w:bottom w:val="single" w:color="C9A6B2" w:sz="4"/>
          <w:right w:val="single" w:color="C9A6B2" w:sz="4"/>
          <w:insideH w:val="single" w:color="C9A6B2" w:sz="4"/>
          <w:insideV w:val="single" w:color="C9A6B2" w:sz="4"/>
        </w:tblBorders>
      </w:tblPr>
      <w:tblGrid>
        <w:gridCol w:w="900"/>
        <w:gridCol w:w="4150"/>
        <w:gridCol w:w="1150"/>
        <w:gridCol w:w="3772"/>
      </w:tblGrid>
      <w:tr>
        <w:trPr>
          <w:tblHeader/>
        </w:trPr>
        <w:tc>
          <w:tcPr>
            <w:tcW w:type="dxa" w:w="900"/>
            <w:shd w:fill="9D2148" w:val="clear"/>
            <w:tcMar>
              <w:top w:type="dxa" w:w="90"/>
              <w:left w:type="dxa" w:w="110"/>
              <w:bottom w:type="dxa" w:w="90"/>
              <w:right w:type="dxa" w:w="110"/>
            </w:tcMar>
            <w:vAlign w:val="center"/>
          </w:tcPr>
          <w:p>
            <w:pPr>
              <w:spacing w:after="0" w:before="0" w:line="240"/>
            </w:pPr>
            <w:r>
              <w:rPr>
                <w:rFonts w:ascii="Roboto" w:cs="Roboto" w:eastAsia="Roboto" w:hAnsi="Roboto"/>
                <w:b/>
                <w:bCs/>
                <w:color w:val="FFFFFF"/>
                <w:sz w:val="18"/>
                <w:szCs w:val="18"/>
              </w:rPr>
              <w:t xml:space="preserve">Clave</w:t>
            </w:r>
          </w:p>
        </w:tc>
        <w:tc>
          <w:tcPr>
            <w:tcW w:type="dxa" w:w="4150"/>
            <w:shd w:fill="9D2148" w:val="clear"/>
            <w:tcMar>
              <w:top w:type="dxa" w:w="90"/>
              <w:left w:type="dxa" w:w="110"/>
              <w:bottom w:type="dxa" w:w="90"/>
              <w:right w:type="dxa" w:w="110"/>
            </w:tcMar>
            <w:vAlign w:val="center"/>
          </w:tcPr>
          <w:p>
            <w:pPr>
              <w:spacing w:after="0" w:before="0" w:line="240"/>
            </w:pPr>
            <w:r>
              <w:rPr>
                <w:rFonts w:ascii="Roboto" w:cs="Roboto" w:eastAsia="Roboto" w:hAnsi="Roboto"/>
                <w:b/>
                <w:bCs/>
                <w:color w:val="FFFFFF"/>
                <w:sz w:val="18"/>
                <w:szCs w:val="18"/>
              </w:rPr>
              <w:t xml:space="preserve">Determinación</w:t>
            </w:r>
          </w:p>
        </w:tc>
        <w:tc>
          <w:tcPr>
            <w:tcW w:type="dxa" w:w="1150"/>
            <w:shd w:fill="9D2148" w:val="clear"/>
            <w:tcMar>
              <w:top w:type="dxa" w:w="90"/>
              <w:left w:type="dxa" w:w="110"/>
              <w:bottom w:type="dxa" w:w="90"/>
              <w:right w:type="dxa" w:w="110"/>
            </w:tcMar>
            <w:vAlign w:val="center"/>
          </w:tcPr>
          <w:p>
            <w:pPr>
              <w:spacing w:after="0" w:before="0" w:line="240"/>
              <w:jc w:val="center"/>
            </w:pPr>
            <w:r>
              <w:rPr>
                <w:rFonts w:ascii="Roboto" w:cs="Roboto" w:eastAsia="Roboto" w:hAnsi="Roboto"/>
                <w:b/>
                <w:bCs/>
                <w:color w:val="FFFFFF"/>
                <w:sz w:val="18"/>
                <w:szCs w:val="18"/>
              </w:rPr>
              <w:t xml:space="preserve">Bloque</w:t>
            </w:r>
          </w:p>
        </w:tc>
        <w:tc>
          <w:tcPr>
            <w:tcW w:type="dxa" w:w="3772"/>
            <w:shd w:fill="9D2148" w:val="clear"/>
            <w:tcMar>
              <w:top w:type="dxa" w:w="90"/>
              <w:left w:type="dxa" w:w="110"/>
              <w:bottom w:type="dxa" w:w="90"/>
              <w:right w:type="dxa" w:w="110"/>
            </w:tcMar>
            <w:vAlign w:val="center"/>
          </w:tcPr>
          <w:p>
            <w:pPr>
              <w:spacing w:after="0" w:before="0" w:line="240"/>
            </w:pPr>
            <w:r>
              <w:rPr>
                <w:rFonts w:ascii="Roboto" w:cs="Roboto" w:eastAsia="Roboto" w:hAnsi="Roboto"/>
                <w:b/>
                <w:bCs/>
                <w:color w:val="FFFFFF"/>
                <w:sz w:val="18"/>
                <w:szCs w:val="18"/>
              </w:rPr>
              <w:t xml:space="preserve">Respuesta</w:t>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P-01</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Naturaleza jurídica del canal</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shd w:fill="F7F1F3" w:val="clear"/>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P-05</w:t>
            </w:r>
          </w:p>
        </w:tc>
        <w:tc>
          <w:tcPr>
            <w:tcW w:type="dxa" w:w="4150"/>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Procedencia de la denuncia anónima</w:t>
            </w:r>
          </w:p>
        </w:tc>
        <w:tc>
          <w:tcPr>
            <w:tcW w:type="dxa" w:w="1150"/>
            <w:shd w:fill="F7F1F3" w:val="clear"/>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P-06</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Número y peso de los archivos de evidencia</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shd w:fill="F7F1F3" w:val="clear"/>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P-07</w:t>
            </w:r>
          </w:p>
        </w:tc>
        <w:tc>
          <w:tcPr>
            <w:tcW w:type="dxa" w:w="4150"/>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Plazo para informar a quien pregunta por su folio</w:t>
            </w:r>
          </w:p>
        </w:tc>
        <w:tc>
          <w:tcPr>
            <w:tcW w:type="dxa" w:w="1150"/>
            <w:shd w:fill="F7F1F3" w:val="clear"/>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P-09</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Domicilios, horarios y teléfonos de las unidades</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shd w:fill="F7F1F3" w:val="clear"/>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P-08</w:t>
            </w:r>
          </w:p>
        </w:tc>
        <w:tc>
          <w:tcPr>
            <w:tcW w:type="dxa" w:w="4150"/>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Contactos de las instancias de derivación</w:t>
            </w:r>
          </w:p>
        </w:tc>
        <w:tc>
          <w:tcPr>
            <w:tcW w:type="dxa" w:w="1150"/>
            <w:shd w:fill="F7F1F3" w:val="clear"/>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P-14</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Estados del expediente visibles a quien denunció</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shd w:fill="F7F1F3" w:val="clear"/>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P-17</w:t>
            </w:r>
          </w:p>
        </w:tc>
        <w:tc>
          <w:tcPr>
            <w:tcW w:type="dxa" w:w="4150"/>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Obligatoriedad del teléfono</w:t>
            </w:r>
          </w:p>
        </w:tc>
        <w:tc>
          <w:tcPr>
            <w:tcW w:type="dxa" w:w="1150"/>
            <w:shd w:fill="F7F1F3" w:val="clear"/>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P-21</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Criterio de acumulación y priorización</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shd w:fill="F7F1F3" w:val="clear"/>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P-15</w:t>
            </w:r>
          </w:p>
        </w:tc>
        <w:tc>
          <w:tcPr>
            <w:tcW w:type="dxa" w:w="4150"/>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Obligatoriedad de la cuenta Llave CDMX</w:t>
            </w:r>
          </w:p>
        </w:tc>
        <w:tc>
          <w:tcPr>
            <w:tcW w:type="dxa" w:w="1150"/>
            <w:shd w:fill="F7F1F3" w:val="clear"/>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III</w:t>
            </w:r>
          </w:p>
        </w:tc>
        <w:tc>
          <w:tcPr>
            <w:tcW w:type="dxa" w:w="3772"/>
            <w:shd w:fill="F7F1F3" w:val="clear"/>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r>
        <w:trPr>
          <w:cantSplit/>
        </w:trPr>
        <w:tc>
          <w:tcPr>
            <w:tcW w:type="dxa" w:w="900"/>
            <w:tcMar>
              <w:top w:type="dxa" w:w="110"/>
              <w:left w:type="dxa" w:w="110"/>
              <w:bottom w:type="dxa" w:w="110"/>
              <w:right w:type="dxa" w:w="110"/>
            </w:tcMar>
            <w:vAlign w:val="center"/>
          </w:tcPr>
          <w:p>
            <w:pPr>
              <w:spacing w:after="0" w:before="0" w:line="240"/>
            </w:pPr>
            <w:r>
              <w:rPr>
                <w:rFonts w:ascii="Roboto" w:cs="Roboto" w:eastAsia="Roboto" w:hAnsi="Roboto"/>
                <w:b/>
                <w:bCs/>
                <w:color w:val="9D2148"/>
                <w:sz w:val="19"/>
                <w:szCs w:val="19"/>
              </w:rPr>
              <w:t xml:space="preserve">P-22</w:t>
            </w:r>
          </w:p>
        </w:tc>
        <w:tc>
          <w:tcPr>
            <w:tcW w:type="dxa" w:w="4150"/>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Competencia en ANP federal coadministrada</w:t>
            </w:r>
          </w:p>
        </w:tc>
        <w:tc>
          <w:tcPr>
            <w:tcW w:type="dxa" w:w="1150"/>
            <w:tcMar>
              <w:top w:type="dxa" w:w="110"/>
              <w:left w:type="dxa" w:w="110"/>
              <w:bottom w:type="dxa" w:w="110"/>
              <w:right w:type="dxa" w:w="110"/>
            </w:tcMar>
            <w:vAlign w:val="center"/>
          </w:tcPr>
          <w:p>
            <w:pPr>
              <w:spacing w:after="0" w:before="0" w:line="240"/>
              <w:jc w:val="center"/>
            </w:pPr>
            <w:r>
              <w:rPr>
                <w:rFonts w:ascii="Roboto" w:cs="Roboto" w:eastAsia="Roboto" w:hAnsi="Roboto"/>
                <w:b w:val="false"/>
                <w:bCs w:val="false"/>
                <w:color w:val="1A1A1A"/>
                <w:sz w:val="19"/>
                <w:szCs w:val="19"/>
              </w:rPr>
              <w:t xml:space="preserve">III</w:t>
            </w:r>
          </w:p>
        </w:tc>
        <w:tc>
          <w:tcPr>
            <w:tcW w:type="dxa" w:w="3772"/>
            <w:tcMar>
              <w:top w:type="dxa" w:w="110"/>
              <w:left w:type="dxa" w:w="110"/>
              <w:bottom w:type="dxa" w:w="110"/>
              <w:right w:type="dxa" w:w="110"/>
            </w:tcMar>
            <w:vAlign w:val="center"/>
          </w:tcPr>
          <w:p>
            <w:pPr>
              <w:spacing w:after="0" w:before="0" w:line="240"/>
            </w:pPr>
            <w:r>
              <w:rPr>
                <w:rFonts w:ascii="Roboto" w:cs="Roboto" w:eastAsia="Roboto" w:hAnsi="Roboto"/>
                <w:b w:val="false"/>
                <w:bCs w:val="false"/>
                <w:color w:val="1A1A1A"/>
                <w:sz w:val="19"/>
                <w:szCs w:val="19"/>
              </w:rPr>
              <w:t xml:space="preserve"/>
            </w:r>
          </w:p>
        </w:tc>
      </w:tr>
    </w:tbl>
    <w:p>
      <w:pPr>
        <w:spacing w:after="0" w:before="80" w:line="264"/>
      </w:pPr>
      <w:r>
        <w:rPr>
          <w:rFonts w:ascii="Roboto" w:cs="Roboto" w:eastAsia="Roboto" w:hAnsi="Roboto"/>
          <w:i/>
          <w:iCs/>
          <w:color w:val="55585A"/>
          <w:sz w:val="16"/>
          <w:szCs w:val="16"/>
        </w:rPr>
        <w:t xml:space="preserve">Nota: el bloque I condiciona la redacción de todos los textos del formulario; el bloque II no requiere consulta jurídica; el bloque III se resuelve con opinión de la unidad jurídica de la Secretaría.</w:t>
      </w:r>
    </w:p>
    <w:p>
      <w:r>
        <w:br w:type="page"/>
      </w:r>
    </w:p>
    <w:p>
      <w:pPr>
        <w:keepNext/>
        <w:spacing w:after="80" w:before="0" w:line="264"/>
      </w:pPr>
      <w:r>
        <w:rPr>
          <w:rFonts w:ascii="Cabin" w:cs="Cabin" w:eastAsia="Cabin" w:hAnsi="Cabin"/>
          <w:b/>
          <w:bCs/>
          <w:color w:val="9D2148"/>
          <w:sz w:val="26"/>
          <w:szCs w:val="26"/>
        </w:rPr>
        <w:t xml:space="preserve">I. La pregunta que condiciona a todas las demás</w:t>
      </w:r>
    </w:p>
    <w:p>
      <w:pPr>
        <w:pBdr>
          <w:bottom w:val="single" w:color="B28E5C" w:sz="6"/>
        </w:pBdr>
        <w:spacing w:after="140" w:before="0"/>
      </w:pPr>
      <w:r>
        <w:rPr>
          <w:sz w:val="2"/>
          <w:szCs w:val="2"/>
        </w:rPr>
        <w:t xml:space="preserve"/>
      </w:r>
    </w:p>
    <w:p>
      <w:pPr>
        <w:spacing w:after="240" w:before="0" w:line="264"/>
        <w:jc w:val="both"/>
      </w:pPr>
      <w:r>
        <w:rPr>
          <w:rFonts w:ascii="Roboto" w:cs="Roboto" w:eastAsia="Roboto" w:hAnsi="Roboto"/>
          <w:i/>
          <w:iCs/>
          <w:color w:val="55585A"/>
          <w:sz w:val="20"/>
          <w:szCs w:val="20"/>
        </w:rPr>
        <w:t xml:space="preserve">Debe resolverse primero: de su respuesta dependen el nombre del instrumento, los textos del acuse, el aviso de privacidad y los plazos que la Secretaría adquiere frente a la persona denunciante.</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P-01</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¿Qué es jurídicamente este canal: un reporte ciudadano o una denuncia ciudadana?</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El artículo 329 de la Ley Ambiental de la Ciudad de México dispone que la denuncia ciudadana se presenta ante la Procuraduría, no ante la Secretaría, y el artículo 332 exige su ratificación y obliga a contestar en treinta días hábiles. La Ley no prevé a la Secretaría como receptora.</w:t>
      </w:r>
    </w:p>
    <w:p>
      <w:pPr>
        <w:keepNext/>
        <w:spacing w:after="40" w:before="130" w:line="264"/>
      </w:pPr>
      <w:r>
        <w:rPr>
          <w:rFonts w:ascii="Roboto" w:cs="Roboto" w:eastAsia="Roboto" w:hAnsi="Roboto"/>
          <w:b/>
          <w:bCs/>
          <w:caps/>
          <w:color w:val="55585A"/>
          <w:spacing w:val="20"/>
          <w:sz w:val="16"/>
          <w:szCs w:val="16"/>
        </w:rPr>
        <w:t xml:space="preserve">Opciones</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A. Reporte ciudadano. </w:t>
            </w:r>
            <w:r>
              <w:rPr>
                <w:rFonts w:ascii="Roboto" w:cs="Roboto" w:eastAsia="Roboto" w:hAnsi="Roboto"/>
                <w:color w:val="1A1A1A"/>
                <w:sz w:val="20"/>
                <w:szCs w:val="20"/>
              </w:rPr>
              <w:t xml:space="preserve">El formulario capta información que, conforme al artículo 280 de la Ley Ambiental, la Secretaría valora para instaurar por sí misma el procedimiento de inspección. No requiere ratificación, es compatible con el anonimato y no obliga a plazo de respuesta.</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B. Denuncia ciudadana en sentido estricto. </w:t>
            </w:r>
            <w:r>
              <w:rPr>
                <w:rFonts w:ascii="Roboto" w:cs="Roboto" w:eastAsia="Roboto" w:hAnsi="Roboto"/>
                <w:color w:val="1A1A1A"/>
                <w:sz w:val="20"/>
                <w:szCs w:val="20"/>
              </w:rPr>
              <w:t xml:space="preserve">El formulario opera como ventanilla que remite a la Procuraduría, con ratificación en tres días hábiles y respuesta en treinta días hábiles.</w:t>
            </w:r>
          </w:p>
        </w:tc>
      </w:tr>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C. Mixta con remisión automática. </w:t>
            </w:r>
            <w:r>
              <w:rPr>
                <w:rFonts w:ascii="Roboto" w:cs="Roboto" w:eastAsia="Roboto" w:hAnsi="Roboto"/>
                <w:color w:val="1A1A1A"/>
                <w:sz w:val="20"/>
                <w:szCs w:val="20"/>
              </w:rPr>
              <w:t xml:space="preserve">Se capta como reporte y además se remite a la Procuraduría en todos los casos.</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D. Mixta con orientación. </w:t>
            </w:r>
            <w:r>
              <w:rPr>
                <w:rFonts w:ascii="Roboto" w:cs="Roboto" w:eastAsia="Roboto" w:hAnsi="Roboto"/>
                <w:color w:val="1A1A1A"/>
                <w:sz w:val="20"/>
                <w:szCs w:val="20"/>
              </w:rPr>
              <w:t xml:space="preserve">Se capta como reporte y se informa a la persona denunciante que puede presentar además su denuncia ante la Procuraduría, sin remitirla de oficio.</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Opción D, por tres razones verificadas en la Ley Orgánica de la Procuraduría Ambiental y del Ordenamiento Territorial.</w:t>
      </w:r>
    </w:p>
    <w:p>
      <w:pPr>
        <w:spacing w:after="100" w:before="0" w:line="264"/>
        <w:jc w:val="both"/>
      </w:pPr>
      <w:r>
        <w:rPr>
          <w:rFonts w:ascii="Roboto" w:cs="Roboto" w:eastAsia="Roboto" w:hAnsi="Roboto"/>
          <w:color w:val="1A1A1A"/>
          <w:sz w:val="20"/>
          <w:szCs w:val="20"/>
        </w:rPr>
        <w:t xml:space="preserve">Primero. La Procuraduría no inspecciona: su artículo 25, fracción IV, la faculta para requerir a las autoridades competentes la realización de las visitas de verificación e inspección. En materia ambiental local esa autoridad es la Secretaría, de modo que la denuncia presentada allá regresa como requerimiento, con la carga añadida de rendir informe en diez días hábiles bajo apercibimiento de responsabilidad administrativa.</w:t>
      </w:r>
    </w:p>
    <w:p>
      <w:pPr>
        <w:spacing w:after="100" w:before="0" w:line="264"/>
        <w:jc w:val="both"/>
      </w:pPr>
      <w:r>
        <w:rPr>
          <w:rFonts w:ascii="Roboto" w:cs="Roboto" w:eastAsia="Roboto" w:hAnsi="Roboto"/>
          <w:color w:val="1A1A1A"/>
          <w:sz w:val="20"/>
          <w:szCs w:val="20"/>
        </w:rPr>
        <w:t xml:space="preserve">Segundo. La remisión automática de la opción C generaría esa obligación de informar por cada caso, sin beneficio para la persona denunciante.</w:t>
      </w:r>
    </w:p>
    <w:p>
      <w:pPr>
        <w:spacing w:after="100" w:before="0" w:line="264"/>
        <w:jc w:val="both"/>
      </w:pPr>
      <w:r>
        <w:rPr>
          <w:rFonts w:ascii="Roboto" w:cs="Roboto" w:eastAsia="Roboto" w:hAnsi="Roboto"/>
          <w:color w:val="1A1A1A"/>
          <w:sz w:val="20"/>
          <w:szCs w:val="20"/>
        </w:rPr>
        <w:t xml:space="preserve">Tercero. La actuación de oficio no exige ratificación: el artículo 280 de la Ley Ambiental basta para instaurar el procedimiento con la información recabada.</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P-02, P-05, P-07 y la redacción de todos los textos del formulario.</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p>
      <w:pPr>
        <w:keepNext/>
        <w:spacing w:after="80" w:before="0" w:line="264"/>
      </w:pPr>
      <w:r>
        <w:rPr>
          <w:rFonts w:ascii="Cabin" w:cs="Cabin" w:eastAsia="Cabin" w:hAnsi="Cabin"/>
          <w:b/>
          <w:bCs/>
          <w:color w:val="9D2148"/>
          <w:sz w:val="26"/>
          <w:szCs w:val="26"/>
        </w:rPr>
        <w:t xml:space="preserve">II. Determinaciones que pueden adoptarse en sesión</w:t>
      </w:r>
    </w:p>
    <w:p>
      <w:pPr>
        <w:pBdr>
          <w:bottom w:val="single" w:color="B28E5C" w:sz="6"/>
        </w:pBdr>
        <w:spacing w:after="140" w:before="0"/>
      </w:pPr>
      <w:r>
        <w:rPr>
          <w:sz w:val="2"/>
          <w:szCs w:val="2"/>
        </w:rPr>
        <w:t xml:space="preserve"/>
      </w:r>
    </w:p>
    <w:p>
      <w:pPr>
        <w:spacing w:after="240" w:before="0" w:line="264"/>
        <w:jc w:val="both"/>
      </w:pPr>
      <w:r>
        <w:rPr>
          <w:rFonts w:ascii="Roboto" w:cs="Roboto" w:eastAsia="Roboto" w:hAnsi="Roboto"/>
          <w:i/>
          <w:iCs/>
          <w:color w:val="55585A"/>
          <w:sz w:val="20"/>
          <w:szCs w:val="20"/>
        </w:rPr>
        <w:t xml:space="preserve">Ninguna requiere consulta jurídica. Cada una lleva su recomendación formulada, de modo que la respuesta puede consistir en confirmarla o apartarse de ella.</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P-05</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¿Cuál es el criterio de procedencia de la denuncia anónima?</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Sin datos de contacto no es posible requerir información faltante ni notificar el resultado. El anonimato, sin embargo, no impide la actuación de la autoridad: el artículo 23, fracción II, de la Ley Orgánica de la Procuraduría enumera las denuncias no ratificadas como supuesto de investigación de oficio, y el equivalente para la Secretaría es el artículo 280 de la Ley Ambiental.</w:t>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Admitirla siempre, tratarla como insumo de actuación de oficio y condicionar la práctica de la inspección a que la descripción y la ubicación resulten suficientes por sí mismas. El formulario debe decirlo con esas palabras: la denuncia anónima se atiende, pero no se notifica.</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 regla de negocio RN-21.</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P-06</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¿Cuántos archivos de evidencia se admiten y de qué peso máximo?</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Determina el dimensionamiento del almacenamiento y el mensaje que el formulario muestra al rechazar un archivo.</w:t>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Diez archivos de hasta veinticinco megabytes cada uno, que es el supuesto con el que opera el prototipo.</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 regla de negocio RN-25.</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P-07</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¿En cuántos días se responde a quien pregunta por su folio?</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El Manual Administrativo ya fija los plazos del procedimiento: tres días hábiles para recibir la denuncia y turnarla, diez para analizar el caso, cinco para turnar o rechazar cuando no hay competencia, y noventa y tres días hábiles el procedimiento completo en suelo urbano —noventa, aproximadamente, en suelo de conservación—. Esas cifras ya están incorporadas al formulario.</w:t>
      </w:r>
    </w:p>
    <w:p>
      <w:pPr>
        <w:spacing w:after="100" w:before="0" w:line="264"/>
        <w:jc w:val="both"/>
      </w:pPr>
      <w:r>
        <w:rPr>
          <w:rFonts w:ascii="Roboto" w:cs="Roboto" w:eastAsia="Roboto" w:hAnsi="Roboto"/>
          <w:color w:val="1A1A1A"/>
          <w:sz w:val="20"/>
          <w:szCs w:val="20"/>
        </w:rPr>
        <w:t xml:space="preserve">Lo que el Manual no fija es el plazo para informar a la persona denunciante. La Jefatura de Unidad Departamental de Seguimiento a Denuncias tiene la función de elaborar esos informes, pero sin plazo escrito. El acuse promete informar el resultado: falta saber en cuántos días.</w:t>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Fijar un plazo expreso, aunque sea holgado. Un acuse que promete informar sin decir cuándo genera la expectativa que después no puede atenderse, y traslada la carga a la atención telefónica y a la Unidad de Transparencia.</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 parte de la regla RN-29 relativa al aviso de resultado.</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P-09</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¿Cuáles son los domicilios, horarios y teléfonos vigentes de las unidades que atienden?</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Hoy conviven dos domicilios contradictorios en los canales oficiales: el formato en PDF señala Tlaxcoaque No. 8 y el portal remite al Bosque de San Juan de Aragón. Un domicilio publicado en un canal oficial y desmentido en otro es, en sí mismo, un problema de certeza jurídica para quien presenta una denuncia por escrito.</w:t>
      </w:r>
    </w:p>
    <w:p>
      <w:pPr>
        <w:spacing w:after="100" w:before="0" w:line="264"/>
        <w:jc w:val="both"/>
      </w:pPr>
      <w:r>
        <w:rPr>
          <w:rFonts w:ascii="Roboto" w:cs="Roboto" w:eastAsia="Roboto" w:hAnsi="Roboto"/>
          <w:color w:val="1A1A1A"/>
          <w:sz w:val="20"/>
          <w:szCs w:val="20"/>
        </w:rPr>
        <w:t xml:space="preserve">A eso se suma que, desde que el turnado se decide por el tipo de suelo, la unidad que atiende ya no siempre es la misma. El pie del formulario y el apartado «Qué sigue» del acuse deben mostrar el domicilio de la unidad que efectivamente atenderá el caso.</w:t>
      </w:r>
    </w:p>
    <w:p>
      <w:pPr>
        <w:keepNext/>
        <w:spacing w:after="40" w:before="130" w:line="264"/>
      </w:pPr>
      <w:r>
        <w:rPr>
          <w:rFonts w:ascii="Roboto" w:cs="Roboto" w:eastAsia="Roboto" w:hAnsi="Roboto"/>
          <w:b/>
          <w:bCs/>
          <w:caps/>
          <w:color w:val="55585A"/>
          <w:spacing w:val="20"/>
          <w:sz w:val="16"/>
          <w:szCs w:val="16"/>
        </w:rPr>
        <w:t xml:space="preserve">Datos por confirmar, con domicilio completo, horario y teléfono</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Recepción de denuncias. </w:t>
            </w:r>
            <w:r>
              <w:rPr>
                <w:rFonts w:ascii="Roboto" w:cs="Roboto" w:eastAsia="Roboto" w:hAnsi="Roboto"/>
                <w:color w:val="1A1A1A"/>
                <w:sz w:val="20"/>
                <w:szCs w:val="20"/>
              </w:rPr>
              <w:t xml:space="preserve">Domicilio y horario de la Oficialía de Partes que recibe. Si es única para ambas direcciones generales, basta uno; si cada una recibe por su cuenta, son dos.</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Dirección General de Inspección y Vigilancia Ambiental. </w:t>
            </w:r>
            <w:r>
              <w:rPr>
                <w:rFonts w:ascii="Roboto" w:cs="Roboto" w:eastAsia="Roboto" w:hAnsi="Roboto"/>
                <w:color w:val="1A1A1A"/>
                <w:sz w:val="20"/>
                <w:szCs w:val="20"/>
              </w:rPr>
              <w:t xml:space="preserve">Domicilio de atención al público, horario y teléfono.</w:t>
            </w:r>
          </w:p>
        </w:tc>
      </w:tr>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Coordinación de Inspección Ambiental en Suelo de Conservación y Áreas Naturales Protegidas. </w:t>
            </w:r>
            <w:r>
              <w:rPr>
                <w:rFonts w:ascii="Roboto" w:cs="Roboto" w:eastAsia="Roboto" w:hAnsi="Roboto"/>
                <w:color w:val="1A1A1A"/>
                <w:sz w:val="20"/>
                <w:szCs w:val="20"/>
              </w:rPr>
              <w:t xml:space="preserve">Domicilio de atención al público, horario y teléfono. Conviene precisar si atiende en la sede de la dirección general o en oficinas en suelo de conservación.</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Mientras no se confirmen, el formulario y el acuse muestran únicamente la Oficialía de Partes con la advertencia correspondiente.</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Los textos del pie y del acuse, y la corrección del portal institucional.</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P-08</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¿Cuáles son los datos de contacto vigentes de las instancias receptoras por derivación?</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Cuando el hecho denunciado no es competencia de la Secretaría, el formulario orienta a la instancia que sí lo atiende. Hoy esos datos aparecen marcados como pendientes.</w:t>
      </w:r>
    </w:p>
    <w:p>
      <w:pPr>
        <w:keepNext/>
        <w:spacing w:after="40" w:before="130" w:line="264"/>
      </w:pPr>
      <w:r>
        <w:rPr>
          <w:rFonts w:ascii="Roboto" w:cs="Roboto" w:eastAsia="Roboto" w:hAnsi="Roboto"/>
          <w:b/>
          <w:bCs/>
          <w:caps/>
          <w:color w:val="55585A"/>
          <w:spacing w:val="20"/>
          <w:sz w:val="16"/>
          <w:szCs w:val="16"/>
        </w:rPr>
        <w:t xml:space="preserve">Qué se requiere</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Se requieren teléfono y liga vigentes de: </w:t>
            </w:r>
            <w:r>
              <w:rPr>
                <w:rFonts w:ascii="Roboto" w:cs="Roboto" w:eastAsia="Roboto" w:hAnsi="Roboto"/>
                <w:color w:val="1A1A1A"/>
                <w:sz w:val="20"/>
                <w:szCs w:val="20"/>
              </w:rPr>
              <w:t xml:space="preserve">Secretaría de Obras y Servicios, Secretaría de Seguridad Ciudadana, Procuraduría Ambiental y del Ordenamiento Territorial, Procuraduría Federal de Protección al Ambiente, Instituto de Verificación Administrativa, Agencia de Atención Animal y las dieciséis alcaldías.</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Puede resolverse con el directorio institucional publicado, contrastado con lo que cada instancia señala en su propio portal.</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Las pantallas de derivación.</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P-14</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¿Qué estados del expediente pueden mostrarse a quien denunció y con qué redacción?</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El seguimiento ciudadano no puede mostrar el estado interno tal cual: hay etapas cuya difusión compromete la diligencia de la visita de inspección o expone datos del presunto responsable. Se requiere una equivalencia autorizada entre los estados operativos y los estados públicos.</w:t>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Definir el catálogo interno de estados y, junto a cada uno, la frase que la persona denunciante ve. Hasta cuándo permanece disponible la consulta se define con la Unidad de Transparencia.</w:t>
      </w:r>
    </w:p>
    <w:p>
      <w:pPr>
        <w:spacing w:after="60" w:before="60" w:line="264"/>
        <w:jc w:val="both"/>
      </w:pPr>
      <w:r>
        <w:rPr>
          <w:rFonts w:ascii="Roboto" w:cs="Roboto" w:eastAsia="Roboto" w:hAnsi="Roboto"/>
          <w:i/>
          <w:iCs/>
          <w:color w:val="55585A"/>
          <w:sz w:val="17"/>
          <w:szCs w:val="17"/>
        </w:rPr>
        <w:t xml:space="preserve">Se resuelve con la Coordinación de Inspección Ambiental en Suelo de Conservación y Áreas Naturales Protegidas y con opinión de la Unidad de Transparencia.</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El desarrollo del seguimiento ciudadano por folio.</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P-17</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¿El teléfono debe seguir siendo obligatorio?</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El teléfono es obligatorio en el esquema actual, pero no es vía de notificación: la notificación se practica por correo electrónico o por domicilio. Su uso real es operativo —aclarar un dato, coordinar el acceso al sitio durante la visita—. La revisión de minimización de datos lo hizo visible: un dato personal que no sostiene ninguna actuación formal está condicionando la presentación de la denuncia.</w:t>
      </w:r>
    </w:p>
    <w:p>
      <w:pPr>
        <w:keepNext/>
        <w:spacing w:after="40" w:before="130" w:line="264"/>
      </w:pPr>
      <w:r>
        <w:rPr>
          <w:rFonts w:ascii="Roboto" w:cs="Roboto" w:eastAsia="Roboto" w:hAnsi="Roboto"/>
          <w:b/>
          <w:bCs/>
          <w:caps/>
          <w:color w:val="55585A"/>
          <w:spacing w:val="20"/>
          <w:sz w:val="16"/>
          <w:szCs w:val="16"/>
        </w:rPr>
        <w:t xml:space="preserve">Opciones</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A. Dejarlo obligatorio. </w:t>
            </w:r>
            <w:r>
              <w:rPr>
                <w:rFonts w:ascii="Roboto" w:cs="Roboto" w:eastAsia="Roboto" w:hAnsi="Roboto"/>
                <w:color w:val="1A1A1A"/>
                <w:sz w:val="20"/>
                <w:szCs w:val="20"/>
              </w:rPr>
              <w:t xml:space="preserve">Se conserva como requisito de envío en la ruta identificada.</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B. Volverlo opcional. </w:t>
            </w:r>
            <w:r>
              <w:rPr>
                <w:rFonts w:ascii="Roboto" w:cs="Roboto" w:eastAsia="Roboto" w:hAnsi="Roboto"/>
                <w:color w:val="1A1A1A"/>
                <w:sz w:val="20"/>
                <w:szCs w:val="20"/>
              </w:rPr>
              <w:t xml:space="preserve">Con la ayuda «agiliza la visita si el personal necesita confirmar algo contigo».</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Opción B. Quien quiera darlo lo dará; exigirlo sólo aparta a quien no quiere dejar su teléfono, y esa persona hoy no tiene alternativa salvo la denuncia anónima, que renuncia al seguimiento.</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El cierre del esquema de obligatoriedad.</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P-21</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¿Cuál es el criterio de acumulación y priorización ante un envío masivo?</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Quedan adoptados los dos primeros controles contra el envío masivo: prueba de humanidad en el envío y límite por origen y ventana de tiempo. Lo que falta no es técnico, es sustantivo.</w:t>
      </w:r>
    </w:p>
    <w:p>
      <w:pPr>
        <w:spacing w:after="100" w:before="0" w:line="264"/>
        <w:jc w:val="both"/>
      </w:pPr>
      <w:r>
        <w:rPr>
          <w:rFonts w:ascii="Roboto" w:cs="Roboto" w:eastAsia="Roboto" w:hAnsi="Roboto"/>
          <w:color w:val="1A1A1A"/>
          <w:sz w:val="20"/>
          <w:szCs w:val="20"/>
        </w:rPr>
        <w:t xml:space="preserve">La autoridad no puede negarse a recibir. Lo que sí puede es ordenar la cola: la defensa correcta no es el rechazo por sospecha, es la priorización y la acumulación de denuncias que versan sobre el mismo punto y la misma materia.</w:t>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Fijar el criterio con el que varias denuncias sobre el mismo punto y materia se acumulan en un solo expediente, y el umbral a partir del cual una ráfaga se marca para revisión sin detener la recepción.</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 puesta en operación, no el prototipo.</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p>
      <w:pPr>
        <w:keepNext/>
        <w:spacing w:after="80" w:before="0" w:line="264"/>
      </w:pPr>
      <w:r>
        <w:rPr>
          <w:rFonts w:ascii="Cabin" w:cs="Cabin" w:eastAsia="Cabin" w:hAnsi="Cabin"/>
          <w:b/>
          <w:bCs/>
          <w:color w:val="9D2148"/>
          <w:sz w:val="26"/>
          <w:szCs w:val="26"/>
        </w:rPr>
        <w:t xml:space="preserve">III. Determinaciones que requieren opinión de la unidad jurídica</w:t>
      </w:r>
    </w:p>
    <w:p>
      <w:pPr>
        <w:pBdr>
          <w:bottom w:val="single" w:color="B28E5C" w:sz="6"/>
        </w:pBdr>
        <w:spacing w:after="140" w:before="0"/>
      </w:pPr>
      <w:r>
        <w:rPr>
          <w:sz w:val="2"/>
          <w:szCs w:val="2"/>
        </w:rPr>
        <w:t xml:space="preserve"/>
      </w:r>
    </w:p>
    <w:p>
      <w:pPr>
        <w:spacing w:after="240" w:before="0" w:line="264"/>
        <w:jc w:val="both"/>
      </w:pPr>
      <w:r>
        <w:rPr>
          <w:rFonts w:ascii="Roboto" w:cs="Roboto" w:eastAsia="Roboto" w:hAnsi="Roboto"/>
          <w:i/>
          <w:iCs/>
          <w:color w:val="55585A"/>
          <w:sz w:val="20"/>
          <w:szCs w:val="20"/>
        </w:rPr>
        <w:t xml:space="preserve">Pueden formularse en la misma sesión y resolverse después, con la opinión a la vista.</w:t>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P-15</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¿La cuenta Llave CDMX será obligatoria para denunciar?</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El formulario opera hoy con tres rutas de identificación: anónima, datos escritos y cuenta Llave CDMX. Exigir cuenta para denunciar es incompatible con la denuncia anónima.</w:t>
      </w:r>
    </w:p>
    <w:p>
      <w:pPr>
        <w:spacing w:after="100" w:before="0" w:line="264"/>
        <w:jc w:val="both"/>
      </w:pPr>
      <w:r>
        <w:rPr>
          <w:rFonts w:ascii="Roboto" w:cs="Roboto" w:eastAsia="Roboto" w:hAnsi="Roboto"/>
          <w:color w:val="1A1A1A"/>
          <w:sz w:val="20"/>
          <w:szCs w:val="20"/>
        </w:rPr>
        <w:t xml:space="preserve">Si esta Dirección General determina que la cuenta sea obligatoria, la denuncia anónima desaparece del canal y la pregunta P-05 debe resolverse en ese sentido. La integración técnica corresponde a la Agencia Digital de Innovación Pública y no se pregunta aquí.</w:t>
      </w:r>
    </w:p>
    <w:p>
      <w:pPr>
        <w:keepNext/>
        <w:spacing w:after="40" w:before="130" w:line="264"/>
      </w:pPr>
      <w:r>
        <w:rPr>
          <w:rFonts w:ascii="Roboto" w:cs="Roboto" w:eastAsia="Roboto" w:hAnsi="Roboto"/>
          <w:b/>
          <w:bCs/>
          <w:caps/>
          <w:color w:val="55585A"/>
          <w:spacing w:val="20"/>
          <w:sz w:val="16"/>
          <w:szCs w:val="16"/>
        </w:rPr>
        <w:t xml:space="preserve">Opciones</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A. Conservar las tres rutas. </w:t>
            </w:r>
            <w:r>
              <w:rPr>
                <w:rFonts w:ascii="Roboto" w:cs="Roboto" w:eastAsia="Roboto" w:hAnsi="Roboto"/>
                <w:color w:val="1A1A1A"/>
                <w:sz w:val="20"/>
                <w:szCs w:val="20"/>
              </w:rPr>
              <w:t xml:space="preserve">La cuenta prellena los datos, vincula el folio y habilita el seguimiento; la ruta anónima subsiste con folio y clave en pantalla, sin notificación ni recuperación.</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B. Cuenta obligatoria. </w:t>
            </w:r>
            <w:r>
              <w:rPr>
                <w:rFonts w:ascii="Roboto" w:cs="Roboto" w:eastAsia="Roboto" w:hAnsi="Roboto"/>
                <w:color w:val="1A1A1A"/>
                <w:sz w:val="20"/>
                <w:szCs w:val="20"/>
              </w:rPr>
              <w:t xml:space="preserve">Desaparece la denuncia anónima del canal.</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Opción A. La autenticación traslada a la cuenta datos personales que hoy se capturan a mano, lo que conviene; pero un muro de autenticación pierde la denuncia de quien no tiene cuenta, y el artículo 280 de la Ley Ambiental permite actuar sin identificación de la persona denunciante.</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 versión funcional del formulario y los dos módulos de seguimiento.</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1100"/>
        <w:gridCol w:w="8872"/>
      </w:tblGrid>
      <w:tr>
        <w:trPr>
          <w:cantSplit/>
        </w:trPr>
        <w:tc>
          <w:tcPr>
            <w:tcW w:type="dxa" w:w="1100"/>
            <w:shd w:fill="9D2148" w:val="clear"/>
            <w:tcMar>
              <w:top w:type="dxa" w:w="80"/>
              <w:left w:type="dxa" w:w="120"/>
              <w:bottom w:type="dxa" w:w="80"/>
              <w:right w:type="dxa" w:w="60"/>
            </w:tcMar>
            <w:vAlign w:val="center"/>
          </w:tcPr>
          <w:p>
            <w:pPr>
              <w:spacing w:after="0" w:before="0" w:line="240"/>
            </w:pPr>
            <w:r>
              <w:rPr>
                <w:rFonts w:ascii="Cabin" w:cs="Cabin" w:eastAsia="Cabin" w:hAnsi="Cabin"/>
                <w:b/>
                <w:bCs/>
                <w:color w:val="FFFFFF"/>
                <w:sz w:val="22"/>
                <w:szCs w:val="22"/>
              </w:rPr>
              <w:t xml:space="preserve">P-22</w:t>
            </w:r>
          </w:p>
        </w:tc>
        <w:tc>
          <w:tcPr>
            <w:tcW w:type="dxa" w:w="8872"/>
            <w:shd w:fill="F7F1F3" w:val="clear"/>
            <w:tcMar>
              <w:top w:type="dxa" w:w="80"/>
              <w:left w:type="dxa" w:w="140"/>
              <w:bottom w:type="dxa" w:w="80"/>
              <w:right w:type="dxa" w:w="140"/>
            </w:tcMar>
            <w:vAlign w:val="center"/>
          </w:tcPr>
          <w:p>
            <w:pPr>
              <w:spacing w:after="0" w:before="0" w:line="240"/>
            </w:pPr>
            <w:r>
              <w:rPr>
                <w:rFonts w:ascii="Cabin" w:cs="Cabin" w:eastAsia="Cabin" w:hAnsi="Cabin"/>
                <w:b/>
                <w:bCs/>
                <w:color w:val="9D2148"/>
                <w:sz w:val="21"/>
                <w:szCs w:val="21"/>
              </w:rPr>
              <w:t xml:space="preserve">¿Quién atiende una denuncia dentro de un Área Natural Protegida federal coadministrada?</w:t>
            </w:r>
          </w:p>
        </w:tc>
      </w:tr>
    </w:tbl>
    <w:p>
      <w:pPr>
        <w:spacing w:after="8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Por qué importa</w:t>
      </w:r>
    </w:p>
    <w:p>
      <w:pPr>
        <w:spacing w:after="100" w:before="0" w:line="264"/>
        <w:jc w:val="both"/>
      </w:pPr>
      <w:r>
        <w:rPr>
          <w:rFonts w:ascii="Roboto" w:cs="Roboto" w:eastAsia="Roboto" w:hAnsi="Roboto"/>
          <w:color w:val="1A1A1A"/>
          <w:sz w:val="20"/>
          <w:szCs w:val="20"/>
        </w:rPr>
        <w:t xml:space="preserve">Es la pregunta de competencia con más consecuencias. Si la Secretaría inspecciona donde no puede, el acto nace viciado y la persona denunciada lo revierte; si deriva a la Federación lo que sí podía atender, el canal pierde su razón de ser en ocho de los sitios de mayor valor ambiental de la Ciudad: Desierto de los Leones, Cumbres del Ajusco, Tepeyac, Lomas de Padierna, Fuentes Brotantes, Cerro de la Estrella, Insurgente Miguel Hidalgo y Costilla, y Tláhuac-Xico.</w:t>
      </w:r>
    </w:p>
    <w:p>
      <w:pPr>
        <w:spacing w:after="100" w:before="0" w:line="264"/>
        <w:jc w:val="both"/>
      </w:pPr>
      <w:r>
        <w:rPr>
          <w:rFonts w:ascii="Roboto" w:cs="Roboto" w:eastAsia="Roboto" w:hAnsi="Roboto"/>
          <w:color w:val="1A1A1A"/>
          <w:sz w:val="20"/>
          <w:szCs w:val="20"/>
        </w:rPr>
        <w:t xml:space="preserve">La cláusula SEGUNDA del Convenio Marco CONANP–Ciudad de México define la administración como actividades de conservación, «sin perjuicio de las facultades que en materia de inspección y vigilancia otorga el Título Sexto de la Ley General del Equilibrio Ecológico y la Protección al Ambiente», cuyo artículo 161 las atribuye a la autoridad federal. Leído así, el convenio reparte administración y manejo, no inspección.</w:t>
      </w:r>
    </w:p>
    <w:p>
      <w:pPr>
        <w:spacing w:after="100" w:before="0" w:line="264"/>
        <w:jc w:val="both"/>
      </w:pPr>
      <w:r>
        <w:rPr>
          <w:rFonts w:ascii="Roboto" w:cs="Roboto" w:eastAsia="Roboto" w:hAnsi="Roboto"/>
          <w:color w:val="1A1A1A"/>
          <w:sz w:val="20"/>
          <w:szCs w:val="20"/>
        </w:rPr>
        <w:t xml:space="preserve">Lo que no resuelve es si esa salvedad impide del todo a la Secretaría inspeccionar ahí, o si puede hacerlo por otra vía: el decreto local cuando hay concurrencia, un convenio específico de los que prevé la cláusula QUINTA, o la coadyuvancia en vigilancia de la cláusula CUARTA, inciso d). Tampoco convino el cauce de remisión de la denuncia federal recibida.</w:t>
      </w:r>
    </w:p>
    <w:p>
      <w:pPr>
        <w:keepNext/>
        <w:spacing w:after="40" w:before="130" w:line="264"/>
      </w:pPr>
      <w:r>
        <w:rPr>
          <w:rFonts w:ascii="Roboto" w:cs="Roboto" w:eastAsia="Roboto" w:hAnsi="Roboto"/>
          <w:b/>
          <w:bCs/>
          <w:caps/>
          <w:color w:val="55585A"/>
          <w:spacing w:val="20"/>
          <w:sz w:val="16"/>
          <w:szCs w:val="16"/>
        </w:rPr>
        <w:t xml:space="preserve">Opciones</w:t>
      </w:r>
    </w:p>
    <w:tbl>
      <w:tblPr>
        <w:tblW w:type="dxa" w:w="9972"/>
        <w:tblBorders>
          <w:top w:val="single" w:color="E4D9DD" w:sz="4"/>
          <w:left w:val="single" w:color="E4D9DD" w:sz="4"/>
          <w:bottom w:val="single" w:color="E4D9DD" w:sz="4"/>
          <w:right w:val="single" w:color="E4D9DD" w:sz="4"/>
          <w:insideH w:val="single" w:color="E4D9DD" w:sz="4"/>
          <w:insideV w:val="single" w:color="E4D9DD" w:sz="4"/>
        </w:tblBorders>
      </w:tblPr>
      <w:tblGrid>
        <w:gridCol w:w="9972"/>
      </w:tblGrid>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A. Competencia federal en las nueve áreas. </w:t>
            </w:r>
            <w:r>
              <w:rPr>
                <w:rFonts w:ascii="Roboto" w:cs="Roboto" w:eastAsia="Roboto" w:hAnsi="Roboto"/>
                <w:color w:val="1A1A1A"/>
                <w:sz w:val="20"/>
                <w:szCs w:val="20"/>
              </w:rPr>
              <w:t xml:space="preserve">La denuncia se recibe y se remite a la Procuraduría Federal de Protección al Ambiente. Es lo que el formulario hace hoy, de forma provisional.</w:t>
            </w:r>
          </w:p>
        </w:tc>
      </w:tr>
      <w:tr>
        <w:trPr>
          <w:cantSplit/>
        </w:trPr>
        <w:tc>
          <w:tcPr>
            <w:tcW w:type="dxa" w:w="9972"/>
            <w:shd w:fill="FCFAFB" w:val="clear"/>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B. Competencia local en las ocho coadministradas. </w:t>
            </w:r>
            <w:r>
              <w:rPr>
                <w:rFonts w:ascii="Roboto" w:cs="Roboto" w:eastAsia="Roboto" w:hAnsi="Roboto"/>
                <w:color w:val="1A1A1A"/>
                <w:sz w:val="20"/>
                <w:szCs w:val="20"/>
              </w:rPr>
              <w:t xml:space="preserve">Requiere el fundamento que el convenio no da: habría que exhibirlo.</w:t>
            </w:r>
          </w:p>
        </w:tc>
      </w:tr>
      <w:tr>
        <w:trPr>
          <w:cantSplit/>
        </w:trPr>
        <w:tc>
          <w:tcPr>
            <w:tcW w:type="dxa" w:w="9972"/>
            <w:tcMar>
              <w:top w:type="dxa" w:w="50"/>
              <w:left w:type="dxa" w:w="130"/>
              <w:bottom w:type="dxa" w:w="50"/>
              <w:right w:type="dxa" w:w="130"/>
            </w:tcMar>
          </w:tcPr>
          <w:p>
            <w:pPr>
              <w:spacing w:after="0" w:line="252"/>
            </w:pPr>
            <w:r>
              <w:rPr>
                <w:rFonts w:ascii="Roboto" w:cs="Roboto" w:eastAsia="Roboto" w:hAnsi="Roboto"/>
                <w:b/>
                <w:bCs/>
                <w:color w:val="1A1A1A"/>
                <w:sz w:val="20"/>
                <w:szCs w:val="20"/>
              </w:rPr>
              <w:t xml:space="preserve">C. Competencia federal, con convenio específico de remisión y de vigilancia. </w:t>
            </w:r>
            <w:r>
              <w:rPr>
                <w:rFonts w:ascii="Roboto" w:cs="Roboto" w:eastAsia="Roboto" w:hAnsi="Roboto"/>
                <w:color w:val="1A1A1A"/>
                <w:sz w:val="20"/>
                <w:szCs w:val="20"/>
              </w:rPr>
              <w:t xml:space="preserve">Se conviene con la CONANP el cauce —que su cláusula TERCERA, inciso p), contempla al enumerar la denuncia ciudadana entre las materias de los proyectos conjuntos— y la Secretaría coadyuva en vigilancia sin ordenar inspecciones.</w:t>
            </w:r>
          </w:p>
        </w:tc>
      </w:tr>
    </w:tbl>
    <w:p>
      <w:pPr>
        <w:spacing w:after="60"/>
      </w:pPr>
      <w:r>
        <w:rPr>
          <w:sz w:val="2"/>
          <w:szCs w:val="2"/>
        </w:rPr>
        <w:t xml:space="preserve"/>
      </w:r>
    </w:p>
    <w:p>
      <w:pPr>
        <w:keepNext/>
        <w:spacing w:after="40" w:before="130" w:line="264"/>
      </w:pPr>
      <w:r>
        <w:rPr>
          <w:rFonts w:ascii="Roboto" w:cs="Roboto" w:eastAsia="Roboto" w:hAnsi="Roboto"/>
          <w:b/>
          <w:bCs/>
          <w:caps/>
          <w:color w:val="55585A"/>
          <w:spacing w:val="20"/>
          <w:sz w:val="16"/>
          <w:szCs w:val="16"/>
        </w:rPr>
        <w:t xml:space="preserve">Recomendación del Sistema de Información Ambiental</w:t>
      </w:r>
    </w:p>
    <w:p>
      <w:pPr>
        <w:spacing w:after="100" w:before="0" w:line="264"/>
        <w:jc w:val="both"/>
      </w:pPr>
      <w:r>
        <w:rPr>
          <w:rFonts w:ascii="Roboto" w:cs="Roboto" w:eastAsia="Roboto" w:hAnsi="Roboto"/>
          <w:color w:val="1A1A1A"/>
          <w:sz w:val="20"/>
          <w:szCs w:val="20"/>
        </w:rPr>
        <w:t xml:space="preserve">Opción A mientras no haya respuesta, y opción C como destino. La opción A no compromete nada y evita el acto viciado; la C aprovecha el convenio para algo más que quedar enterada.</w:t>
      </w:r>
    </w:p>
    <w:p>
      <w:pPr>
        <w:spacing w:after="60" w:before="60" w:line="264"/>
        <w:jc w:val="both"/>
      </w:pPr>
      <w:r>
        <w:rPr>
          <w:rFonts w:ascii="Roboto" w:cs="Roboto" w:eastAsia="Roboto" w:hAnsi="Roboto"/>
          <w:i/>
          <w:iCs/>
          <w:color w:val="55585A"/>
          <w:sz w:val="17"/>
          <w:szCs w:val="17"/>
        </w:rPr>
        <w:t xml:space="preserve">Corresponde a esta Dirección General junto con la Dirección General de la Comisión de Recursos Naturales y Desarrollo Rural y la unidad jurídica de la Secretaría. Conviene consultarlo también con la Dirección Regional Centro y Eje Neovolcánico de la CONANP, responsable designada en la cláusula SÉPTIMA.</w:t>
      </w:r>
    </w:p>
    <w:p>
      <w:pPr>
        <w:spacing w:after="150" w:before="40" w:line="264"/>
      </w:pPr>
      <w:r>
        <w:rPr>
          <w:rFonts w:ascii="Roboto" w:cs="Roboto" w:eastAsia="Roboto" w:hAnsi="Roboto"/>
          <w:b/>
          <w:bCs/>
          <w:i/>
          <w:iCs/>
          <w:color w:val="55585A"/>
          <w:sz w:val="17"/>
          <w:szCs w:val="17"/>
        </w:rPr>
        <w:t xml:space="preserve">Qué desbloquea: </w:t>
      </w:r>
      <w:r>
        <w:rPr>
          <w:rFonts w:ascii="Roboto" w:cs="Roboto" w:eastAsia="Roboto" w:hAnsi="Roboto"/>
          <w:i/>
          <w:iCs/>
          <w:color w:val="55585A"/>
          <w:sz w:val="17"/>
          <w:szCs w:val="17"/>
        </w:rPr>
        <w:t xml:space="preserve">Las reglas RN-04 y RN-05 en su parte federal, y la pregunta P-04, cuya respuesta se deriva de ésta.</w:t>
      </w:r>
    </w:p>
    <w:tbl>
      <w:tblPr>
        <w:tblW w:type="dxa" w:w="9972"/>
        <w:tblBorders>
          <w:top w:val="single" w:color="9D2148" w:sz="12"/>
          <w:left w:val="single" w:color="9D2148" w:sz="4"/>
          <w:bottom w:val="single" w:color="9D2148" w:sz="4"/>
          <w:right w:val="single" w:color="9D2148" w:sz="4"/>
          <w:insideH w:val="none" w:color="FFFFFF" w:sz="0"/>
          <w:insideV w:val="none" w:color="FFFFFF" w:sz="0"/>
        </w:tblBorders>
      </w:tblPr>
      <w:tblGrid>
        <w:gridCol w:w="9972"/>
      </w:tblGrid>
      <w:tr>
        <w:trPr>
          <w:cantSplit/>
        </w:trPr>
        <w:tc>
          <w:tcPr>
            <w:tcW w:type="dxa" w:w="9972"/>
            <w:tcMar>
              <w:top w:type="dxa" w:w="110"/>
              <w:left w:type="dxa" w:w="160"/>
              <w:bottom w:type="dxa" w:w="120"/>
              <w:right w:type="dxa" w:w="160"/>
            </w:tcMar>
          </w:tcPr>
          <w:p>
            <w:pPr>
              <w:spacing w:after="80" w:before="0" w:line="240"/>
            </w:pPr>
            <w:r>
              <w:rPr>
                <w:rFonts w:ascii="Roboto" w:cs="Roboto" w:eastAsia="Roboto" w:hAnsi="Roboto"/>
                <w:b/>
                <w:bCs/>
                <w:color w:val="9D2148"/>
                <w:sz w:val="17"/>
                <w:szCs w:val="17"/>
              </w:rPr>
              <w:t xml:space="preserve">Respuesta de la Dirección General</w:t>
            </w:r>
          </w:p>
          <w:tbl>
            <w:tblPr>
              <w:tblW w:type="dxa" w:w="9652"/>
              <w:tblBorders>
                <w:top w:val="none" w:color="FFFFFF" w:sz="0"/>
                <w:left w:val="none" w:color="FFFFFF" w:sz="0"/>
                <w:bottom w:val="dotted" w:color="8A8D8F" w:sz="4"/>
                <w:right w:val="none" w:color="FFFFFF" w:sz="0"/>
                <w:insideH w:val="dotted" w:color="8A8D8F" w:sz="4"/>
                <w:insideV w:val="none" w:color="FFFFFF" w:sz="0"/>
              </w:tblBorders>
            </w:tblPr>
            <w:tblGrid>
              <w:gridCol w:w="9652"/>
            </w:tblGrid>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r>
              <w:trPr>
                <w:cantSplit/>
                <w:trHeight w:val="300" w:hRule="atLeast"/>
              </w:trPr>
              <w:tc>
                <w:tcPr>
                  <w:tcW w:type="dxa" w:w="9652"/>
                  <w:tcMar>
                    <w:top w:type="dxa" w:w="0"/>
                    <w:left w:type="dxa" w:w="0"/>
                    <w:bottom w:type="dxa" w:w="0"/>
                    <w:right w:type="dxa" w:w="0"/>
                  </w:tcMar>
                </w:tcPr>
                <w:p>
                  <w:pPr>
                    <w:spacing w:after="0" w:line="240"/>
                  </w:pPr>
                  <w:r>
                    <w:rPr>
                      <w:sz w:val="18"/>
                      <w:szCs w:val="18"/>
                    </w:rPr>
                    <w:t xml:space="preserve"/>
                  </w:r>
                </w:p>
              </w:tc>
            </w:tr>
          </w:tbl>
          <w:p>
            <w:pPr>
              <w:spacing w:after="0" w:before="150"/>
            </w:pPr>
            <w:r>
              <w:rPr>
                <w:rFonts w:ascii="Roboto" w:cs="Roboto" w:eastAsia="Roboto" w:hAnsi="Roboto"/>
                <w:b/>
                <w:bCs/>
                <w:color w:val="9D2148"/>
                <w:sz w:val="17"/>
                <w:szCs w:val="17"/>
              </w:rPr>
              <w:t xml:space="preserve">Quién determinó: </w:t>
            </w:r>
            <w:r>
              <w:rPr>
                <w:rFonts w:ascii="Roboto" w:cs="Roboto" w:eastAsia="Roboto" w:hAnsi="Roboto"/>
                <w:color w:val="8A8D8F"/>
                <w:sz w:val="17"/>
                <w:szCs w:val="17"/>
              </w:rPr>
              <w:t xml:space="preserve">_______________________________________     </w:t>
            </w:r>
            <w:r>
              <w:rPr>
                <w:rFonts w:ascii="Roboto" w:cs="Roboto" w:eastAsia="Roboto" w:hAnsi="Roboto"/>
                <w:b/>
                <w:bCs/>
                <w:color w:val="9D2148"/>
                <w:sz w:val="17"/>
                <w:szCs w:val="17"/>
              </w:rPr>
              <w:t xml:space="preserve">Fecha: </w:t>
            </w:r>
            <w:r>
              <w:rPr>
                <w:rFonts w:ascii="Roboto" w:cs="Roboto" w:eastAsia="Roboto" w:hAnsi="Roboto"/>
                <w:color w:val="8A8D8F"/>
                <w:sz w:val="17"/>
                <w:szCs w:val="17"/>
              </w:rPr>
              <w:t xml:space="preserve">____ / ____ / 2026</w:t>
            </w:r>
          </w:p>
        </w:tc>
      </w:tr>
    </w:tbl>
    <w:p>
      <w:pPr>
        <w:spacing w:after="0"/>
      </w:pPr>
      <w:r>
        <w:br w:type="page"/>
      </w:r>
    </w:p>
    <w:p>
      <w:pPr>
        <w:keepNext/>
        <w:spacing w:after="80" w:before="0" w:line="264"/>
      </w:pPr>
      <w:r>
        <w:rPr>
          <w:rFonts w:ascii="Cabin" w:cs="Cabin" w:eastAsia="Cabin" w:hAnsi="Cabin"/>
          <w:b/>
          <w:bCs/>
          <w:color w:val="9D2148"/>
          <w:sz w:val="24"/>
          <w:szCs w:val="24"/>
        </w:rPr>
        <w:t xml:space="preserve">Para conocimiento: preguntas que se gestionan con otras instancias</w:t>
      </w:r>
    </w:p>
    <w:p>
      <w:pPr>
        <w:pBdr>
          <w:bottom w:val="single" w:color="B28E5C" w:sz="6"/>
        </w:pBdr>
        <w:spacing w:after="140" w:before="0"/>
      </w:pPr>
      <w:r>
        <w:rPr>
          <w:sz w:val="2"/>
          <w:szCs w:val="2"/>
        </w:rPr>
        <w:t xml:space="preserve"/>
      </w:r>
    </w:p>
    <w:p>
      <w:pPr>
        <w:spacing w:after="160" w:before="0" w:line="264"/>
      </w:pPr>
      <w:r>
        <w:rPr>
          <w:rFonts w:ascii="Roboto" w:cs="Roboto" w:eastAsia="Roboto" w:hAnsi="Roboto"/>
          <w:i/>
          <w:iCs/>
          <w:color w:val="55585A"/>
          <w:sz w:val="20"/>
          <w:szCs w:val="20"/>
        </w:rPr>
        <w:t xml:space="preserve">Se enuncian para que no se lleven a esta mesa y para dejar constancia de que están en curso.</w:t>
      </w:r>
    </w:p>
    <w:tbl>
      <w:tblPr>
        <w:tblW w:type="dxa" w:w="9972"/>
        <w:tblBorders>
          <w:top w:val="single" w:color="C9A6B2" w:sz="4"/>
          <w:left w:val="single" w:color="C9A6B2" w:sz="4"/>
          <w:bottom w:val="single" w:color="C9A6B2" w:sz="4"/>
          <w:right w:val="single" w:color="C9A6B2" w:sz="4"/>
          <w:insideH w:val="single" w:color="C9A6B2" w:sz="4"/>
          <w:insideV w:val="single" w:color="C9A6B2" w:sz="4"/>
        </w:tblBorders>
      </w:tblPr>
      <w:tblGrid>
        <w:gridCol w:w="3000"/>
        <w:gridCol w:w="6972"/>
      </w:tblGrid>
      <w:tr>
        <w:trPr>
          <w:tblHeader/>
        </w:trPr>
        <w:tc>
          <w:tcPr>
            <w:tcW w:type="dxa" w:w="3000"/>
            <w:shd w:fill="9D2148" w:val="clear"/>
            <w:tcMar>
              <w:top w:type="dxa" w:w="90"/>
              <w:left w:type="dxa" w:w="110"/>
              <w:bottom w:type="dxa" w:w="90"/>
              <w:right w:type="dxa" w:w="110"/>
            </w:tcMar>
          </w:tcPr>
          <w:p>
            <w:pPr>
              <w:spacing w:after="0" w:before="0" w:line="240"/>
            </w:pPr>
            <w:r>
              <w:rPr>
                <w:rFonts w:ascii="Roboto" w:cs="Roboto" w:eastAsia="Roboto" w:hAnsi="Roboto"/>
                <w:b/>
                <w:bCs/>
                <w:color w:val="FFFFFF"/>
                <w:sz w:val="18"/>
                <w:szCs w:val="18"/>
              </w:rPr>
              <w:t xml:space="preserve">Instancia</w:t>
            </w:r>
          </w:p>
        </w:tc>
        <w:tc>
          <w:tcPr>
            <w:tcW w:type="dxa" w:w="6972"/>
            <w:shd w:fill="9D2148" w:val="clear"/>
            <w:tcMar>
              <w:top w:type="dxa" w:w="90"/>
              <w:left w:type="dxa" w:w="110"/>
              <w:bottom w:type="dxa" w:w="90"/>
              <w:right w:type="dxa" w:w="110"/>
            </w:tcMar>
          </w:tcPr>
          <w:p>
            <w:pPr>
              <w:spacing w:after="0" w:before="0" w:line="240"/>
            </w:pPr>
            <w:r>
              <w:rPr>
                <w:rFonts w:ascii="Roboto" w:cs="Roboto" w:eastAsia="Roboto" w:hAnsi="Roboto"/>
                <w:b/>
                <w:bCs/>
                <w:color w:val="FFFFFF"/>
                <w:sz w:val="18"/>
                <w:szCs w:val="18"/>
              </w:rPr>
              <w:t xml:space="preserve">Preguntas a su cargo</w:t>
            </w:r>
          </w:p>
        </w:tc>
      </w:tr>
      <w:tr>
        <w:trPr>
          <w:cantSplit/>
        </w:trPr>
        <w:tc>
          <w:tcPr>
            <w:tcW w:type="dxa" w:w="3000"/>
            <w:tcMar>
              <w:top w:type="dxa" w:w="110"/>
              <w:left w:type="dxa" w:w="110"/>
              <w:bottom w:type="dxa" w:w="110"/>
              <w:right w:type="dxa" w:w="110"/>
            </w:tcMar>
          </w:tcPr>
          <w:p>
            <w:pPr>
              <w:spacing w:after="0" w:before="0" w:line="252"/>
            </w:pPr>
            <w:r>
              <w:rPr>
                <w:rFonts w:ascii="Roboto" w:cs="Roboto" w:eastAsia="Roboto" w:hAnsi="Roboto"/>
                <w:b/>
                <w:bCs/>
                <w:color w:val="9D2148"/>
                <w:sz w:val="19"/>
                <w:szCs w:val="19"/>
              </w:rPr>
              <w:t xml:space="preserve">Unidad de Transparencia</w:t>
            </w:r>
          </w:p>
        </w:tc>
        <w:tc>
          <w:tcPr>
            <w:tcW w:type="dxa" w:w="6972"/>
            <w:tcMar>
              <w:top w:type="dxa" w:w="110"/>
              <w:left w:type="dxa" w:w="110"/>
              <w:bottom w:type="dxa" w:w="110"/>
              <w:right w:type="dxa" w:w="110"/>
            </w:tcMar>
          </w:tcPr>
          <w:p>
            <w:pPr>
              <w:spacing w:after="0" w:before="0" w:line="252"/>
            </w:pPr>
            <w:r>
              <w:rPr>
                <w:rFonts w:ascii="Roboto" w:cs="Roboto" w:eastAsia="Roboto" w:hAnsi="Roboto"/>
                <w:b w:val="false"/>
                <w:bCs w:val="false"/>
                <w:color w:val="1A1A1A"/>
                <w:sz w:val="19"/>
                <w:szCs w:val="19"/>
              </w:rPr>
              <w:t xml:space="preserve">P-02 · Reexpedición del aviso de privacidad. P-19 · Los seis datos que el aviso necesita para poder publicarse. P-20 · Tratamiento del género como dato sensible.</w:t>
            </w:r>
          </w:p>
        </w:tc>
      </w:tr>
      <w:tr>
        <w:trPr>
          <w:cantSplit/>
        </w:trPr>
        <w:tc>
          <w:tcPr>
            <w:tcW w:type="dxa" w:w="3000"/>
            <w:shd w:fill="F7F1F3" w:val="clear"/>
            <w:tcMar>
              <w:top w:type="dxa" w:w="110"/>
              <w:left w:type="dxa" w:w="110"/>
              <w:bottom w:type="dxa" w:w="110"/>
              <w:right w:type="dxa" w:w="110"/>
            </w:tcMar>
          </w:tcPr>
          <w:p>
            <w:pPr>
              <w:spacing w:after="0" w:before="0" w:line="252"/>
            </w:pPr>
            <w:r>
              <w:rPr>
                <w:rFonts w:ascii="Roboto" w:cs="Roboto" w:eastAsia="Roboto" w:hAnsi="Roboto"/>
                <w:b/>
                <w:bCs/>
                <w:color w:val="9D2148"/>
                <w:sz w:val="19"/>
                <w:szCs w:val="19"/>
              </w:rPr>
              <w:t xml:space="preserve">Agencia Digital de Innovación Pública</w:t>
            </w:r>
          </w:p>
        </w:tc>
        <w:tc>
          <w:tcPr>
            <w:tcW w:type="dxa" w:w="6972"/>
            <w:shd w:fill="F7F1F3" w:val="clear"/>
            <w:tcMar>
              <w:top w:type="dxa" w:w="110"/>
              <w:left w:type="dxa" w:w="110"/>
              <w:bottom w:type="dxa" w:w="110"/>
              <w:right w:type="dxa" w:w="110"/>
            </w:tcMar>
          </w:tcPr>
          <w:p>
            <w:pPr>
              <w:spacing w:after="0" w:before="0" w:line="252"/>
            </w:pPr>
            <w:r>
              <w:rPr>
                <w:rFonts w:ascii="Roboto" w:cs="Roboto" w:eastAsia="Roboto" w:hAnsi="Roboto"/>
                <w:b w:val="false"/>
                <w:bCs w:val="false"/>
                <w:color w:val="1A1A1A"/>
                <w:sz w:val="19"/>
                <w:szCs w:val="19"/>
              </w:rPr>
              <w:t xml:space="preserve">P-15 en su parte técnica · Mecanismo de integración con Llave CDMX. P-16 · Catálogo oficial de colonias y códigos postales. Se solicitan en un solo oficio.</w:t>
            </w:r>
          </w:p>
        </w:tc>
      </w:tr>
      <w:tr>
        <w:trPr>
          <w:cantSplit/>
        </w:trPr>
        <w:tc>
          <w:tcPr>
            <w:tcW w:type="dxa" w:w="3000"/>
            <w:tcMar>
              <w:top w:type="dxa" w:w="110"/>
              <w:left w:type="dxa" w:w="110"/>
              <w:bottom w:type="dxa" w:w="110"/>
              <w:right w:type="dxa" w:w="110"/>
            </w:tcMar>
          </w:tcPr>
          <w:p>
            <w:pPr>
              <w:spacing w:after="0" w:before="0" w:line="252"/>
            </w:pPr>
            <w:r>
              <w:rPr>
                <w:rFonts w:ascii="Roboto" w:cs="Roboto" w:eastAsia="Roboto" w:hAnsi="Roboto"/>
                <w:b/>
                <w:bCs/>
                <w:color w:val="9D2148"/>
                <w:sz w:val="19"/>
                <w:szCs w:val="19"/>
              </w:rPr>
              <w:t xml:space="preserve">Sistema de Información Ambiental</w:t>
            </w:r>
          </w:p>
        </w:tc>
        <w:tc>
          <w:tcPr>
            <w:tcW w:type="dxa" w:w="6972"/>
            <w:tcMar>
              <w:top w:type="dxa" w:w="110"/>
              <w:left w:type="dxa" w:w="110"/>
              <w:bottom w:type="dxa" w:w="110"/>
              <w:right w:type="dxa" w:w="110"/>
            </w:tcMar>
          </w:tcPr>
          <w:p>
            <w:pPr>
              <w:spacing w:after="0" w:before="0" w:line="252"/>
            </w:pPr>
            <w:r>
              <w:rPr>
                <w:rFonts w:ascii="Roboto" w:cs="Roboto" w:eastAsia="Roboto" w:hAnsi="Roboto"/>
                <w:b w:val="false"/>
                <w:bCs w:val="false"/>
                <w:color w:val="1A1A1A"/>
                <w:sz w:val="19"/>
                <w:szCs w:val="19"/>
              </w:rPr>
              <w:t xml:space="preserve">P-11 · Normalización de las categorías de la capa. P-12 · Servicio de geocodificación y cruce espacial en la versión funcional. P-13 · Estructura del folio. P-18 · Resolución de los enlaces cortos de mapas, ya decidida y por construir.</w:t>
            </w:r>
          </w:p>
        </w:tc>
      </w:tr>
    </w:tbl>
    <w:p>
      <w:pPr>
        <w:keepNext/>
        <w:spacing w:after="80" w:before="400" w:line="264"/>
      </w:pPr>
      <w:r>
        <w:rPr>
          <w:rFonts w:ascii="Cabin" w:cs="Cabin" w:eastAsia="Cabin" w:hAnsi="Cabin"/>
          <w:b/>
          <w:bCs/>
          <w:color w:val="9D2148"/>
          <w:sz w:val="24"/>
          <w:szCs w:val="24"/>
        </w:rPr>
        <w:t xml:space="preserve">Constancia</w:t>
      </w:r>
    </w:p>
    <w:p>
      <w:pPr>
        <w:pBdr>
          <w:bottom w:val="single" w:color="B28E5C" w:sz="6"/>
        </w:pBdr>
        <w:spacing w:after="160" w:before="0"/>
      </w:pPr>
      <w:r>
        <w:rPr>
          <w:sz w:val="2"/>
          <w:szCs w:val="2"/>
        </w:rPr>
        <w:t xml:space="preserve"/>
      </w:r>
    </w:p>
    <w:p>
      <w:pPr>
        <w:spacing w:after="500" w:before="0" w:line="264"/>
        <w:jc w:val="both"/>
      </w:pPr>
      <w:r>
        <w:rPr>
          <w:rFonts w:ascii="Roboto" w:cs="Roboto" w:eastAsia="Roboto" w:hAnsi="Roboto"/>
          <w:color w:val="1A1A1A"/>
          <w:sz w:val="20"/>
          <w:szCs w:val="20"/>
        </w:rPr>
        <w:t xml:space="preserve">Las determinaciones anotadas en esta cédula se tienen por adoptadas por la Dirección General de Inspección y Vigilancia Ambiental y se incorporan al documento de decisiones del proyecto.</w:t>
      </w:r>
    </w:p>
    <w:tbl>
      <w:tblPr>
        <w:tblW w:type="dxa" w:w="9572"/>
        <w:tblBorders>
          <w:top w:val="none" w:color="FFFFFF" w:sz="0"/>
          <w:left w:val="none" w:color="FFFFFF" w:sz="0"/>
          <w:bottom w:val="none" w:color="FFFFFF" w:sz="0"/>
          <w:right w:val="none" w:color="FFFFFF" w:sz="0"/>
          <w:insideH w:val="none" w:color="FFFFFF" w:sz="0"/>
          <w:insideV w:val="none" w:color="FFFFFF" w:sz="0"/>
        </w:tblBorders>
      </w:tblPr>
      <w:tblGrid>
        <w:gridCol w:w="4786"/>
        <w:gridCol w:w="4786"/>
      </w:tblGrid>
      <w:tr>
        <w:tc>
          <w:tcPr>
            <w:tcW w:type="dxa" w:w="4786"/>
            <w:tcMar>
              <w:left w:type="dxa" w:w="0"/>
              <w:right w:type="dxa" w:w="200"/>
            </w:tcMar>
          </w:tcPr>
          <w:p>
            <w:pPr>
              <w:pBdr>
                <w:bottom w:val="single" w:color="55585A" w:sz="4"/>
              </w:pBdr>
              <w:spacing w:after="60" w:before="0"/>
            </w:pPr>
            <w:r>
              <w:rPr>
                <w:sz w:val="2"/>
                <w:szCs w:val="2"/>
              </w:rPr>
              <w:t xml:space="preserve"/>
            </w:r>
          </w:p>
          <w:p>
            <w:pPr>
              <w:spacing w:after="0" w:before="0" w:line="264"/>
              <w:jc w:val="center"/>
            </w:pPr>
            <w:r>
              <w:rPr>
                <w:rFonts w:ascii="Roboto" w:cs="Roboto" w:eastAsia="Roboto" w:hAnsi="Roboto"/>
                <w:color w:val="55585A"/>
                <w:sz w:val="17"/>
                <w:szCs w:val="17"/>
              </w:rPr>
              <w:t xml:space="preserve">Nombre y firma</w:t>
            </w:r>
          </w:p>
        </w:tc>
        <w:tc>
          <w:tcPr>
            <w:tcW w:type="dxa" w:w="4786"/>
            <w:tcMar>
              <w:left w:type="dxa" w:w="0"/>
              <w:right w:type="dxa" w:w="200"/>
            </w:tcMar>
          </w:tcPr>
          <w:p>
            <w:pPr>
              <w:pBdr>
                <w:bottom w:val="single" w:color="55585A" w:sz="4"/>
              </w:pBdr>
              <w:spacing w:after="60" w:before="0"/>
            </w:pPr>
            <w:r>
              <w:rPr>
                <w:sz w:val="2"/>
                <w:szCs w:val="2"/>
              </w:rPr>
              <w:t xml:space="preserve"/>
            </w:r>
          </w:p>
          <w:p>
            <w:pPr>
              <w:spacing w:after="0" w:before="0" w:line="264"/>
              <w:jc w:val="center"/>
            </w:pPr>
            <w:r>
              <w:rPr>
                <w:rFonts w:ascii="Roboto" w:cs="Roboto" w:eastAsia="Roboto" w:hAnsi="Roboto"/>
                <w:color w:val="55585A"/>
                <w:sz w:val="17"/>
                <w:szCs w:val="17"/>
              </w:rPr>
              <w:t xml:space="preserve">Cargo</w:t>
            </w:r>
          </w:p>
        </w:tc>
      </w:tr>
    </w:tbl>
    <w:sectPr>
      <w:headerReference w:type="default" r:id="rId7"/>
      <w:headerReference w:type="first" r:id="rId8"/>
      <w:footerReference w:type="default" r:id="rId9"/>
      <w:footerReference w:type="first" r:id="rId10"/>
      <w:pgSz w:w="12240" w:h="15840" w:orient="portrait"/>
      <w:pgMar w:top="1417" w:right="1133" w:bottom="1077" w:left="1133" w:header="680" w:footer="566"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6"/>
      </w:pBdr>
      <w:spacing w:after="40" w:before="0"/>
    </w:pPr>
    <w:r>
      <w:rPr>
        <w:sz w:val="2"/>
        <w:szCs w:val="2"/>
      </w:rPr>
      <w:t xml:space="preserve"/>
    </w:r>
  </w:p>
  <w:p>
    <w:pPr>
      <w:spacing w:after="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B28E5C" w:sz="6"/>
      </w:pBdr>
      <w:spacing w:after="40" w:before="0"/>
    </w:pPr>
    <w:r>
      <w:rPr>
        <w:sz w:val="2"/>
        <w:szCs w:val="2"/>
      </w:rPr>
      <w:t xml:space="preserve"/>
    </w:r>
  </w:p>
  <w:p>
    <w:pPr>
      <w:spacing w:after="0"/>
      <w:jc w:val="center"/>
    </w:pPr>
    <w:r>
      <w:rPr>
        <w:rFonts w:ascii="Roboto" w:cs="Roboto" w:eastAsia="Roboto" w:hAnsi="Roboto"/>
        <w:color w:val="55585A"/>
        <w:sz w:val="16"/>
        <w:szCs w:val="16"/>
      </w:rPr>
      <w:t xml:space="preserve">Página </w:t>
    </w:r>
    <w:r>
      <w:rPr>
        <w:rFonts w:ascii="Roboto" w:cs="Roboto" w:eastAsia="Roboto" w:hAnsi="Roboto"/>
        <w:color w:val="55585A"/>
        <w:sz w:val="16"/>
        <w:szCs w:val="16"/>
      </w:rPr>
      <w:fldChar w:fldCharType="begin"/>
      <w:instrText xml:space="preserve">PAGE</w:instrText>
      <w:fldChar w:fldCharType="separate"/>
      <w:fldChar w:fldCharType="end"/>
    </w:r>
    <w:r>
      <w:rPr>
        <w:rFonts w:ascii="Roboto" w:cs="Roboto" w:eastAsia="Roboto" w:hAnsi="Roboto"/>
        <w:color w:val="55585A"/>
        <w:sz w:val="16"/>
        <w:szCs w:val="16"/>
      </w:rPr>
      <w:t xml:space="preserve"> de </w:t>
    </w:r>
    <w:r>
      <w:rPr>
        <w:rFonts w:ascii="Roboto" w:cs="Roboto" w:eastAsia="Roboto" w:hAnsi="Roboto"/>
        <w:color w:val="5558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D2148" w:sz="8"/>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972"/>
      <w:tblBorders>
        <w:top w:val="none" w:color="FFFFFF" w:sz="0"/>
        <w:left w:val="none" w:color="FFFFFF" w:sz="0"/>
        <w:bottom w:val="none" w:color="FFFFFF" w:sz="0"/>
        <w:right w:val="none" w:color="FFFFFF" w:sz="0"/>
        <w:insideH w:val="none" w:color="FFFFFF" w:sz="0"/>
        <w:insideV w:val="none" w:color="FFFFFF" w:sz="0"/>
      </w:tblBorders>
    </w:tblPr>
    <w:tblGrid>
      <w:gridCol w:w="5185"/>
      <w:gridCol w:w="4787"/>
    </w:tblGrid>
    <w:tr>
      <w:tc>
        <w:tcPr>
          <w:tcW w:type="dxa" w:w="5185"/>
          <w:tcMar>
            <w:top w:type="dxa" w:w="0"/>
            <w:left w:type="dxa" w:w="0"/>
            <w:bottom w:type="dxa" w:w="0"/>
            <w:right w:type="dxa" w:w="0"/>
          </w:tcMar>
          <w:vAlign w:val="center"/>
        </w:tcPr>
        <w:p>
          <w:pPr>
            <w:spacing w:after="0"/>
          </w:pPr>
          <w:r>
            <w:drawing>
              <wp:inline distT="0" distB="0" distL="0" distR="0">
                <wp:extent cx="1752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52600" cy="352425"/>
                        </a:xfrm>
                        <a:prstGeom prst="rect">
                          <a:avLst/>
                        </a:prstGeom>
                      </pic:spPr>
                    </pic:pic>
                  </a:graphicData>
                </a:graphic>
              </wp:inline>
            </w:drawing>
          </w:r>
        </w:p>
      </w:tc>
      <w:tc>
        <w:tcPr>
          <w:tcW w:type="dxa" w:w="4787"/>
          <w:tcMar>
            <w:top w:type="dxa" w:w="0"/>
            <w:left w:type="dxa" w:w="0"/>
            <w:bottom w:type="dxa" w:w="0"/>
            <w:right w:type="dxa" w:w="0"/>
          </w:tcMar>
          <w:vAlign w:val="center"/>
        </w:tcPr>
        <w:p>
          <w:pPr>
            <w:spacing w:after="0" w:before="0" w:line="200"/>
            <w:jc w:val="right"/>
          </w:pPr>
          <w:r>
            <w:rPr>
              <w:rFonts w:ascii="Roboto" w:cs="Roboto" w:eastAsia="Roboto" w:hAnsi="Roboto"/>
              <w:b/>
              <w:bCs/>
              <w:caps/>
              <w:color w:val="55585A"/>
              <w:sz w:val="17"/>
              <w:szCs w:val="17"/>
            </w:rPr>
            <w:t xml:space="preserve">SECRETARÍA DEL MEDIO AMBIENTE</w:t>
          </w:r>
        </w:p>
        <w:p>
          <w:pPr>
            <w:spacing w:after="0" w:before="0" w:line="200"/>
            <w:jc w:val="right"/>
          </w:pPr>
          <w:r>
            <w:rPr>
              <w:rFonts w:ascii="Roboto" w:cs="Roboto" w:eastAsia="Roboto" w:hAnsi="Roboto"/>
              <w:color w:val="55585A"/>
              <w:sz w:val="17"/>
              <w:szCs w:val="17"/>
            </w:rPr>
            <w:t xml:space="preserve">Oficina de la Secretaría – Asesor "A"</w:t>
          </w:r>
        </w:p>
        <w:p>
          <w:pPr>
            <w:spacing w:after="0" w:before="0" w:line="200"/>
            <w:jc w:val="right"/>
          </w:pPr>
          <w:r>
            <w:rPr>
              <w:rFonts w:ascii="Roboto" w:cs="Roboto" w:eastAsia="Roboto" w:hAnsi="Roboto"/>
              <w:i/>
              <w:iCs/>
              <w:color w:val="55585A"/>
              <w:sz w:val="15"/>
              <w:szCs w:val="15"/>
            </w:rPr>
            <w:t xml:space="preserve">SEDEMA/OS/___/2026</w:t>
          </w:r>
        </w:p>
      </w:tc>
    </w:tr>
  </w:tbl>
  <w:p>
    <w:pPr>
      <w:pBdr>
        <w:bottom w:val="single" w:color="9D2148" w:sz="8"/>
      </w:pBdr>
      <w:spacing w:after="0" w:before="6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3322438207831fe7e8126c788695155a70e005c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Cédula de respuesta · Formulario web de denuncia ambiental</dc:title>
  <dc:creator>Secretaría del Medio Ambiente de la Ciudad de México</dc:creator>
  <dc:description>Once determinaciones que requiere la Dirección General de Inspección y Vigilancia Ambiental</dc:description>
  <cp:lastModifiedBy>Un-named</cp:lastModifiedBy>
  <cp:revision>1</cp:revision>
  <dcterms:created xsi:type="dcterms:W3CDTF">2026-09-24T16:22:54.927Z</dcterms:created>
  <dcterms:modified xsi:type="dcterms:W3CDTF">2026-09-24T16:22:54.927Z</dcterms:modified>
</cp:coreProperties>
</file>

<file path=docProps/custom.xml><?xml version="1.0" encoding="utf-8"?>
<Properties xmlns="http://schemas.openxmlformats.org/officeDocument/2006/custom-properties" xmlns:vt="http://schemas.openxmlformats.org/officeDocument/2006/docPropsVTypes"/>
</file>