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Горящий Лес — огнеупорное масло</w:t>
      </w:r>
    </w:p>
    <w:p>
      <w:r>
        <w:t>Только новое. Как раньше: приложи наш готовый PNG как образец стиля (лучше любой предмет мода, например флакон или ресурс), один предмет на картинку.</w:t>
      </w:r>
    </w:p>
    <w:p>
      <w:r>
        <w:t>Файл: Avir_FireproofOil (иконка предмета; ей же будет кнопка приказа «Fireproof»). Нужен один флакон, вид сверху-сбоку, как у предметов RimWorld.</w:t>
      </w:r>
    </w:p>
    <w:p>
      <w:pPr>
        <w:pStyle w:val="IntenseQuote"/>
      </w:pPr>
      <w:r>
        <w:t>Match the art style of the attached image exactly: the same painterly RimWorld item look, the same thin dark outline, the same soft shading and level of detail. Draw ONE small glass flask of thick amber oil in the RimWorld top-down 3/4 item view, on a transparent background, filling a 512x512 square: a round-bellied stoppered flask of clear glass, filled with glowing amber-orange oil with tiny golden sparks suspended in it, a cork stopper bound with a strip of dark leather, a faint warm glow around the oil. Nothing else in the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