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i/>
          <w:sz w:val="26"/>
        </w:rPr>
        <w:t>3.6.4.2 Feature-based Questionnaire</w:t>
      </w:r>
    </w:p>
    <w:p>
      <w:pPr>
        <w:spacing w:before="0" w:after="80" w:line="276" w:lineRule="auto"/>
      </w:pPr>
      <w:r>
        <w:rPr>
          <w:rFonts w:ascii="Times New Roman" w:hAnsi="Times New Roman"/>
          <w:b/>
          <w:sz w:val="20"/>
        </w:rPr>
        <w:t>Directions: Please pick a rating for each criterion whether:</w:t>
        <w:br/>
      </w:r>
      <w:r>
        <w:rPr>
          <w:rFonts w:ascii="Times New Roman" w:hAnsi="Times New Roman"/>
          <w:sz w:val="20"/>
        </w:rPr>
        <w:t>STRONGLY DISAGREE (1), DISAGREE (2), AGREE (3), or STRONGLY AGREE (4).</w:t>
        <w:br/>
        <w:br/>
      </w:r>
      <w:r>
        <w:rPr>
          <w:rFonts w:ascii="Times New Roman" w:hAnsi="Times New Roman"/>
          <w:b/>
          <w:sz w:val="20"/>
        </w:rPr>
        <w:t>Panuto: Pumili ng antas ng iyong pagsang-ayon para sa bawat pamantayan kung ikaw ay:</w:t>
        <w:br/>
      </w:r>
      <w:r>
        <w:rPr>
          <w:rFonts w:ascii="Times New Roman" w:hAnsi="Times New Roman"/>
          <w:sz w:val="20"/>
        </w:rPr>
        <w:t>LUBOS NA HINDI SUMASANG-AYON (1), HINDI SUMASANG-AYON (2), SUMASANG-AYON (3), o LUBOS NA SUMASANG-AYON (4).</w:t>
      </w:r>
    </w:p>
    <w:p>
      <w:pPr>
        <w:spacing w:before="240" w:after="80"/>
      </w:pPr>
      <w:r>
        <w:rPr>
          <w:rFonts w:ascii="Times New Roman" w:hAnsi="Times New Roman"/>
          <w:b/>
          <w:sz w:val="22"/>
        </w:rPr>
        <w:t>Actor: Tenant / Nangungupahan</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4" w:space="0" w:color="000000"/>
          <w:insideV w:val="single" w:sz="4" w:space="0" w:color="000000"/>
        </w:tblBorders>
      </w:tblPr>
      <w:tblGrid>
        <w:gridCol w:w="2102"/>
        <w:gridCol w:w="2102"/>
        <w:gridCol w:w="2102"/>
        <w:gridCol w:w="2102"/>
        <w:gridCol w:w="2102"/>
      </w:tblGrid>
      <w:tr>
        <w:tc>
          <w:tcPr>
            <w:tcW w:type="dxa" w:w="5472"/>
            <w:tcMar>
              <w:top w:w="80" w:type="dxa"/>
              <w:bottom w:w="80" w:type="dxa"/>
              <w:left w:w="80" w:type="dxa"/>
              <w:right w:w="80" w:type="dxa"/>
            </w:tcMar>
            <w:shd w:fill="D9E8F5"/>
            <w:vAlign w:val="center"/>
          </w:tcPr>
          <w:p>
            <w:pPr>
              <w:spacing w:before="40" w:after="40"/>
              <w:jc w:val="center"/>
            </w:pPr>
            <w:r>
              <w:rPr>
                <w:rFonts w:ascii="Times New Roman" w:hAnsi="Times New Roman"/>
                <w:b/>
                <w:sz w:val="19"/>
              </w:rPr>
              <w:t>Statement</w:t>
            </w:r>
          </w:p>
        </w:tc>
        <w:tc>
          <w:tcPr>
            <w:tcW w:type="dxa" w:w="1296"/>
            <w:tcMar>
              <w:top w:w="80" w:type="dxa"/>
              <w:bottom w:w="80" w:type="dxa"/>
              <w:left w:w="80" w:type="dxa"/>
              <w:right w:w="80" w:type="dxa"/>
            </w:tcMar>
            <w:shd w:fill="D9E8F5"/>
            <w:vAlign w:val="center"/>
          </w:tcPr>
          <w:p>
            <w:pPr>
              <w:spacing w:before="40" w:after="40"/>
              <w:jc w:val="center"/>
            </w:pPr>
            <w:r>
              <w:rPr>
                <w:rFonts w:ascii="Times New Roman" w:hAnsi="Times New Roman"/>
                <w:b/>
                <w:sz w:val="19"/>
              </w:rPr>
              <w:t>STRONGLY</w:t>
              <w:br/>
              <w:t>DISAGREE</w:t>
              <w:br/>
              <w:t>(1)</w:t>
            </w:r>
          </w:p>
        </w:tc>
        <w:tc>
          <w:tcPr>
            <w:tcW w:type="dxa" w:w="1224"/>
            <w:tcMar>
              <w:top w:w="80" w:type="dxa"/>
              <w:bottom w:w="80" w:type="dxa"/>
              <w:left w:w="80" w:type="dxa"/>
              <w:right w:w="80" w:type="dxa"/>
            </w:tcMar>
            <w:shd w:fill="D9E8F5"/>
            <w:vAlign w:val="center"/>
          </w:tcPr>
          <w:p>
            <w:pPr>
              <w:spacing w:before="40" w:after="40"/>
              <w:jc w:val="center"/>
            </w:pPr>
            <w:r>
              <w:rPr>
                <w:rFonts w:ascii="Times New Roman" w:hAnsi="Times New Roman"/>
                <w:b/>
                <w:sz w:val="19"/>
              </w:rPr>
              <w:t>DISAGREE</w:t>
              <w:br/>
              <w:t>(2)</w:t>
            </w:r>
          </w:p>
        </w:tc>
        <w:tc>
          <w:tcPr>
            <w:tcW w:type="dxa" w:w="1224"/>
            <w:tcMar>
              <w:top w:w="80" w:type="dxa"/>
              <w:bottom w:w="80" w:type="dxa"/>
              <w:left w:w="80" w:type="dxa"/>
              <w:right w:w="80" w:type="dxa"/>
            </w:tcMar>
            <w:shd w:fill="D9E8F5"/>
            <w:vAlign w:val="center"/>
          </w:tcPr>
          <w:p>
            <w:pPr>
              <w:spacing w:before="40" w:after="40"/>
              <w:jc w:val="center"/>
            </w:pPr>
            <w:r>
              <w:rPr>
                <w:rFonts w:ascii="Times New Roman" w:hAnsi="Times New Roman"/>
                <w:b/>
                <w:sz w:val="19"/>
              </w:rPr>
              <w:t>AGREE (3)</w:t>
            </w:r>
          </w:p>
        </w:tc>
        <w:tc>
          <w:tcPr>
            <w:tcW w:type="dxa" w:w="1296"/>
            <w:tcMar>
              <w:top w:w="80" w:type="dxa"/>
              <w:bottom w:w="80" w:type="dxa"/>
              <w:left w:w="80" w:type="dxa"/>
              <w:right w:w="80" w:type="dxa"/>
            </w:tcMar>
            <w:shd w:fill="D9E8F5"/>
            <w:vAlign w:val="center"/>
          </w:tcPr>
          <w:p>
            <w:pPr>
              <w:spacing w:before="40" w:after="40"/>
              <w:jc w:val="center"/>
            </w:pPr>
            <w:r>
              <w:rPr>
                <w:rFonts w:ascii="Times New Roman" w:hAnsi="Times New Roman"/>
                <w:b/>
                <w:sz w:val="19"/>
              </w:rPr>
              <w:t>STRONGLY</w:t>
              <w:br/>
              <w:t>AGREE (4)</w:t>
            </w: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 The private QR code and invite link onboarding process makes it easy and convenient for tenants to join their assigned unit and access lease information.</w:t>
              <w:br/>
            </w:r>
            <w:r>
              <w:rPr>
                <w:rFonts w:ascii="Times New Roman" w:hAnsi="Times New Roman"/>
                <w:i/>
                <w:color w:val="323232"/>
                <w:sz w:val="18"/>
              </w:rPr>
              <w:t>(Pinapadali at ginagawang maginhawa ng pribadong QR code at invite link onboarding process para sa mga tenant ang pagsali sa kanilang nakatalagang unit at pag-access sa impormasyon ng lease.)</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2. The digital lease review and electronic signing feature provides a clear and user-friendly way for tenants to execute their lease agreements.</w:t>
              <w:br/>
            </w:r>
            <w:r>
              <w:rPr>
                <w:rFonts w:ascii="Times New Roman" w:hAnsi="Times New Roman"/>
                <w:i/>
                <w:color w:val="323232"/>
                <w:sz w:val="18"/>
              </w:rPr>
              <w:t>(Ang digital lease review at electronic signing feature ay nagbibigay ng malinaw at madaling gamitin na paraan para sa mga tenant na suriin at elektronikong lagdaan ang kanilang kasunduan sa pag-upa.)</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3. The lease overview clearly displays all relevant information including monthly rental terms, start and end dates, renewal eligibility, and contractual status.</w:t>
              <w:br/>
            </w:r>
            <w:r>
              <w:rPr>
                <w:rFonts w:ascii="Times New Roman" w:hAnsi="Times New Roman"/>
                <w:i/>
                <w:color w:val="323232"/>
                <w:sz w:val="18"/>
              </w:rPr>
              <w:t>(Ang lease overview ay malinaw na nagpapakita ng lahat ng kaugnay na impormasyon gaya ng halaga ng upa, petsa ng simula at tapos, renewal eligibility, at kasalukuyang status ng kontrata.)</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4. The document viewer provides convenient access to download and review signed lease agreements and official property records.</w:t>
              <w:br/>
            </w:r>
            <w:r>
              <w:rPr>
                <w:rFonts w:ascii="Times New Roman" w:hAnsi="Times New Roman"/>
                <w:i/>
                <w:color w:val="323232"/>
                <w:sz w:val="18"/>
              </w:rPr>
              <w:t>(Ang document viewer ay nagbibigay ng maginhawang paraan upang ma-download at masuri ang mga nilagdaang kasunduan sa pag-upa at opisyal na talaan ng property.)</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5. The maintenance reporting and tracking features make it easy for tenants to submit repair requests with photos, specify urgency, and monitor progress until completion.</w:t>
              <w:br/>
            </w:r>
            <w:r>
              <w:rPr>
                <w:rFonts w:ascii="Times New Roman" w:hAnsi="Times New Roman"/>
                <w:i/>
                <w:color w:val="323232"/>
                <w:sz w:val="18"/>
              </w:rPr>
              <w:t>(Pinapadali ng maintenance reporting at tracking features para sa mga tenant ang pag-report ng mga sirang gamit na may kasamang litrato, pagtukoy ng antas ng pangangailangan, at pagsubaybay sa proseso hanggang sa maayos.)</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6. The direct real-time messaging platform enables effective and transparent communication with the landlord regarding property concerns.</w:t>
              <w:br/>
            </w:r>
            <w:r>
              <w:rPr>
                <w:rFonts w:ascii="Times New Roman" w:hAnsi="Times New Roman"/>
                <w:i/>
                <w:color w:val="323232"/>
                <w:sz w:val="18"/>
              </w:rPr>
              <w:t>(Ang direct real-time messaging platform ay nagbibigay-daan sa epektibo at malinaw na pakikipag-ugnayan sa landlord tungkol sa mga usapin sa property.)</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7. The iRis assistant provides helpful, quick guidance on building policies, amenities, payment procedures, and general resident inquiries.</w:t>
              <w:br/>
            </w:r>
            <w:r>
              <w:rPr>
                <w:rFonts w:ascii="Times New Roman" w:hAnsi="Times New Roman"/>
                <w:i/>
                <w:color w:val="323232"/>
                <w:sz w:val="18"/>
              </w:rPr>
              <w:t>(Ang iRis assistant ay nagbibigay ng kapaki-pakinabang at mabilis na gabay tungkol sa mga patakaran ng gusali, pasilidad, proseso ng pagbabayad, at pangkalahatang katanungan ng mga residente.)</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8. The financial billing ledger and payment history clearly present itemized breakdowns of monthly base rent, sub-metered water, electricity, and remaining balances.</w:t>
              <w:br/>
            </w:r>
            <w:r>
              <w:rPr>
                <w:rFonts w:ascii="Times New Roman" w:hAnsi="Times New Roman"/>
                <w:i/>
                <w:color w:val="323232"/>
                <w:sz w:val="18"/>
              </w:rPr>
              <w:t>(Ang financial billing ledger at payment history ay malinaw na nagpapakita ng detalyadong breakdown ng buwanang upa, sub-metered na tubig, kuryente, at natitirang balanse.)</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9. The GCash and digital payment submission feature provides a fast, convenient, and secure way to upload payment receipts and reference numbers.</w:t>
              <w:br/>
            </w:r>
            <w:r>
              <w:rPr>
                <w:rFonts w:ascii="Times New Roman" w:hAnsi="Times New Roman"/>
                <w:i/>
                <w:color w:val="323232"/>
                <w:sz w:val="18"/>
              </w:rPr>
              <w:t>(Ang GCash at digital payment submission feature ay nagbibigay ng mabilis, maginhawa, at ligtas na paraan upang mag-upload ng resibo at reference number ng bayad.)</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10. The advance payment option allows tenants to conveniently submit payments credited toward future billing periods.</w:t>
              <w:br/>
            </w:r>
            <w:r>
              <w:rPr>
                <w:rFonts w:ascii="Times New Roman" w:hAnsi="Times New Roman"/>
                <w:i/>
                <w:color w:val="323232"/>
                <w:sz w:val="18"/>
              </w:rPr>
              <w:t>(Ang advance payment option ay nagbibigay-daan sa mga tenant na maginhawang makapagbayad nang maaga para ma-credit sa mga susunod na buwan ng upa.)</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11. The interactive unit map provides an intuitive visual layout of the building floors and unit orientation.</w:t>
              <w:br/>
            </w:r>
            <w:r>
              <w:rPr>
                <w:rFonts w:ascii="Times New Roman" w:hAnsi="Times New Roman"/>
                <w:i/>
                <w:color w:val="323232"/>
                <w:sz w:val="18"/>
              </w:rPr>
              <w:t>(Ang interactive unit map ay nagbibigay ng madaling maintindihang visual layout ng mga palapag ng gusali at lokasyon ng bawat unit.)</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12. The lease renewal request feature allows tenants to easily express their intent to extend their tenancy before contract expiration.</w:t>
              <w:br/>
            </w:r>
            <w:r>
              <w:rPr>
                <w:rFonts w:ascii="Times New Roman" w:hAnsi="Times New Roman"/>
                <w:i/>
                <w:color w:val="323232"/>
                <w:sz w:val="18"/>
              </w:rPr>
              <w:t>(Ang lease renewal request feature ay nagbibigay-daan sa mga tenant na madaling magsumite ng kahilingan upang palawigin ang kanilang panunuluyan bago matapos ang kontrata.)</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13. The community bulletin board provides an organized channel to view official landlord announcements and building updates.</w:t>
              <w:br/>
            </w:r>
            <w:r>
              <w:rPr>
                <w:rFonts w:ascii="Times New Roman" w:hAnsi="Times New Roman"/>
                <w:i/>
                <w:color w:val="323232"/>
                <w:sz w:val="18"/>
              </w:rPr>
              <w:t>(Ang community bulletin board ay nagbibigay ng maayos na paraan upang makita ang mga opisyal na anunsyo ng landlord at mga update sa gusali.)</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14. The notification system effectively delivers timely in-app and email alerts regarding billing statements, payment verifications, and urgent maintenance updates.</w:t>
              <w:br/>
            </w:r>
            <w:r>
              <w:rPr>
                <w:rFonts w:ascii="Times New Roman" w:hAnsi="Times New Roman"/>
                <w:i/>
                <w:color w:val="323232"/>
                <w:sz w:val="18"/>
              </w:rPr>
              <w:t>(Ang notification system ay epektibong naghahatid ng napapanahong in-app at email alerts tungkol sa mga billing statement, kumpirmasyon ng bayad, at mahahalagang maintenance updates.)</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15. The first-launch onboarding tour clearly introduces new residents to essential portal tools and navigation upon initial login.</w:t>
              <w:br/>
            </w:r>
            <w:r>
              <w:rPr>
                <w:rFonts w:ascii="Times New Roman" w:hAnsi="Times New Roman"/>
                <w:i/>
                <w:color w:val="323232"/>
                <w:sz w:val="18"/>
              </w:rPr>
              <w:t>(Ang first-launch onboarding tour ay malinaw na nagpapakilala sa mga bagong residente ng mahahalagang feature at paraan ng paggamit ng portal sa kanilang unang pag-login.)</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bl>
    <w:p>
      <w:r>
        <w:br w:type="page"/>
      </w:r>
    </w:p>
    <w:p>
      <w:pPr>
        <w:spacing w:before="240" w:after="80"/>
      </w:pPr>
      <w:r>
        <w:rPr>
          <w:rFonts w:ascii="Times New Roman" w:hAnsi="Times New Roman"/>
          <w:b/>
          <w:sz w:val="22"/>
        </w:rPr>
        <w:t>Actor: Landlord / Nagpapaupa</w:t>
      </w:r>
    </w:p>
    <w:tbl>
      <w:tblPr>
        <w:tblW w:type="auto" w:w="0"/>
        <w:jc w:val="center"/>
        <w:tblLayout w:type="fixed"/>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4" w:space="0" w:color="000000"/>
          <w:insideV w:val="single" w:sz="4" w:space="0" w:color="000000"/>
        </w:tblBorders>
      </w:tblPr>
      <w:tblGrid>
        <w:gridCol w:w="2102"/>
        <w:gridCol w:w="2102"/>
        <w:gridCol w:w="2102"/>
        <w:gridCol w:w="2102"/>
        <w:gridCol w:w="2102"/>
      </w:tblGrid>
      <w:tr>
        <w:tc>
          <w:tcPr>
            <w:tcW w:type="dxa" w:w="5472"/>
            <w:tcMar>
              <w:top w:w="80" w:type="dxa"/>
              <w:bottom w:w="80" w:type="dxa"/>
              <w:left w:w="80" w:type="dxa"/>
              <w:right w:w="80" w:type="dxa"/>
            </w:tcMar>
            <w:shd w:fill="D9E8F5"/>
            <w:vAlign w:val="center"/>
          </w:tcPr>
          <w:p>
            <w:pPr>
              <w:spacing w:before="40" w:after="40"/>
              <w:jc w:val="center"/>
            </w:pPr>
            <w:r>
              <w:rPr>
                <w:rFonts w:ascii="Times New Roman" w:hAnsi="Times New Roman"/>
                <w:b/>
                <w:sz w:val="19"/>
              </w:rPr>
              <w:t>Statement</w:t>
            </w:r>
          </w:p>
        </w:tc>
        <w:tc>
          <w:tcPr>
            <w:tcW w:type="dxa" w:w="1296"/>
            <w:tcMar>
              <w:top w:w="80" w:type="dxa"/>
              <w:bottom w:w="80" w:type="dxa"/>
              <w:left w:w="80" w:type="dxa"/>
              <w:right w:w="80" w:type="dxa"/>
            </w:tcMar>
            <w:shd w:fill="D9E8F5"/>
            <w:vAlign w:val="center"/>
          </w:tcPr>
          <w:p>
            <w:pPr>
              <w:spacing w:before="40" w:after="40"/>
              <w:jc w:val="center"/>
            </w:pPr>
            <w:r>
              <w:rPr>
                <w:rFonts w:ascii="Times New Roman" w:hAnsi="Times New Roman"/>
                <w:b/>
                <w:sz w:val="19"/>
              </w:rPr>
              <w:t>STRONGLY</w:t>
              <w:br/>
              <w:t>DISAGREE</w:t>
              <w:br/>
              <w:t>(1)</w:t>
            </w:r>
          </w:p>
        </w:tc>
        <w:tc>
          <w:tcPr>
            <w:tcW w:type="dxa" w:w="1224"/>
            <w:tcMar>
              <w:top w:w="80" w:type="dxa"/>
              <w:bottom w:w="80" w:type="dxa"/>
              <w:left w:w="80" w:type="dxa"/>
              <w:right w:w="80" w:type="dxa"/>
            </w:tcMar>
            <w:shd w:fill="D9E8F5"/>
            <w:vAlign w:val="center"/>
          </w:tcPr>
          <w:p>
            <w:pPr>
              <w:spacing w:before="40" w:after="40"/>
              <w:jc w:val="center"/>
            </w:pPr>
            <w:r>
              <w:rPr>
                <w:rFonts w:ascii="Times New Roman" w:hAnsi="Times New Roman"/>
                <w:b/>
                <w:sz w:val="19"/>
              </w:rPr>
              <w:t>DISAGREE</w:t>
              <w:br/>
              <w:t>(2)</w:t>
            </w:r>
          </w:p>
        </w:tc>
        <w:tc>
          <w:tcPr>
            <w:tcW w:type="dxa" w:w="1224"/>
            <w:tcMar>
              <w:top w:w="80" w:type="dxa"/>
              <w:bottom w:w="80" w:type="dxa"/>
              <w:left w:w="80" w:type="dxa"/>
              <w:right w:w="80" w:type="dxa"/>
            </w:tcMar>
            <w:shd w:fill="D9E8F5"/>
            <w:vAlign w:val="center"/>
          </w:tcPr>
          <w:p>
            <w:pPr>
              <w:spacing w:before="40" w:after="40"/>
              <w:jc w:val="center"/>
            </w:pPr>
            <w:r>
              <w:rPr>
                <w:rFonts w:ascii="Times New Roman" w:hAnsi="Times New Roman"/>
                <w:b/>
                <w:sz w:val="19"/>
              </w:rPr>
              <w:t>AGREE (3)</w:t>
            </w:r>
          </w:p>
        </w:tc>
        <w:tc>
          <w:tcPr>
            <w:tcW w:type="dxa" w:w="1296"/>
            <w:tcMar>
              <w:top w:w="80" w:type="dxa"/>
              <w:bottom w:w="80" w:type="dxa"/>
              <w:left w:w="80" w:type="dxa"/>
              <w:right w:w="80" w:type="dxa"/>
            </w:tcMar>
            <w:shd w:fill="D9E8F5"/>
            <w:vAlign w:val="center"/>
          </w:tcPr>
          <w:p>
            <w:pPr>
              <w:spacing w:before="40" w:after="40"/>
              <w:jc w:val="center"/>
            </w:pPr>
            <w:r>
              <w:rPr>
                <w:rFonts w:ascii="Times New Roman" w:hAnsi="Times New Roman"/>
                <w:b/>
                <w:sz w:val="19"/>
              </w:rPr>
              <w:t>STRONGLY</w:t>
              <w:br/>
              <w:t>AGREE (4)</w:t>
            </w: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 The workspace personalization and settings hub allows landlords to easily customize branding, brand theme colors, monogram logos, and business contact details.</w:t>
              <w:br/>
            </w:r>
            <w:r>
              <w:rPr>
                <w:rFonts w:ascii="Times New Roman" w:hAnsi="Times New Roman"/>
                <w:i/>
                <w:color w:val="323232"/>
                <w:sz w:val="18"/>
              </w:rPr>
              <w:t>(Ang workspace personalization at settings hub ay nagbibigay-daan sa mga landlord na madaling i-customize ang branding, kulay ng tema, monogram logo, at detalye ng negosyo.)</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2. The unified settings save system with unsaved changes exit protection ensures modifications across all tabs are safely stored without accidental data loss.</w:t>
              <w:br/>
            </w:r>
            <w:r>
              <w:rPr>
                <w:rFonts w:ascii="Times New Roman" w:hAnsi="Times New Roman"/>
                <w:i/>
                <w:color w:val="323232"/>
                <w:sz w:val="18"/>
              </w:rPr>
              <w:t>(Ang unified settings save system na may proteksyon laban sa hindi nai-save na pagbabago ay sumisiguro na ang lahat ng binago sa iba't ibang tab ay ligtas na naitatabi nang hindi nawawala.)</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3. The Property and Unit Management interface makes it straightforward to organize buildings, update rental rates, record deposits, and manage amenities.</w:t>
              <w:br/>
            </w:r>
            <w:r>
              <w:rPr>
                <w:rFonts w:ascii="Times New Roman" w:hAnsi="Times New Roman"/>
                <w:i/>
                <w:color w:val="323232"/>
                <w:sz w:val="18"/>
              </w:rPr>
              <w:t>(Pinapadali ng Property at Unit Management interface ang pag-organisa ng mga gusali, pag-update ng presyo ng upa, pagtatala ng deposito, at pamamahala ng mga pasilidad.)</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4. The interactive Unit Map provides a clear visual bird's-eye view of unit statuses, occupied spaces, and vacancies across the property.</w:t>
              <w:br/>
            </w:r>
            <w:r>
              <w:rPr>
                <w:rFonts w:ascii="Times New Roman" w:hAnsi="Times New Roman"/>
                <w:i/>
                <w:color w:val="323232"/>
                <w:sz w:val="18"/>
              </w:rPr>
              <w:t>(Ang interactive Unit Map ay nagbibigay ng malinaw na visual layout ng kalagayan ng mga unit, mga okupado, at mga bakanteng espasyo sa buong property.)</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5. The Tenant Intake and Private Invite QR Code generator provides a secure and seamless way to onboard verified residents into specific units.</w:t>
              <w:br/>
            </w:r>
            <w:r>
              <w:rPr>
                <w:rFonts w:ascii="Times New Roman" w:hAnsi="Times New Roman"/>
                <w:i/>
                <w:color w:val="323232"/>
                <w:sz w:val="18"/>
              </w:rPr>
              <w:t>(Ang Tenant Intake at Private Invite QR Code generator ay nagbibigay ng ligtas at mabilis na paraan upang ma-onboard ang mga verified na residente sa kanilang partikular na unit.)</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6. The Lobby Flyer Studio allows landlords to design professional physical posters with custom photos and export high-resolution print-ready PNG images.</w:t>
              <w:br/>
            </w:r>
            <w:r>
              <w:rPr>
                <w:rFonts w:ascii="Times New Roman" w:hAnsi="Times New Roman"/>
                <w:i/>
                <w:color w:val="323232"/>
                <w:sz w:val="18"/>
              </w:rPr>
              <w:t>(Ang Lobby Flyer Studio ay nagbibigay-daan sa mga landlord na magdisenyo ng propesyonal na poster na may sariling litrato at mag-export ng high-resolution PNG image para sa pag-print.)</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7. The Digital Lease drafting and electronic signature workflow enables landlords to generate enforceable contracts and finalize agreements digitally.</w:t>
              <w:br/>
            </w:r>
            <w:r>
              <w:rPr>
                <w:rFonts w:ascii="Times New Roman" w:hAnsi="Times New Roman"/>
                <w:i/>
                <w:color w:val="323232"/>
                <w:sz w:val="18"/>
              </w:rPr>
              <w:t>(Ang digital lease drafting at electronic signature workflow ay nagbibigay-daan sa mga landlord na gumawa ng maayos na kontrata at kumpletuhin ang kasunduan sa pamamagitan ng digital na lagda.)</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8. The Sub-meter Utility Reading module simplifies the entry of monthly electricity and water consumption and accurately computes utility bills.</w:t>
              <w:br/>
            </w:r>
            <w:r>
              <w:rPr>
                <w:rFonts w:ascii="Times New Roman" w:hAnsi="Times New Roman"/>
                <w:i/>
                <w:color w:val="323232"/>
                <w:sz w:val="18"/>
              </w:rPr>
              <w:t>(Pinapadali ng Sub-meter Utility Reading module ang pagtatala ng buwanang konsumo sa kuryente at tubig at tumpak na kinakalkula ang mga bayarin.)</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9. The Invoice Management module enables batch generation of itemized rent and utility billing statements with automated overdue reminder alerts.</w:t>
              <w:br/>
            </w:r>
            <w:r>
              <w:rPr>
                <w:rFonts w:ascii="Times New Roman" w:hAnsi="Times New Roman"/>
                <w:i/>
                <w:color w:val="323232"/>
                <w:sz w:val="18"/>
              </w:rPr>
              <w:t>(Ang Invoice Management module ay nagbibigay-daan sa sabay-sabay na paggawa ng detalyadong billing ng upa at utility na may automated reminder alerts para sa mga lampas na sa takdang petsa.)</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10. The Financial Ledger and Payment Verification feature provides a transparent way to review uploaded tenant receipts and approve payments directly into the accounting records.</w:t>
              <w:br/>
            </w:r>
            <w:r>
              <w:rPr>
                <w:rFonts w:ascii="Times New Roman" w:hAnsi="Times New Roman"/>
                <w:i/>
                <w:color w:val="323232"/>
                <w:sz w:val="18"/>
              </w:rPr>
              <w:t>(Ang Financial Ledger at Payment Verification feature ay nagbibigay ng malinaw na paraan upang suriin ang mga na-upload na resibo ng tenant at aprubahan ang bayad papunta sa accounting records.)</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11. The Maintenance Management dashboard simplifies reviewing repair requests, assigning third-party service contractors, and recording final resolution costs into property expenses.</w:t>
              <w:br/>
            </w:r>
            <w:r>
              <w:rPr>
                <w:rFonts w:ascii="Times New Roman" w:hAnsi="Times New Roman"/>
                <w:i/>
                <w:color w:val="323232"/>
                <w:sz w:val="18"/>
              </w:rPr>
              <w:t>(Pinapadali ng Maintenance Management dashboard ang pagsusuri ng mga hiling na kumpuni, pagtatalaga ng mga contractor, at pagtatala ng gastos sa pagkukumpuni bilang property expense.)</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12. The Landlord-Tenant Messaging module and Community Announcement publisher facilitate organized, real-time communication and building-wide notices.</w:t>
              <w:br/>
            </w:r>
            <w:r>
              <w:rPr>
                <w:rFonts w:ascii="Times New Roman" w:hAnsi="Times New Roman"/>
                <w:i/>
                <w:color w:val="323232"/>
                <w:sz w:val="18"/>
              </w:rPr>
              <w:t>(Ang Landlord-Tenant Messaging module at Community Announcement publisher ay nagpapadali ng maayos at real-time na pakikipag-ugnayan at pagpapaskil ng mga anunsyo para sa buong gusali.)</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13. The iRis Assistant provides valuable portfolio analytics, occupancy summaries, and context-aware smart response drafting to assist daily operations.</w:t>
              <w:br/>
            </w:r>
            <w:r>
              <w:rPr>
                <w:rFonts w:ascii="Times New Roman" w:hAnsi="Times New Roman"/>
                <w:i/>
                <w:color w:val="323232"/>
                <w:sz w:val="18"/>
              </w:rPr>
              <w:t>(Ang iRis Assistant ay nagbibigay ng kapaki-pakinabang na analytics sa portfolio, buod ng occupancy, at maayos na mungkahi ng mensahe upang tumulong sa pang-araw-araw na operasyon.)</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14. The Lease Renewal and Move-Out termination workflow provides a structured process to approve contract extensions or release vacant units with inspection records.</w:t>
              <w:br/>
            </w:r>
            <w:r>
              <w:rPr>
                <w:rFonts w:ascii="Times New Roman" w:hAnsi="Times New Roman"/>
                <w:i/>
                <w:color w:val="323232"/>
                <w:sz w:val="18"/>
              </w:rPr>
              <w:t>(Ang Lease Renewal at Move-Out termination workflow ay nagbibigay ng organisadong proseso upang aprubahan ang pagpapalawig ng kontrata o magpalabas ng bakanteng unit kalakip ang talaan ng inspeksyon.)</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r>
        <w:tc>
          <w:tcPr>
            <w:tcW w:type="dxa" w:w="5472"/>
            <w:tcMar>
              <w:top w:w="60" w:type="dxa"/>
              <w:bottom w:w="60" w:type="dxa"/>
              <w:left w:w="80" w:type="dxa"/>
              <w:right w:w="80" w:type="dxa"/>
            </w:tcMar>
            <w:vAlign w:val="top"/>
          </w:tcPr>
          <w:p>
            <w:pPr>
              <w:spacing w:before="40" w:after="40" w:line="264" w:lineRule="auto"/>
              <w:jc w:val="left"/>
            </w:pPr>
            <w:r>
              <w:rPr>
                <w:rFonts w:ascii="Times New Roman" w:hAnsi="Times New Roman"/>
                <w:sz w:val="19"/>
              </w:rPr>
              <w:t>15. The integrated Documentation Hub and 1-Click Handover Kit provide comprehensive user manuals and technical guides to operate the system independently without dedicated IT support.</w:t>
              <w:br/>
            </w:r>
            <w:r>
              <w:rPr>
                <w:rFonts w:ascii="Times New Roman" w:hAnsi="Times New Roman"/>
                <w:i/>
                <w:color w:val="323232"/>
                <w:sz w:val="18"/>
              </w:rPr>
              <w:t>(Ang integrated Documentation Hub at 1-Click Handover Kit ay nagbibigay ng kumpletong user manual at teknikal na gabay upang mapatakbo ang system nang malaya nang hindi nangangailangan ng hiwalay na IT support.)</w:t>
            </w:r>
          </w:p>
        </w:tc>
        <w:tc>
          <w:tcPr>
            <w:tcW w:type="dxa" w:w="1296"/>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24"/>
            <w:tcMar>
              <w:top w:w="60" w:type="dxa"/>
              <w:bottom w:w="60" w:type="dxa"/>
              <w:left w:w="80" w:type="dxa"/>
              <w:right w:w="80" w:type="dxa"/>
            </w:tcMar>
            <w:vAlign w:val="top"/>
          </w:tcPr>
          <w:p>
            <w:pPr>
              <w:jc w:val="center"/>
            </w:pPr>
          </w:p>
        </w:tc>
        <w:tc>
          <w:tcPr>
            <w:tcW w:type="dxa" w:w="1296"/>
            <w:tcMar>
              <w:top w:w="60" w:type="dxa"/>
              <w:bottom w:w="60" w:type="dxa"/>
              <w:left w:w="80" w:type="dxa"/>
              <w:right w:w="80" w:type="dxa"/>
            </w:tcMar>
            <w:vAlign w:val="top"/>
          </w:tcPr>
          <w:p>
            <w:pPr>
              <w:jc w:val="center"/>
            </w:pPr>
          </w:p>
        </w:tc>
      </w:tr>
    </w:tbl>
    <w:sectPr w:rsidR="00FC693F" w:rsidRPr="0006063C"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