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Graph Neural Networks for Missing-Component Detection, Recommendation, and Shape Generation in CAD Assemblies</w:t>
      </w:r>
    </w:p>
    <w:p>
      <w:pPr>
        <w:spacing w:after="40"/>
        <w:jc w:val="center"/>
      </w:pPr>
      <w:r>
        <w:rPr>
          <w:rFonts w:ascii="Times New Roman" w:cs="Times New Roman" w:eastAsia="Times New Roman" w:hAnsi="Times New Roman"/>
          <w:sz w:val="20"/>
          <w:szCs w:val="20"/>
        </w:rPr>
        <w:t xml:space="preserve">Parthasarathy Perumal</w:t>
      </w:r>
      <w:r>
        <w:rPr>
          <w:rFonts w:ascii="Times New Roman" w:cs="Times New Roman" w:eastAsia="Times New Roman" w:hAnsi="Times New Roman"/>
          <w:sz w:val="20"/>
          <w:szCs w:val="20"/>
          <w:vertAlign w:val="superscript"/>
        </w:rPr>
        <w:t xml:space="preserve">1*</w:t>
      </w:r>
    </w:p>
    <w:p>
      <w:pPr>
        <w:spacing w:after="40"/>
        <w:jc w:val="center"/>
      </w:pPr>
      <w:r>
        <w:rPr>
          <w:rFonts w:ascii="Times New Roman" w:cs="Times New Roman" w:eastAsia="Times New Roman" w:hAnsi="Times New Roman"/>
          <w:sz w:val="18"/>
          <w:szCs w:val="18"/>
        </w:rPr>
        <w:t xml:space="preserve">1*Student – M.Tech Data Science and AI, PES University, Hosur Rd, Konappana Agrahara, Bangalore, 560100, Karnataka, India</w:t>
      </w:r>
    </w:p>
    <w:p>
      <w:r>
        <w:rPr>
          <w:rFonts w:ascii="Times New Roman" w:cs="Times New Roman" w:eastAsia="Times New Roman" w:hAnsi="Times New Roman"/>
          <w:sz w:val="18"/>
          <w:szCs w:val="18"/>
        </w:rPr>
        <w:t xml:space="preserve"/>
      </w:r>
    </w:p>
    <w:p>
      <w:pPr>
        <w:spacing w:after="240"/>
        <w:jc w:val="center"/>
      </w:pPr>
      <w:r>
        <w:rPr>
          <w:rFonts w:ascii="Times New Roman" w:cs="Times New Roman" w:eastAsia="Times New Roman" w:hAnsi="Times New Roman"/>
          <w:sz w:val="18"/>
          <w:szCs w:val="18"/>
        </w:rPr>
        <w:t xml:space="preserve">Corresponding author(s). E-mail(s): </w:t>
      </w:r>
      <w:hyperlink w:history="1" r:id="rIdpacf4k9qppodwziyibw4i">
        <w:r>
          <w:rPr>
            <w:rStyle w:val="Hyperlink"/>
            <w:rFonts w:ascii="Times New Roman" w:cs="Times New Roman" w:eastAsia="Times New Roman" w:hAnsi="Times New Roman"/>
            <w:color w:val="1155CC"/>
            <w:sz w:val="18"/>
            <w:szCs w:val="18"/>
            <w:u w:val="single"/>
          </w:rPr>
          <w:t xml:space="preserve">parthasarathy.perumal@gmail.com</w:t>
        </w:r>
      </w:hyperlink>
      <w:r>
        <w:rPr>
          <w:rFonts w:ascii="Times New Roman" w:cs="Times New Roman" w:eastAsia="Times New Roman" w:hAnsi="Times New Roman"/>
          <w:sz w:val="18"/>
          <w:szCs w:val="18"/>
        </w:rPr>
        <w:t xml:space="preserve">;</w:t>
      </w:r>
    </w:p>
    <w:p>
      <w:pPr>
        <w:spacing w:after="80" w:before="60"/>
        <w:jc w:val="center"/>
      </w:pPr>
      <w:r>
        <w:rPr>
          <w:rFonts w:ascii="Times New Roman" w:cs="Times New Roman" w:eastAsia="Times New Roman" w:hAnsi="Times New Roman"/>
          <w:b/>
          <w:bCs/>
          <w:sz w:val="20"/>
          <w:szCs w:val="20"/>
        </w:rPr>
        <w:t xml:space="preserve">Abstract</w:t>
      </w:r>
    </w:p>
    <w:p>
      <w:pPr>
        <w:spacing w:after="100"/>
        <w:jc w:val="both"/>
      </w:pPr>
      <w:r>
        <w:rPr>
          <w:rFonts w:ascii="Times New Roman" w:cs="Times New Roman" w:eastAsia="Times New Roman" w:hAnsi="Times New Roman"/>
          <w:sz w:val="20"/>
          <w:szCs w:val="20"/>
        </w:rPr>
        <w:t xml:space="preserve">Modern CAD tools offer no contextual intelligence during assembly creation: engineers rely entirely on domain experience to decide which components an assembly still needs and where they belong. We present an end-to-end graph neural network (GNN) system that treats a mechanical assembly as an attributed graph — solid bodies as nodes, real contact surfaces as edges — and addresses assembly completion in two phases. Phase I detects missing components via inductive link prediction over a shared relational-attention encoder (RGATConv). Phase II recommends the most likely next component type through a learned ranking head, then generates an actual placeable 3D shape for it through a hybrid retrieval-plus-conditional-VAE generator, rather than only a text label. Both phases build on a single frozen Phase I encoder, so the marginal cost of each new task head is small. On a curated corpus of 749 CAD assemblies spanning seven machine-part categories (648 usable graphs, 25,155 labelled bodies after parsing), the system reaches a mean link-prediction AUC-ROC of 0.9206 (±0.0121) and mean average precision of 0.9020 across true five-fold cross-validation, a next-component ranking Hit@1 of 0.4093 against a majority-class baseline of 0.3442, and a shape-generation test IoU of 0.6459 with a Chamfer distance of 0.0377. We further contribute a novel Octree-based open-surface detector for locating candidate mating joints without a CAD kernel, an assembly-template frequency prior that works even from a single uploaded body, and an interactive natural-language explanation layer built on GNNExplainer attributions. We report an engineering finding from exploratory analysis of the current corpus — a silently dead shape-descriptor feature affecting 99.95% of bodies — as a reminder that dataset-level auditing remains essential even after a model trains successfully.</w:t>
      </w:r>
    </w:p>
    <w:p>
      <w:pPr>
        <w:spacing w:after="26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Graph Neural Networks, CAD Assembly, Link Prediction, Component Recommendation, Shape Generation, Variational Autoencoder, Relational Attention</w:t>
      </w:r>
    </w:p>
    <w:p>
      <w:pPr>
        <w:spacing w:after="80" w:before="160"/>
      </w:pPr>
      <w:r>
        <w:rPr>
          <w:rFonts w:ascii="Times New Roman" w:cs="Times New Roman" w:eastAsia="Times New Roman" w:hAnsi="Times New Roman"/>
          <w:b/>
          <w:bCs/>
          <w:sz w:val="24"/>
          <w:szCs w:val="24"/>
        </w:rPr>
        <w:t xml:space="preserve">1 Introduction</w:t>
      </w:r>
    </w:p>
    <w:p>
      <w:pPr>
        <w:spacing w:after="0"/>
        <w:ind w:firstLine="227"/>
        <w:jc w:val="both"/>
      </w:pPr>
      <w:r>
        <w:rPr>
          <w:rFonts w:ascii="Times New Roman" w:cs="Times New Roman" w:eastAsia="Times New Roman" w:hAnsi="Times New Roman"/>
          <w:sz w:val="20"/>
          <w:szCs w:val="20"/>
        </w:rPr>
        <w:t xml:space="preserve">Assembling a mechanical design in a modern CAD package — SolidWorks, CATIA, Fusion 360 — is still a manual, expert-driven process. The software tracks geometry and mating constraints faithfully, but offers no judgement about the assembly itself: it cannot tell a designer that a bolted joint is missing its nut, or what shape a plausible replacement part should take. That judgement lives entirely in the designer's experience. For junior engineers, or anyone auditing an assembly inherited from someone else, this is a real gap: incomplete assemblies have no built-in mechanism to flag what is missing.</w:t>
      </w:r>
    </w:p>
    <w:p>
      <w:pPr>
        <w:spacing w:after="0"/>
        <w:ind w:firstLine="227"/>
        <w:jc w:val="both"/>
      </w:pPr>
      <w:r>
        <w:rPr>
          <w:rFonts w:ascii="Times New Roman" w:cs="Times New Roman" w:eastAsia="Times New Roman" w:hAnsi="Times New Roman"/>
          <w:sz w:val="20"/>
          <w:szCs w:val="20"/>
        </w:rPr>
        <w:t xml:space="preserve">This gap is a natural fit for graph-based deep learning. A rigid mechanical assembly is, structurally, a graph: solid bodies are nodes, and physical contact between two bodies is an edge. Graph neural networks (GNNs) are designed to learn representations over exactly this kind of relational structure, and have driven substantial recent progress in adjacent CAD-generation tasks such as boundary-representation (B-Rep) synthesis </w:t>
      </w:r>
      <w:r>
        <w:rPr>
          <w:rFonts w:ascii="Times New Roman" w:cs="Times New Roman" w:eastAsia="Times New Roman" w:hAnsi="Times New Roman"/>
          <w:sz w:val="20"/>
          <w:szCs w:val="20"/>
        </w:rPr>
        <w:t xml:space="preserve">[</w:t>
      </w:r>
      <w:hyperlink w:history="1" w:anchor="ref1">
        <w:r>
          <w:rPr>
            <w:rStyle w:val="Hyperlink"/>
            <w:rFonts w:ascii="Times New Roman" w:cs="Times New Roman" w:eastAsia="Times New Roman" w:hAnsi="Times New Roman"/>
            <w:color w:val="1155CC"/>
            <w:sz w:val="20"/>
            <w:szCs w:val="20"/>
            <w:u w:val="single"/>
          </w:rPr>
          <w:t xml:space="preserve">1</w:t>
        </w:r>
      </w:hyperlink>
      <w:r>
        <w:rPr>
          <w:rFonts w:ascii="Times New Roman" w:cs="Times New Roman" w:eastAsia="Times New Roman" w:hAnsi="Times New Roman"/>
          <w:sz w:val="20"/>
          <w:szCs w:val="20"/>
        </w:rPr>
        <w:t xml:space="preserve">,</w:t>
      </w:r>
      <w:hyperlink w:history="1" w:anchor="ref2">
        <w:r>
          <w:rPr>
            <w:rStyle w:val="Hyperlink"/>
            <w:rFonts w:ascii="Times New Roman" w:cs="Times New Roman" w:eastAsia="Times New Roman" w:hAnsi="Times New Roman"/>
            <w:color w:val="1155CC"/>
            <w:sz w:val="20"/>
            <w:szCs w:val="20"/>
            <w:u w:val="single"/>
          </w:rPr>
          <w:t xml:space="preserve">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construction-sequence generation from language </w:t>
      </w:r>
      <w:r>
        <w:rPr>
          <w:rFonts w:ascii="Times New Roman" w:cs="Times New Roman" w:eastAsia="Times New Roman" w:hAnsi="Times New Roman"/>
          <w:sz w:val="20"/>
          <w:szCs w:val="20"/>
        </w:rPr>
        <w:t xml:space="preserve">[</w:t>
      </w:r>
      <w:hyperlink w:history="1" w:anchor="ref3">
        <w:r>
          <w:rPr>
            <w:rStyle w:val="Hyperlink"/>
            <w:rFonts w:ascii="Times New Roman" w:cs="Times New Roman" w:eastAsia="Times New Roman" w:hAnsi="Times New Roman"/>
            <w:color w:val="1155CC"/>
            <w:sz w:val="20"/>
            <w:szCs w:val="20"/>
            <w:u w:val="single"/>
          </w:rPr>
          <w:t xml:space="preserve">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Those systems generate whole shapes or whole sequences; comparatively little work targets the narrower, more directly actionable problem this paper addresses: given a partial real assembly, what is missing, what should be added next, and what should it look like.</w:t>
      </w:r>
    </w:p>
    <w:p>
      <w:pPr>
        <w:spacing w:after="0"/>
        <w:ind w:firstLine="227"/>
        <w:jc w:val="both"/>
      </w:pPr>
      <w:r>
        <w:rPr>
          <w:rFonts w:ascii="Times New Roman" w:cs="Times New Roman" w:eastAsia="Times New Roman" w:hAnsi="Times New Roman"/>
          <w:sz w:val="20"/>
          <w:szCs w:val="20"/>
        </w:rPr>
        <w:t xml:space="preserve">Framing assembly completion this way raises two practical requirements. Detection, recommendation, and generation are three different kinds of prediction — an edge score, a categorical ranking, a continuous 3D shape — and training three unrelated models from scratch would triple the data and compute burden for a corpus that, by the standards of large-scale shape datasets </w:t>
      </w:r>
      <w:r>
        <w:rPr>
          <w:rFonts w:ascii="Times New Roman" w:cs="Times New Roman" w:eastAsia="Times New Roman" w:hAnsi="Times New Roman"/>
          <w:sz w:val="20"/>
          <w:szCs w:val="20"/>
        </w:rPr>
        <w:t xml:space="preserve">[</w:t>
      </w:r>
      <w:hyperlink w:history="1" w:anchor="ref10">
        <w:r>
          <w:rPr>
            <w:rStyle w:val="Hyperlink"/>
            <w:rFonts w:ascii="Times New Roman" w:cs="Times New Roman" w:eastAsia="Times New Roman" w:hAnsi="Times New Roman"/>
            <w:color w:val="1155CC"/>
            <w:sz w:val="20"/>
            <w:szCs w:val="20"/>
            <w:u w:val="single"/>
          </w:rPr>
          <w:t xml:space="preserve">10</w:t>
        </w:r>
      </w:hyperlink>
      <w:r>
        <w:rPr>
          <w:rFonts w:ascii="Times New Roman" w:cs="Times New Roman" w:eastAsia="Times New Roman" w:hAnsi="Times New Roman"/>
          <w:sz w:val="20"/>
          <w:szCs w:val="20"/>
        </w:rPr>
        <w:t xml:space="preserve">,</w:t>
      </w:r>
      <w:hyperlink w:history="1" w:anchor="ref11">
        <w:r>
          <w:rPr>
            <w:rStyle w:val="Hyperlink"/>
            <w:rFonts w:ascii="Times New Roman" w:cs="Times New Roman" w:eastAsia="Times New Roman" w:hAnsi="Times New Roman"/>
            <w:color w:val="1155CC"/>
            <w:sz w:val="20"/>
            <w:szCs w:val="20"/>
            <w:u w:val="single"/>
          </w:rPr>
          <w:t xml:space="preserve">11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modest; sharing one encoder across all three tasks is a deliberate response to that constraint. And an incorrect but confident suggestion is arguably worse than none at all in an engineering context, which motivates both the retrieval-first bias in Section 5.2 and the explanation layer in Section 6 — a suggestion the designer cannot audit is one they should not trust.</w:t>
      </w:r>
    </w:p>
    <w:p>
      <w:pPr>
        <w:spacing w:after="80"/>
        <w:ind w:firstLine="227"/>
        <w:jc w:val="both"/>
      </w:pPr>
      <w:r>
        <w:rPr>
          <w:rFonts w:ascii="Times New Roman" w:cs="Times New Roman" w:eastAsia="Times New Roman" w:hAnsi="Times New Roman"/>
          <w:sz w:val="20"/>
          <w:szCs w:val="20"/>
        </w:rPr>
        <w:t xml:space="preserve">This paper makes the following contributions:</w:t>
      </w:r>
    </w:p>
    <w:p>
      <w:pPr>
        <w:pStyle w:val="ListParagraph"/>
        <w:numPr>
          <w:ilvl w:val="0"/>
          <w:numId w:val="1"/>
        </w:numPr>
        <w:spacing w:after="60"/>
        <w:jc w:val="both"/>
      </w:pPr>
      <w:r>
        <w:rPr>
          <w:rFonts w:ascii="Times New Roman" w:cs="Times New Roman" w:eastAsia="Times New Roman" w:hAnsi="Times New Roman"/>
          <w:sz w:val="20"/>
          <w:szCs w:val="20"/>
        </w:rPr>
        <w:t xml:space="preserve">An end-to-end GNN pipeline — detect, rank, generate — that operates directly on STEP-derived assembly graphs with a 34-dimensional geometric node feature vector and a 6-dimensional contact-edge feature vector, requiring no proprietary CAD-kernel API at inference time.</w:t>
      </w:r>
    </w:p>
    <w:p>
      <w:pPr>
        <w:pStyle w:val="ListParagraph"/>
        <w:numPr>
          <w:ilvl w:val="0"/>
          <w:numId w:val="1"/>
        </w:numPr>
        <w:spacing w:after="60"/>
        <w:jc w:val="both"/>
      </w:pPr>
      <w:r>
        <w:rPr>
          <w:rFonts w:ascii="Times New Roman" w:cs="Times New Roman" w:eastAsia="Times New Roman" w:hAnsi="Times New Roman"/>
          <w:sz w:val="20"/>
          <w:szCs w:val="20"/>
        </w:rPr>
        <w:t xml:space="preserve">A hybrid shape generator that prefers real retrieved geometry over a generative fallback, and a corresponding evaluation showing this materially outperforms VAE-only generation on both intersection-over-union and Chamfer distance.</w:t>
      </w:r>
    </w:p>
    <w:p>
      <w:pPr>
        <w:pStyle w:val="ListParagraph"/>
        <w:numPr>
          <w:ilvl w:val="0"/>
          <w:numId w:val="1"/>
        </w:numPr>
        <w:spacing w:after="60"/>
        <w:jc w:val="both"/>
      </w:pPr>
      <w:r>
        <w:rPr>
          <w:rFonts w:ascii="Times New Roman" w:cs="Times New Roman" w:eastAsia="Times New Roman" w:hAnsi="Times New Roman"/>
          <w:sz w:val="20"/>
          <w:szCs w:val="20"/>
        </w:rPr>
        <w:t xml:space="preserve">Two supporting components with no analogue in the CAD-generation literature we surveyed: an Octree-based open-surface detector that locates candidate joint locations from raw mesh geometry alone, and a per-category component-type frequency prior (AssemblyTemplateDB) that produces a useful completion signal even from a single uploaded body with no graph context at all.</w:t>
      </w:r>
    </w:p>
    <w:p>
      <w:pPr>
        <w:pStyle w:val="ListParagraph"/>
        <w:numPr>
          <w:ilvl w:val="0"/>
          <w:numId w:val="1"/>
        </w:numPr>
        <w:spacing w:after="60"/>
        <w:jc w:val="both"/>
      </w:pPr>
      <w:r>
        <w:rPr>
          <w:rFonts w:ascii="Times New Roman" w:cs="Times New Roman" w:eastAsia="Times New Roman" w:hAnsi="Times New Roman"/>
          <w:sz w:val="20"/>
          <w:szCs w:val="20"/>
        </w:rPr>
        <w:t xml:space="preserve">A GNNExplainer-based, natural-language explanation layer that turns raw attribution scores into engineering-readable justifications for each prediction, evaluated live against real uploaded STEP files.</w:t>
      </w:r>
    </w:p>
    <w:p>
      <w:pPr>
        <w:pStyle w:val="ListParagraph"/>
        <w:numPr>
          <w:ilvl w:val="0"/>
          <w:numId w:val="1"/>
        </w:numPr>
        <w:spacing w:after="60"/>
        <w:jc w:val="both"/>
      </w:pPr>
      <w:r>
        <w:rPr>
          <w:rFonts w:ascii="Times New Roman" w:cs="Times New Roman" w:eastAsia="Times New Roman" w:hAnsi="Times New Roman"/>
          <w:sz w:val="20"/>
          <w:szCs w:val="20"/>
        </w:rPr>
        <w:t xml:space="preserve">A transparent account of two engineering findings surfaced during development — a previously silent, all-zero feature dimension found only through exploratory data analysis of the final training corpus, and a majority-class bias in the ranking head — reported here in the interest of reproducibility rather than omitted for polish.</w:t>
      </w:r>
    </w:p>
    <w:p>
      <w:pPr>
        <w:spacing w:after="200"/>
        <w:ind w:firstLine="227"/>
        <w:jc w:val="both"/>
      </w:pPr>
      <w:r>
        <w:rPr>
          <w:rFonts w:ascii="Times New Roman" w:cs="Times New Roman" w:eastAsia="Times New Roman" w:hAnsi="Times New Roman"/>
          <w:sz w:val="20"/>
          <w:szCs w:val="20"/>
        </w:rPr>
        <w:t xml:space="preserve">The rest of this paper is organised as follows. Section 2 surveys related work in CAD generation and graph representation learning. Section 3 describes the shared graph-construction pipeline and encoder. Sections 4 and 5 detail Phase I detection and Phase II recommendation/generation respectively. Section 6 covers the two supporting contributions. Section 7 reports engineering challenges encountered building the system. Section 8 describes the experimental corpus and protocol, Section 9 reports results and two engineering findings, and Section 10 concludes with limitations and future work.</w:t>
      </w:r>
    </w:p>
    <w:p>
      <w:pPr>
        <w:spacing w:after="80" w:before="160"/>
      </w:pPr>
      <w:r>
        <w:rPr>
          <w:rFonts w:ascii="Times New Roman" w:cs="Times New Roman" w:eastAsia="Times New Roman" w:hAnsi="Times New Roman"/>
          <w:b/>
          <w:bCs/>
          <w:sz w:val="24"/>
          <w:szCs w:val="24"/>
        </w:rPr>
        <w:t xml:space="preserve">2 Related Work</w:t>
      </w:r>
    </w:p>
    <w:p>
      <w:pPr>
        <w:spacing w:after="0"/>
        <w:ind w:firstLine="227"/>
        <w:jc w:val="both"/>
      </w:pPr>
      <w:r>
        <w:rPr>
          <w:rFonts w:ascii="Times New Roman" w:cs="Times New Roman" w:eastAsia="Times New Roman" w:hAnsi="Times New Roman"/>
          <w:b/>
          <w:bCs/>
          <w:sz w:val="20"/>
          <w:szCs w:val="20"/>
        </w:rPr>
        <w:t xml:space="preserve">Generative CAD models. </w:t>
      </w:r>
      <w:r>
        <w:rPr>
          <w:rFonts w:ascii="Times New Roman" w:cs="Times New Roman" w:eastAsia="Times New Roman" w:hAnsi="Times New Roman"/>
          <w:sz w:val="20"/>
          <w:szCs w:val="20"/>
        </w:rPr>
        <w:t xml:space="preserve">Recent work generates CAD geometry directly: BrepGen </w:t>
      </w:r>
      <w:r>
        <w:rPr>
          <w:rFonts w:ascii="Times New Roman" w:cs="Times New Roman" w:eastAsia="Times New Roman" w:hAnsi="Times New Roman"/>
          <w:sz w:val="20"/>
          <w:szCs w:val="20"/>
        </w:rPr>
        <w:t xml:space="preserve">[</w:t>
      </w:r>
      <w:hyperlink w:history="1" w:anchor="ref1">
        <w:r>
          <w:rPr>
            <w:rStyle w:val="Hyperlink"/>
            <w:rFonts w:ascii="Times New Roman" w:cs="Times New Roman" w:eastAsia="Times New Roman" w:hAnsi="Times New Roman"/>
            <w:color w:val="1155CC"/>
            <w:sz w:val="20"/>
            <w:szCs w:val="20"/>
            <w:u w:val="single"/>
          </w:rPr>
          <w:t xml:space="preserve">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uses a structured latent diffusion model to synthesise valid B-Rep solids; SolidGen </w:t>
      </w:r>
      <w:r>
        <w:rPr>
          <w:rFonts w:ascii="Times New Roman" w:cs="Times New Roman" w:eastAsia="Times New Roman" w:hAnsi="Times New Roman"/>
          <w:sz w:val="20"/>
          <w:szCs w:val="20"/>
        </w:rPr>
        <w:t xml:space="preserve">[</w:t>
      </w:r>
      <w:hyperlink w:history="1" w:anchor="ref2">
        <w:r>
          <w:rPr>
            <w:rStyle w:val="Hyperlink"/>
            <w:rFonts w:ascii="Times New Roman" w:cs="Times New Roman" w:eastAsia="Times New Roman" w:hAnsi="Times New Roman"/>
            <w:color w:val="1155CC"/>
            <w:sz w:val="20"/>
            <w:szCs w:val="20"/>
            <w:u w:val="single"/>
          </w:rPr>
          <w:t xml:space="preserve">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an autoregressive model over B-Rep topology and geometry; CAD-GPT </w:t>
      </w:r>
      <w:r>
        <w:rPr>
          <w:rFonts w:ascii="Times New Roman" w:cs="Times New Roman" w:eastAsia="Times New Roman" w:hAnsi="Times New Roman"/>
          <w:sz w:val="20"/>
          <w:szCs w:val="20"/>
        </w:rPr>
        <w:t xml:space="preserve">[</w:t>
      </w:r>
      <w:hyperlink w:history="1" w:anchor="ref3">
        <w:r>
          <w:rPr>
            <w:rStyle w:val="Hyperlink"/>
            <w:rFonts w:ascii="Times New Roman" w:cs="Times New Roman" w:eastAsia="Times New Roman" w:hAnsi="Times New Roman"/>
            <w:color w:val="1155CC"/>
            <w:sz w:val="20"/>
            <w:szCs w:val="20"/>
            <w:u w:val="single"/>
          </w:rPr>
          <w:t xml:space="preserve">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synthesises CAD construction sequences from natural-language spatial reasoning. All three generate individual parts or full designs from a specification or a prior distribution; none consumes a partially-built assembly and reasons about what specific component is missing from it — the problem this paper addresses is complementary, not competing.</w:t>
      </w:r>
    </w:p>
    <w:p>
      <w:pPr>
        <w:spacing w:after="0"/>
        <w:ind w:firstLine="227"/>
        <w:jc w:val="both"/>
      </w:pPr>
      <w:r>
        <w:rPr>
          <w:rFonts w:ascii="Times New Roman" w:cs="Times New Roman" w:eastAsia="Times New Roman" w:hAnsi="Times New Roman"/>
          <w:b/>
          <w:bCs/>
          <w:sz w:val="20"/>
          <w:szCs w:val="20"/>
        </w:rPr>
        <w:t xml:space="preserve">GNNs for structural and link-level reasoning. </w:t>
      </w:r>
      <w:r>
        <w:rPr>
          <w:rFonts w:ascii="Times New Roman" w:cs="Times New Roman" w:eastAsia="Times New Roman" w:hAnsi="Times New Roman"/>
          <w:sz w:val="20"/>
          <w:szCs w:val="20"/>
        </w:rPr>
        <w:t xml:space="preserve">Graph convolutional and attention architectures </w:t>
      </w:r>
      <w:r>
        <w:rPr>
          <w:rFonts w:ascii="Times New Roman" w:cs="Times New Roman" w:eastAsia="Times New Roman" w:hAnsi="Times New Roman"/>
          <w:sz w:val="20"/>
          <w:szCs w:val="20"/>
        </w:rPr>
        <w:t xml:space="preserve">[</w:t>
      </w:r>
      <w:hyperlink w:history="1" w:anchor="ref6">
        <w:r>
          <w:rPr>
            <w:rStyle w:val="Hyperlink"/>
            <w:rFonts w:ascii="Times New Roman" w:cs="Times New Roman" w:eastAsia="Times New Roman" w:hAnsi="Times New Roman"/>
            <w:color w:val="1155CC"/>
            <w:sz w:val="20"/>
            <w:szCs w:val="20"/>
            <w:u w:val="single"/>
          </w:rPr>
          <w:t xml:space="preserve">6</w:t>
        </w:r>
      </w:hyperlink>
      <w:r>
        <w:rPr>
          <w:rFonts w:ascii="Times New Roman" w:cs="Times New Roman" w:eastAsia="Times New Roman" w:hAnsi="Times New Roman"/>
          <w:sz w:val="20"/>
          <w:szCs w:val="20"/>
        </w:rPr>
        <w:t xml:space="preserve">,</w:t>
      </w:r>
      <w:hyperlink w:history="1" w:anchor="ref7">
        <w:r>
          <w:rPr>
            <w:rStyle w:val="Hyperlink"/>
            <w:rFonts w:ascii="Times New Roman" w:cs="Times New Roman" w:eastAsia="Times New Roman" w:hAnsi="Times New Roman"/>
            <w:color w:val="1155CC"/>
            <w:sz w:val="20"/>
            <w:szCs w:val="20"/>
            <w:u w:val="single"/>
          </w:rPr>
          <w:t xml:space="preserve">7</w:t>
        </w:r>
      </w:hyperlink>
      <w:r>
        <w:rPr>
          <w:rFonts w:ascii="Times New Roman" w:cs="Times New Roman" w:eastAsia="Times New Roman" w:hAnsi="Times New Roman"/>
          <w:sz w:val="20"/>
          <w:szCs w:val="20"/>
        </w:rPr>
        <w:t xml:space="preserve">,</w:t>
      </w:r>
      <w:hyperlink w:history="1" w:anchor="ref8">
        <w:r>
          <w:rPr>
            <w:rStyle w:val="Hyperlink"/>
            <w:rFonts w:ascii="Times New Roman" w:cs="Times New Roman" w:eastAsia="Times New Roman" w:hAnsi="Times New Roman"/>
            <w:color w:val="1155CC"/>
            <w:sz w:val="20"/>
            <w:szCs w:val="20"/>
            <w:u w:val="single"/>
          </w:rPr>
          <w:t xml:space="preserve">8</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established the modern toolkit for relational learning; relational-attention variants such as RGATConv </w:t>
      </w:r>
      <w:r>
        <w:rPr>
          <w:rFonts w:ascii="Times New Roman" w:cs="Times New Roman" w:eastAsia="Times New Roman" w:hAnsi="Times New Roman"/>
          <w:sz w:val="20"/>
          <w:szCs w:val="20"/>
        </w:rPr>
        <w:t xml:space="preserve">[</w:t>
      </w:r>
      <w:hyperlink w:history="1" w:anchor="ref9">
        <w:r>
          <w:rPr>
            <w:rStyle w:val="Hyperlink"/>
            <w:rFonts w:ascii="Times New Roman" w:cs="Times New Roman" w:eastAsia="Times New Roman" w:hAnsi="Times New Roman"/>
            <w:color w:val="1155CC"/>
            <w:sz w:val="20"/>
            <w:szCs w:val="20"/>
            <w:u w:val="single"/>
          </w:rPr>
          <w:t xml:space="preserve">9</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extend attention with per-edge-type parameters — the mechanism this work builds on, since a joint's type materially changes how connected bodies should influence each other. A recent analysis questions how much link-prediction performance owes to structural heuristics rather than learned features </w:t>
      </w:r>
      <w:r>
        <w:rPr>
          <w:rFonts w:ascii="Times New Roman" w:cs="Times New Roman" w:eastAsia="Times New Roman" w:hAnsi="Times New Roman"/>
          <w:sz w:val="20"/>
          <w:szCs w:val="20"/>
        </w:rPr>
        <w:t xml:space="preserve">[</w:t>
      </w:r>
      <w:hyperlink w:history="1" w:anchor="ref4">
        <w:r>
          <w:rPr>
            <w:rStyle w:val="Hyperlink"/>
            <w:rFonts w:ascii="Times New Roman" w:cs="Times New Roman" w:eastAsia="Times New Roman" w:hAnsi="Times New Roman"/>
            <w:color w:val="1155CC"/>
            <w:sz w:val="20"/>
            <w:szCs w:val="20"/>
            <w:u w:val="single"/>
          </w:rPr>
          <w:t xml:space="preserve">4</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our features lean on affine-invariant shape descriptors over pure topology, which should reduce that risk. Heterogeneous graph contrastive learning </w:t>
      </w:r>
      <w:r>
        <w:rPr>
          <w:rFonts w:ascii="Times New Roman" w:cs="Times New Roman" w:eastAsia="Times New Roman" w:hAnsi="Times New Roman"/>
          <w:sz w:val="20"/>
          <w:szCs w:val="20"/>
        </w:rPr>
        <w:t xml:space="preserve">[</w:t>
      </w:r>
      <w:hyperlink w:history="1" w:anchor="ref5">
        <w:r>
          <w:rPr>
            <w:rStyle w:val="Hyperlink"/>
            <w:rFonts w:ascii="Times New Roman" w:cs="Times New Roman" w:eastAsia="Times New Roman" w:hAnsi="Times New Roman"/>
            <w:color w:val="1155CC"/>
            <w:sz w:val="20"/>
            <w:szCs w:val="20"/>
            <w:u w:val="single"/>
          </w:rPr>
          <w:t xml:space="preserve">5</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a related self-supervised alternative to the supervised objectives used here.</w:t>
      </w:r>
    </w:p>
    <w:p>
      <w:pPr>
        <w:spacing w:after="0"/>
        <w:ind w:firstLine="227"/>
        <w:jc w:val="both"/>
      </w:pPr>
      <w:r>
        <w:rPr>
          <w:rFonts w:ascii="Times New Roman" w:cs="Times New Roman" w:eastAsia="Times New Roman" w:hAnsi="Times New Roman"/>
          <w:b/>
          <w:bCs/>
          <w:sz w:val="20"/>
          <w:szCs w:val="20"/>
        </w:rPr>
        <w:t xml:space="preserve">CAD/mechanical part datasets. </w:t>
      </w:r>
      <w:r>
        <w:rPr>
          <w:rFonts w:ascii="Times New Roman" w:cs="Times New Roman" w:eastAsia="Times New Roman" w:hAnsi="Times New Roman"/>
          <w:sz w:val="20"/>
          <w:szCs w:val="20"/>
        </w:rPr>
        <w:t xml:space="preserve">Large open datasets such as ABC </w:t>
      </w:r>
      <w:r>
        <w:rPr>
          <w:rFonts w:ascii="Times New Roman" w:cs="Times New Roman" w:eastAsia="Times New Roman" w:hAnsi="Times New Roman"/>
          <w:sz w:val="20"/>
          <w:szCs w:val="20"/>
        </w:rPr>
        <w:t xml:space="preserve">[</w:t>
      </w:r>
      <w:hyperlink w:history="1" w:anchor="ref10">
        <w:r>
          <w:rPr>
            <w:rStyle w:val="Hyperlink"/>
            <w:rFonts w:ascii="Times New Roman" w:cs="Times New Roman" w:eastAsia="Times New Roman" w:hAnsi="Times New Roman"/>
            <w:color w:val="1155CC"/>
            <w:sz w:val="20"/>
            <w:szCs w:val="20"/>
            <w:u w:val="single"/>
          </w:rPr>
          <w:t xml:space="preserve">10</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PartNet </w:t>
      </w:r>
      <w:r>
        <w:rPr>
          <w:rFonts w:ascii="Times New Roman" w:cs="Times New Roman" w:eastAsia="Times New Roman" w:hAnsi="Times New Roman"/>
          <w:sz w:val="20"/>
          <w:szCs w:val="20"/>
        </w:rPr>
        <w:t xml:space="preserve">[</w:t>
      </w:r>
      <w:hyperlink w:history="1" w:anchor="ref11">
        <w:r>
          <w:rPr>
            <w:rStyle w:val="Hyperlink"/>
            <w:rFonts w:ascii="Times New Roman" w:cs="Times New Roman" w:eastAsia="Times New Roman" w:hAnsi="Times New Roman"/>
            <w:color w:val="1155CC"/>
            <w:sz w:val="20"/>
            <w:szCs w:val="20"/>
            <w:u w:val="single"/>
          </w:rPr>
          <w:t xml:space="preserve">11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have driven progress in learned shape understanding, but both are dominated by consumer and generic-object geometry rather than the industrial fastener- and joint-heavy assemblies this system targets; we curate our own corpus for that reason (Section 8.1).</w:t>
      </w:r>
    </w:p>
    <w:p>
      <w:pPr>
        <w:spacing w:after="0"/>
        <w:ind w:firstLine="227"/>
        <w:jc w:val="both"/>
      </w:pPr>
      <w:r>
        <w:rPr>
          <w:rFonts w:ascii="Times New Roman" w:cs="Times New Roman" w:eastAsia="Times New Roman" w:hAnsi="Times New Roman"/>
          <w:b/>
          <w:bCs/>
          <w:sz w:val="20"/>
          <w:szCs w:val="20"/>
        </w:rPr>
        <w:t xml:space="preserve">Interpretability. </w:t>
      </w:r>
      <w:r>
        <w:rPr>
          <w:rFonts w:ascii="Times New Roman" w:cs="Times New Roman" w:eastAsia="Times New Roman" w:hAnsi="Times New Roman"/>
          <w:sz w:val="20"/>
          <w:szCs w:val="20"/>
        </w:rPr>
        <w:t xml:space="preserve">GNNExplainer </w:t>
      </w:r>
      <w:r>
        <w:rPr>
          <w:rFonts w:ascii="Times New Roman" w:cs="Times New Roman" w:eastAsia="Times New Roman" w:hAnsi="Times New Roman"/>
          <w:sz w:val="20"/>
          <w:szCs w:val="20"/>
        </w:rPr>
        <w:t xml:space="preserve">[</w:t>
      </w:r>
      <w:hyperlink w:history="1" w:anchor="ref12">
        <w:r>
          <w:rPr>
            <w:rStyle w:val="Hyperlink"/>
            <w:rFonts w:ascii="Times New Roman" w:cs="Times New Roman" w:eastAsia="Times New Roman" w:hAnsi="Times New Roman"/>
            <w:color w:val="1155CC"/>
            <w:sz w:val="20"/>
            <w:szCs w:val="20"/>
            <w:u w:val="single"/>
          </w:rPr>
          <w:t xml:space="preserve">12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produces post-hoc subgraph and feature attributions for a trained GNN's prediction, used here as the numerical backbone for Section 6's explanation layer, which translates its attribution scores into natural-language engineering justifications rather than exposing raw importance weights.</w:t>
      </w:r>
    </w:p>
    <w:p>
      <w:pPr>
        <w:spacing w:after="200"/>
        <w:ind w:firstLine="227"/>
        <w:jc w:val="both"/>
      </w:pPr>
      <w:r>
        <w:rPr>
          <w:rFonts w:ascii="Times New Roman" w:cs="Times New Roman" w:eastAsia="Times New Roman" w:hAnsi="Times New Roman"/>
          <w:b/>
          <w:bCs/>
          <w:sz w:val="20"/>
          <w:szCs w:val="20"/>
        </w:rPr>
        <w:t xml:space="preserve">Graph representation choices. </w:t>
      </w:r>
      <w:r>
        <w:rPr>
          <w:rFonts w:ascii="Times New Roman" w:cs="Times New Roman" w:eastAsia="Times New Roman" w:hAnsi="Times New Roman"/>
          <w:sz w:val="20"/>
          <w:szCs w:val="20"/>
        </w:rPr>
        <w:t xml:space="preserve">Shallow, structure-only embedding methods such as node2vec </w:t>
      </w:r>
      <w:r>
        <w:rPr>
          <w:rFonts w:ascii="Times New Roman" w:cs="Times New Roman" w:eastAsia="Times New Roman" w:hAnsi="Times New Roman"/>
          <w:sz w:val="20"/>
          <w:szCs w:val="20"/>
        </w:rPr>
        <w:t xml:space="preserve">[</w:t>
      </w:r>
      <w:hyperlink w:history="1" w:anchor="ref18">
        <w:r>
          <w:rPr>
            <w:rStyle w:val="Hyperlink"/>
            <w:rFonts w:ascii="Times New Roman" w:cs="Times New Roman" w:eastAsia="Times New Roman" w:hAnsi="Times New Roman"/>
            <w:color w:val="1155CC"/>
            <w:sz w:val="20"/>
            <w:szCs w:val="20"/>
            <w:u w:val="single"/>
          </w:rPr>
          <w:t xml:space="preserve">18</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learn node representations from random-walk co-occurrence alone, with no mechanism to consume continuous node or edge attributes — a significant loss of signal for a graph whose edges carry a physically meaningful joint-type label, motivating the attention-based, feature-aware encoder in Section 3.2 instead.</w:t>
      </w:r>
    </w:p>
    <w:p>
      <w:pPr>
        <w:spacing w:after="80" w:before="160"/>
      </w:pPr>
      <w:r>
        <w:rPr>
          <w:rFonts w:ascii="Times New Roman" w:cs="Times New Roman" w:eastAsia="Times New Roman" w:hAnsi="Times New Roman"/>
          <w:b/>
          <w:bCs/>
          <w:sz w:val="24"/>
          <w:szCs w:val="24"/>
        </w:rPr>
        <w:t xml:space="preserve">3 System Architecture</w:t>
      </w:r>
    </w:p>
    <w:p>
      <w:pPr>
        <w:spacing w:after="120"/>
        <w:ind w:firstLine="227"/>
        <w:jc w:val="both"/>
      </w:pPr>
      <w:r>
        <w:rPr>
          <w:rFonts w:ascii="Times New Roman" w:cs="Times New Roman" w:eastAsia="Times New Roman" w:hAnsi="Times New Roman"/>
          <w:sz w:val="20"/>
          <w:szCs w:val="20"/>
        </w:rPr>
        <w:t xml:space="preserve">Figure 1 summarises the full pipeline: a STEP file is converted to an attributed graph, encoded once by a shared relational-attention network, and consumed by three task heads. Two supporting modules — the AssemblyTemplateDB prior and the Octree open-surface detector — operate independently of the encoder and join their evidence directly at the explanation layer alongside the task heads' outputs.</w:t>
      </w:r>
    </w:p>
    <w:p>
      <w:pPr>
        <w:spacing w:after="40"/>
        <w:jc w:val="center"/>
      </w:pPr>
      <w:r>
        <w:drawing>
          <wp:inline distT="0" distB="0" distL="0" distR="0">
            <wp:extent cx="395287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52875" cy="151447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1. System pipeline: one shared frozen encoder feeds three task heads and a live explanation layer.</w:t>
      </w:r>
    </w:p>
    <w:p>
      <w:pPr>
        <w:spacing w:after="60" w:before="120"/>
      </w:pPr>
      <w:r>
        <w:rPr>
          <w:rFonts w:ascii="Times New Roman" w:cs="Times New Roman" w:eastAsia="Times New Roman" w:hAnsi="Times New Roman"/>
          <w:b/>
          <w:bCs/>
          <w:sz w:val="20"/>
          <w:szCs w:val="20"/>
        </w:rPr>
        <w:t xml:space="preserve">3.1 Graph construction</w:t>
      </w:r>
    </w:p>
    <w:p>
      <w:pPr>
        <w:spacing w:after="0"/>
        <w:ind w:firstLine="227"/>
        <w:jc w:val="both"/>
      </w:pPr>
      <w:r>
        <w:rPr>
          <w:rFonts w:ascii="Times New Roman" w:cs="Times New Roman" w:eastAsia="Times New Roman" w:hAnsi="Times New Roman"/>
          <w:sz w:val="20"/>
          <w:szCs w:val="20"/>
        </w:rPr>
        <w:t xml:space="preserve">Each STEP assembly file is parsed with gmsh (OpenCASCADE kernel), fragmented into individual solid bodies, and converted into an attributed graph: one node per solid body, one edge per pair of bodies whose boundary face sets physically intersect after fragmentation (a real shared contact, not spatial proximity). Two bodies with no shared boundary get no edge, however close they sit in space.</w:t>
      </w:r>
    </w:p>
    <w:p>
      <w:pPr>
        <w:spacing w:after="0"/>
        <w:ind w:firstLine="227"/>
        <w:jc w:val="both"/>
      </w:pPr>
      <w:r>
        <w:rPr>
          <w:rFonts w:ascii="Times New Roman" w:cs="Times New Roman" w:eastAsia="Times New Roman" w:hAnsi="Times New Roman"/>
          <w:b/>
          <w:bCs/>
          <w:sz w:val="20"/>
          <w:szCs w:val="20"/>
        </w:rPr>
        <w:t xml:space="preserve">Node features (34-dim). </w:t>
      </w:r>
      <w:r>
        <w:rPr>
          <w:rFonts w:ascii="Times New Roman" w:cs="Times New Roman" w:eastAsia="Times New Roman" w:hAnsi="Times New Roman"/>
          <w:sz w:val="20"/>
          <w:szCs w:val="20"/>
        </w:rPr>
        <w:t xml:space="preserve">Every body carries: an 8-class component-type one-hot (long/short shaft, thick/thin plate, bolt, washer, nut, body — assigned by multi-signal geometric voting over hole detection, bolt-head detection, and absolute-size gating, replacing an earlier single-signal SDF rule); log-scaled volume and exact surface area (via trimesh, not a bounding-box approximation); three scale-normalised bounding-box extents; five affine-invariant shape descriptors (elongation, flatness, two aspect ratios, sphericity); Shape Diameter Function (SDF) mean and variance from inward ray-casting; a surface-area-to-volume ratio; and twelve hole-geometry descriptors added for this corpus revision — hole count, a binary has-holes flag, through/counterbore/indentation/filled-hole fractions and their corresponding binary flags, mean and maximum hole diameter, and a flag for whether a hole's local surroundings are curved rather than flat (fasteners essentially never mount on a curved outer surface, so this distinguishes a genuine mounting hole from an incidental one).</w:t>
      </w:r>
    </w:p>
    <w:p>
      <w:pPr>
        <w:spacing w:after="0"/>
        <w:ind w:firstLine="227"/>
        <w:jc w:val="both"/>
      </w:pPr>
      <w:r>
        <w:rPr>
          <w:rFonts w:ascii="Times New Roman" w:cs="Times New Roman" w:eastAsia="Times New Roman" w:hAnsi="Times New Roman"/>
          <w:b/>
          <w:bCs/>
          <w:sz w:val="20"/>
          <w:szCs w:val="20"/>
        </w:rPr>
        <w:t xml:space="preserve">Edge features (6-dim). </w:t>
      </w:r>
      <w:r>
        <w:rPr>
          <w:rFonts w:ascii="Times New Roman" w:cs="Times New Roman" w:eastAsia="Times New Roman" w:hAnsi="Times New Roman"/>
          <w:sz w:val="20"/>
          <w:szCs w:val="20"/>
        </w:rPr>
        <w:t xml:space="preserve">Two dimensions encode the mate type and a real contact-area weight (the shared-surface area ratio between the two bodies, replacing an earlier hardcoded constant), and four encode a one-hot joint-type classification (rigid, revolute, slider, cylindrical) inferred from the local contact geometry.</w:t>
      </w:r>
    </w:p>
    <w:p>
      <w:pPr>
        <w:spacing w:after="60" w:before="120"/>
      </w:pPr>
      <w:r>
        <w:rPr>
          <w:rFonts w:ascii="Times New Roman" w:cs="Times New Roman" w:eastAsia="Times New Roman" w:hAnsi="Times New Roman"/>
          <w:b/>
          <w:bCs/>
          <w:sz w:val="20"/>
          <w:szCs w:val="20"/>
        </w:rPr>
        <w:t xml:space="preserve">3.2 Shared encoder</w:t>
      </w:r>
    </w:p>
    <w:p>
      <w:pPr>
        <w:spacing w:after="0"/>
        <w:ind w:firstLine="227"/>
        <w:jc w:val="both"/>
      </w:pPr>
      <w:r>
        <w:rPr>
          <w:rFonts w:ascii="Times New Roman" w:cs="Times New Roman" w:eastAsia="Times New Roman" w:hAnsi="Times New Roman"/>
          <w:sz w:val="20"/>
          <w:szCs w:val="20"/>
        </w:rPr>
        <w:t xml:space="preserve">All task heads read from one shared encoder, AssemblyGNN: a 3-layer relational graph attention network (RGATConv) with eight attention heads at the first two layers narrowing to one at the third, hidden width 128, output embedding width 64. Both the input and output projections are node-type-conditioned — a separate linear layer per one of the eight component-type classes, dispatched by the node's own one-hot type — and the relational attention at every layer is conditioned on the discrete joint-type argmax of each edge, so a revolute joint and a rigid joint pass different learned attention weights even between structurally identical node pairs. Continuous edge features (contact-area weight, mate-type scalar) are injected only at the first layer. The encoder is trained once, end-to-end with the Phase I head (Section 4), then frozen: every subsequent head (Section 5) trains only its own small parameter set on top of the fixed embeddings this encoder produces.</w:t>
      </w:r>
    </w:p>
    <w:p>
      <w:pPr>
        <w:spacing w:after="60" w:before="120"/>
      </w:pPr>
      <w:r>
        <w:rPr>
          <w:rFonts w:ascii="Times New Roman" w:cs="Times New Roman" w:eastAsia="Times New Roman" w:hAnsi="Times New Roman"/>
          <w:b/>
          <w:bCs/>
          <w:sz w:val="20"/>
          <w:szCs w:val="20"/>
        </w:rPr>
        <w:t xml:space="preserve">3.3 Implementation details</w:t>
      </w:r>
    </w:p>
    <w:p>
      <w:pPr>
        <w:spacing w:after="120"/>
        <w:ind w:firstLine="227"/>
        <w:jc w:val="both"/>
      </w:pPr>
      <w:r>
        <w:rPr>
          <w:rFonts w:ascii="Times New Roman" w:cs="Times New Roman" w:eastAsia="Times New Roman" w:hAnsi="Times New Roman"/>
          <w:sz w:val="20"/>
          <w:szCs w:val="20"/>
        </w:rPr>
        <w:t xml:space="preserve">Table 1 lists the training configuration for each of the three stages. All three are implemented in PyTorch with PyTorch Geometric </w:t>
      </w:r>
      <w:r>
        <w:rPr>
          <w:rFonts w:ascii="Times New Roman" w:cs="Times New Roman" w:eastAsia="Times New Roman" w:hAnsi="Times New Roman"/>
          <w:sz w:val="20"/>
          <w:szCs w:val="20"/>
        </w:rPr>
        <w:t xml:space="preserve">[</w:t>
      </w:r>
      <w:hyperlink w:history="1" w:anchor="ref13">
        <w:r>
          <w:rPr>
            <w:rStyle w:val="Hyperlink"/>
            <w:rFonts w:ascii="Times New Roman" w:cs="Times New Roman" w:eastAsia="Times New Roman" w:hAnsi="Times New Roman"/>
            <w:color w:val="1155CC"/>
            <w:sz w:val="20"/>
            <w:szCs w:val="20"/>
            <w:u w:val="single"/>
          </w:rPr>
          <w:t xml:space="preserve">13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trained on a single Apple-Silicon GPU (Metal Performance Shaders backend). Phase I training batches graphs by a cumulative edge-count budget rather than a fixed graph count (EdgeBudgetBatchSampler): a handful of the corpus's larger assemblies (Section 8.1) exceed 1,000 edges each, and relational attention's per-edge relation-weight computation scales with a batch's total edge count, not its node count, so an unbudgeted batch combining several large graphs can exceed available GPU memory even when every individual graph fits comfortably alone.</w:t>
      </w:r>
    </w:p>
    <w:tbl>
      <w:tblPr>
        <w:tblW w:type="dxa" w:w="6899"/>
        <w:tblBorders>
          <w:top w:val="single" w:color="auto" w:sz="4"/>
          <w:left w:val="single" w:color="auto" w:sz="4"/>
          <w:bottom w:val="single" w:color="auto" w:sz="4"/>
          <w:right w:val="single" w:color="auto" w:sz="4"/>
          <w:insideH w:val="single" w:color="auto" w:sz="4"/>
          <w:insideV w:val="single" w:color="auto" w:sz="4"/>
        </w:tblBorders>
      </w:tblPr>
      <w:tblGrid>
        <w:gridCol w:w="1706"/>
        <w:gridCol w:w="2522"/>
        <w:gridCol w:w="2671"/>
      </w:tblGrid>
      <w:tr>
        <w:tc>
          <w:tcPr>
            <w:tcW w:type="dxa" w:w="1706"/>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Parameter</w:t>
            </w:r>
          </w:p>
        </w:tc>
        <w:tc>
          <w:tcPr>
            <w:tcW w:type="dxa" w:w="252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 (encoder)</w:t>
            </w:r>
          </w:p>
        </w:tc>
        <w:tc>
          <w:tcPr>
            <w:tcW w:type="dxa" w:w="2671"/>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II (heads)</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Optimiser</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(ReduceLROnPlateau, factor 0.5)</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(NodeRanker), fixed</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Weight decay</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5e-4</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1e-5 (NodeRanker)</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Batch composition</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edge-budgeted, cap 300 edges/batch</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full-graph context per sample</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Early-stop patience</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20 epochs (LR patience 8)</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none — fixed 30 / 60 epochs</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Dropout</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Cross-validation</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per-fold reseeded splits</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protocol, fold 0 reported</w:t>
            </w:r>
          </w:p>
        </w:tc>
      </w:tr>
    </w:tbl>
    <w:p>
      <w:pPr>
        <w:spacing w:after="200" w:before="120"/>
        <w:jc w:val="center"/>
      </w:pPr>
      <w:r>
        <w:rPr>
          <w:rFonts w:ascii="Times New Roman" w:cs="Times New Roman" w:eastAsia="Times New Roman" w:hAnsi="Times New Roman"/>
          <w:sz w:val="18"/>
          <w:szCs w:val="18"/>
        </w:rPr>
        <w:t xml:space="preserve">Table 1. Training configuration by stage.</w:t>
      </w:r>
    </w:p>
    <w:p>
      <w:pPr>
        <w:spacing w:after="80" w:before="160"/>
      </w:pPr>
      <w:r>
        <w:rPr>
          <w:rFonts w:ascii="Times New Roman" w:cs="Times New Roman" w:eastAsia="Times New Roman" w:hAnsi="Times New Roman"/>
          <w:b/>
          <w:bCs/>
          <w:sz w:val="24"/>
          <w:szCs w:val="24"/>
        </w:rPr>
        <w:t xml:space="preserve">4 Phase I: Missing-Component Detection</w:t>
      </w:r>
    </w:p>
    <w:p>
      <w:pPr>
        <w:spacing w:after="0"/>
        <w:ind w:firstLine="227"/>
        <w:jc w:val="both"/>
      </w:pPr>
      <w:r>
        <w:rPr>
          <w:rFonts w:ascii="Times New Roman" w:cs="Times New Roman" w:eastAsia="Times New Roman" w:hAnsi="Times New Roman"/>
          <w:sz w:val="20"/>
          <w:szCs w:val="20"/>
        </w:rPr>
        <w:t xml:space="preserve">Phase I frames missing-component detection as inductive link prediction. Given the encoder's node embeddings z_u, z_v (dimension 64) for a candidate body pair (u,v), a two-layer MLP head scores the pair:</w:t>
      </w:r>
    </w:p>
    <w:p>
      <w:pPr>
        <w:spacing w:after="120" w:before="60"/>
        <w:jc w:val="center"/>
      </w:pPr>
      <w:r>
        <w:rPr>
          <w:rFonts w:ascii="Times New Roman" w:cs="Times New Roman" w:eastAsia="Times New Roman" w:hAnsi="Times New Roman"/>
          <w:i/>
          <w:iCs/>
          <w:sz w:val="20"/>
          <w:szCs w:val="20"/>
        </w:rPr>
        <w:t xml:space="preserve">score(u,v) = MLP( z_u ‖ z_v ‖ ‖p_u − p_v‖₂ )      (1)</w:t>
      </w:r>
    </w:p>
    <w:p>
      <w:pPr>
        <w:spacing w:after="200"/>
        <w:ind w:firstLine="227"/>
        <w:jc w:val="both"/>
      </w:pPr>
      <w:r>
        <w:rPr>
          <w:rFonts w:ascii="Times New Roman" w:cs="Times New Roman" w:eastAsia="Times New Roman" w:hAnsi="Times New Roman"/>
          <w:sz w:val="20"/>
          <w:szCs w:val="20"/>
        </w:rPr>
        <w:t xml:space="preserve">where p_u, p_v are the two bodies' scale-normalised bounding-box centroids and ‖ denotes concatenation. The Euclidean-distance term was a deliberate late addition: without it, every node feature is affine-invariant and message passing only ever traverses real edges, so a candidate (non-edge) pair being scored had no signal at all for “these two bodies are nowhere near each other” — a structurally implausible pair and a plausible-but-missing one were otherwise indistinguishable to the head. Training uses RandomLinkSplit per graph (10% validation / 10% test edges, disjoint from the message-passing edges), a 1:1 hard-negative-augmented positive:negative ratio (chosen over the field's common 1:2 skew, which measurably inflates average precision independent of real ranking skill), and standard binary cross-entropy. A missing component in a real (possibly incomplete) assembly is then operationally identified as a body whose best candidate connection scores anomalously low relative to its structurally similar peers, surfaced to the user alongside the Section 6 Octree open-surface detector's independent geometric evidence.</w:t>
      </w:r>
    </w:p>
    <w:p>
      <w:pPr>
        <w:spacing w:after="80" w:before="160"/>
      </w:pPr>
      <w:r>
        <w:rPr>
          <w:rFonts w:ascii="Times New Roman" w:cs="Times New Roman" w:eastAsia="Times New Roman" w:hAnsi="Times New Roman"/>
          <w:b/>
          <w:bCs/>
          <w:sz w:val="24"/>
          <w:szCs w:val="24"/>
        </w:rPr>
        <w:t xml:space="preserve">5 Phase II: Next-Component Recommendation and Shape Generation</w:t>
      </w:r>
    </w:p>
    <w:p>
      <w:pPr>
        <w:spacing w:after="120"/>
        <w:ind w:firstLine="227"/>
        <w:jc w:val="both"/>
      </w:pPr>
      <w:r>
        <w:rPr>
          <w:rFonts w:ascii="Times New Roman" w:cs="Times New Roman" w:eastAsia="Times New Roman" w:hAnsi="Times New Roman"/>
          <w:sz w:val="20"/>
          <w:szCs w:val="20"/>
        </w:rPr>
        <w:t xml:space="preserve">Phase II answers two questions once Phase I has flagged that something is missing: what component type is most likely absent, and what should it look like. Both heads reuse the frozen Phase I encoder and train only their own parameters.</w:t>
      </w:r>
    </w:p>
    <w:p>
      <w:pPr>
        <w:spacing w:after="60" w:before="120"/>
      </w:pPr>
      <w:r>
        <w:rPr>
          <w:rFonts w:ascii="Times New Roman" w:cs="Times New Roman" w:eastAsia="Times New Roman" w:hAnsi="Times New Roman"/>
          <w:b/>
          <w:bCs/>
          <w:sz w:val="20"/>
          <w:szCs w:val="20"/>
        </w:rPr>
        <w:t xml:space="preserve">5.1 NodeRanker: next-component recommendation</w:t>
      </w:r>
    </w:p>
    <w:p>
      <w:pPr>
        <w:spacing w:after="0"/>
        <w:ind w:firstLine="227"/>
        <w:jc w:val="both"/>
      </w:pPr>
      <w:r>
        <w:rPr>
          <w:rFonts w:ascii="Times New Roman" w:cs="Times New Roman" w:eastAsia="Times New Roman" w:hAnsi="Times New Roman"/>
          <w:sz w:val="20"/>
          <w:szCs w:val="20"/>
        </w:rPr>
        <w:t xml:space="preserve">Given the embeddings of the assembly's known nodes {z_i}, a mean-pooled context vector c = mean_i(z_i) is projected through a single learned linear layer and compared to each of the eight candidate component-type embeddings by cosine similarity, scaled by a learnable CLIP-style temperature τ:</w:t>
      </w:r>
    </w:p>
    <w:p>
      <w:pPr>
        <w:spacing w:after="120" w:before="60"/>
        <w:jc w:val="center"/>
      </w:pPr>
      <w:r>
        <w:rPr>
          <w:rFonts w:ascii="Times New Roman" w:cs="Times New Roman" w:eastAsia="Times New Roman" w:hAnsi="Times New Roman"/>
          <w:i/>
          <w:iCs/>
          <w:sz w:val="20"/>
          <w:szCs w:val="20"/>
        </w:rPr>
        <w:t xml:space="preserve">score(t) = cos( W_c·c , z_t ) · exp(τ),   t ∈ {1,...,8}      (2)</w:t>
      </w:r>
    </w:p>
    <w:p>
      <w:pPr>
        <w:spacing w:after="0"/>
        <w:ind w:firstLine="227"/>
        <w:jc w:val="both"/>
      </w:pPr>
      <w:r>
        <w:rPr>
          <w:rFonts w:ascii="Times New Roman" w:cs="Times New Roman" w:eastAsia="Times New Roman" w:hAnsi="Times New Roman"/>
          <w:sz w:val="20"/>
          <w:szCs w:val="20"/>
        </w:rPr>
        <w:t xml:space="preserve">τ is initialised at zero (i.e. exp(τ)=1, plain unscaled cosine similarity) and only sharpens once training signals it should — a design chosen because the ranking head is thin (roughly 4.2K parameters in the projection alone) and unscaled cosine similarity, bounded in [−1,1], produces score differences too small for the ranking loss's gradient to act on efficiently at that head size. Training uses a leave-one-node-out protocol: for each graph and each held-out node, the remaining nodes form the context and the held-out node's true type is the positive candidate against the other seven as implicit negatives, optimised with Bayesian Personalised Ranking loss </w:t>
      </w:r>
      <w:r>
        <w:rPr>
          <w:rFonts w:ascii="Times New Roman" w:cs="Times New Roman" w:eastAsia="Times New Roman" w:hAnsi="Times New Roman"/>
          <w:sz w:val="20"/>
          <w:szCs w:val="20"/>
        </w:rPr>
        <w:t xml:space="preserve">[</w:t>
      </w:r>
      <w:hyperlink w:history="1" w:anchor="ref14">
        <w:r>
          <w:rPr>
            <w:rStyle w:val="Hyperlink"/>
            <w:rFonts w:ascii="Times New Roman" w:cs="Times New Roman" w:eastAsia="Times New Roman" w:hAnsi="Times New Roman"/>
            <w:color w:val="1155CC"/>
            <w:sz w:val="20"/>
            <w:szCs w:val="20"/>
            <w:u w:val="single"/>
          </w:rPr>
          <w:t xml:space="preserve">14</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w:t>
      </w:r>
    </w:p>
    <w:p>
      <w:pPr>
        <w:spacing w:after="60" w:before="120"/>
      </w:pPr>
      <w:r>
        <w:rPr>
          <w:rFonts w:ascii="Times New Roman" w:cs="Times New Roman" w:eastAsia="Times New Roman" w:hAnsi="Times New Roman"/>
          <w:b/>
          <w:bCs/>
          <w:sz w:val="20"/>
          <w:szCs w:val="20"/>
        </w:rPr>
        <w:t xml:space="preserve">5.2 HybridShapeGenerator: shape generation</w:t>
      </w:r>
    </w:p>
    <w:p>
      <w:pPr>
        <w:spacing w:after="100"/>
        <w:ind w:firstLine="227"/>
        <w:jc w:val="both"/>
      </w:pPr>
      <w:r>
        <w:rPr>
          <w:rFonts w:ascii="Times New Roman" w:cs="Times New Roman" w:eastAsia="Times New Roman" w:hAnsi="Times New Roman"/>
          <w:sz w:val="20"/>
          <w:szCs w:val="20"/>
        </w:rPr>
        <w:t xml:space="preserve">Once a component type is recommended, the system must produce an actual mesh, not just a label. HybridShapeGenerator tries two strategies in order.</w:t>
      </w:r>
    </w:p>
    <w:p>
      <w:pPr>
        <w:spacing w:after="0"/>
        <w:ind w:firstLine="227"/>
        <w:jc w:val="both"/>
      </w:pPr>
      <w:r>
        <w:rPr>
          <w:rFonts w:ascii="Times New Roman" w:cs="Times New Roman" w:eastAsia="Times New Roman" w:hAnsi="Times New Roman"/>
          <w:b/>
          <w:bCs/>
          <w:sz w:val="20"/>
          <w:szCs w:val="20"/>
        </w:rPr>
        <w:t xml:space="preserve">Retrieval. </w:t>
      </w:r>
      <w:r>
        <w:rPr>
          <w:rFonts w:ascii="Times New Roman" w:cs="Times New Roman" w:eastAsia="Times New Roman" w:hAnsi="Times New Roman"/>
          <w:sz w:val="20"/>
          <w:szCs w:val="20"/>
        </w:rPr>
        <w:t xml:space="preserve">A part bank built from every body in the training corpus (indexed by component type and a normalised bounding-box/scale signature) is queried for the closest match to the target region's geometry. If the best match's fit score clears a type-dependent threshold (τ_retrieval=0.6 generally, relaxed to τ_retrieval=0.4 specifically for fasteners — bolts, nuts, washers — since the bank already holds hundreds of real examples of these highly standardised shapes, and a slightly imperfect real part reliably beats a generative hallucination for them), the retrieved mesh is returned directly, at zero additional training cost.</w:t>
      </w:r>
    </w:p>
    <w:p>
      <w:pPr>
        <w:spacing w:after="0"/>
        <w:ind w:firstLine="227"/>
        <w:jc w:val="both"/>
      </w:pPr>
      <w:r>
        <w:rPr>
          <w:rFonts w:ascii="Times New Roman" w:cs="Times New Roman" w:eastAsia="Times New Roman" w:hAnsi="Times New Roman"/>
          <w:b/>
          <w:bCs/>
          <w:sz w:val="20"/>
          <w:szCs w:val="20"/>
        </w:rPr>
        <w:t xml:space="preserve">Conditional VAE fallback. </w:t>
      </w:r>
      <w:r>
        <w:rPr>
          <w:rFonts w:ascii="Times New Roman" w:cs="Times New Roman" w:eastAsia="Times New Roman" w:hAnsi="Times New Roman"/>
          <w:sz w:val="20"/>
          <w:szCs w:val="20"/>
        </w:rPr>
        <w:t xml:space="preserve">When no retrieval match clears the threshold, a small conditional VAE generates a novel shape. The target region is voxelised to a 32³ occupancy grid; the encoder is four 3D-convolutional blocks (1→32→64→128→256 channels, stride-2, batch norm, LeakyReLU) producing a 128-dim latent distribution; the decoder mirrors this with transposed convolutions, conditioned on a 77-dim vector (the frozen encoder's 64-dim context, an 8-dim target-type one-hot, a 3-dim target bounding box, a 2-dim neighbour-scale signal). Training minimises a weighted binary cross-entropy, a Dice term countering the sparse grid's foreground/background imbalance, and a KL regulariser on the latent:</w:t>
      </w:r>
    </w:p>
    <w:p>
      <w:pPr>
        <w:spacing w:after="200" w:before="60"/>
        <w:jc w:val="center"/>
      </w:pPr>
      <w:r>
        <w:rPr>
          <w:rFonts w:ascii="Times New Roman" w:cs="Times New Roman" w:eastAsia="Times New Roman" w:hAnsi="Times New Roman"/>
          <w:i/>
          <w:iCs/>
          <w:sz w:val="20"/>
          <w:szCs w:val="20"/>
        </w:rPr>
        <w:t xml:space="preserve">L = L_BCE + λ_dice·L_Dice + β_KL·L_KL,   λ_dice=0.5, β_KL=0.05      (3)</w:t>
      </w:r>
    </w:p>
    <w:p>
      <w:pPr>
        <w:spacing w:after="80" w:before="160"/>
      </w:pPr>
      <w:r>
        <w:rPr>
          <w:rFonts w:ascii="Times New Roman" w:cs="Times New Roman" w:eastAsia="Times New Roman" w:hAnsi="Times New Roman"/>
          <w:b/>
          <w:bCs/>
          <w:sz w:val="24"/>
          <w:szCs w:val="24"/>
        </w:rPr>
        <w:t xml:space="preserve">6 Novel Contributions</w:t>
      </w:r>
    </w:p>
    <w:p>
      <w:pPr>
        <w:spacing w:after="0"/>
        <w:ind w:firstLine="227"/>
        <w:jc w:val="both"/>
      </w:pPr>
      <w:r>
        <w:rPr>
          <w:rFonts w:ascii="Times New Roman" w:cs="Times New Roman" w:eastAsia="Times New Roman" w:hAnsi="Times New Roman"/>
          <w:b/>
          <w:bCs/>
          <w:sz w:val="20"/>
          <w:szCs w:val="20"/>
        </w:rPr>
        <w:t xml:space="preserve">Octree open-surface detector. </w:t>
      </w:r>
      <w:r>
        <w:rPr>
          <w:rFonts w:ascii="Times New Roman" w:cs="Times New Roman" w:eastAsia="Times New Roman" w:hAnsi="Times New Roman"/>
          <w:sz w:val="20"/>
          <w:szCs w:val="20"/>
        </w:rPr>
        <w:t xml:space="preserve">To locate where a missing component likely attaches without depending on a proprietary CAD-kernel API at inference time, an octree spatial partition — adapting the octree concept from prior mesh-watermarking work </w:t>
      </w:r>
      <w:r>
        <w:rPr>
          <w:rFonts w:ascii="Times New Roman" w:cs="Times New Roman" w:eastAsia="Times New Roman" w:hAnsi="Times New Roman"/>
          <w:sz w:val="20"/>
          <w:szCs w:val="20"/>
        </w:rPr>
        <w:t xml:space="preserve">[</w:t>
      </w:r>
      <w:hyperlink w:history="1" w:anchor="ref15">
        <w:r>
          <w:rPr>
            <w:rStyle w:val="Hyperlink"/>
            <w:rFonts w:ascii="Times New Roman" w:cs="Times New Roman" w:eastAsia="Times New Roman" w:hAnsi="Times New Roman"/>
            <w:color w:val="1155CC"/>
            <w:sz w:val="20"/>
            <w:szCs w:val="20"/>
            <w:u w:val="single"/>
          </w:rPr>
          <w:t xml:space="preserve">15</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 clusters the free-surface (unmated) face centroids of each body after the same fragmentation step used for graph construction. Dense clusters of free-surface area flag candidate open joints directly from raw mesh geometry, independent of and complementary to the Phase I link-prediction signal.</w:t>
      </w:r>
    </w:p>
    <w:p>
      <w:pPr>
        <w:spacing w:after="0"/>
        <w:ind w:firstLine="227"/>
        <w:jc w:val="both"/>
      </w:pPr>
      <w:r>
        <w:rPr>
          <w:rFonts w:ascii="Times New Roman" w:cs="Times New Roman" w:eastAsia="Times New Roman" w:hAnsi="Times New Roman"/>
          <w:b/>
          <w:bCs/>
          <w:sz w:val="20"/>
          <w:szCs w:val="20"/>
        </w:rPr>
        <w:t xml:space="preserve">AssemblyTemplateDB. </w:t>
      </w:r>
      <w:r>
        <w:rPr>
          <w:rFonts w:ascii="Times New Roman" w:cs="Times New Roman" w:eastAsia="Times New Roman" w:hAnsi="Times New Roman"/>
          <w:sz w:val="20"/>
          <w:szCs w:val="20"/>
        </w:rPr>
        <w:t xml:space="preserve">A per-category component-type frequency prior, learned directly from the training corpus's true type distributions rather than from any graph-structured model. Because it requires no graph context at all, it remains useful even for the degenerate case of a single uploaded body with no known neighbours — a case where Phase I and NodeRanker have no assembly structure to reason over.</w:t>
      </w:r>
    </w:p>
    <w:p>
      <w:pPr>
        <w:spacing w:after="200"/>
        <w:ind w:firstLine="227"/>
        <w:jc w:val="both"/>
      </w:pPr>
      <w:r>
        <w:rPr>
          <w:rFonts w:ascii="Times New Roman" w:cs="Times New Roman" w:eastAsia="Times New Roman" w:hAnsi="Times New Roman"/>
          <w:b/>
          <w:bCs/>
          <w:sz w:val="20"/>
          <w:szCs w:val="20"/>
        </w:rPr>
        <w:t xml:space="preserve">Explanation layer. </w:t>
      </w:r>
      <w:r>
        <w:rPr>
          <w:rFonts w:ascii="Times New Roman" w:cs="Times New Roman" w:eastAsia="Times New Roman" w:hAnsi="Times New Roman"/>
          <w:sz w:val="20"/>
          <w:szCs w:val="20"/>
        </w:rPr>
        <w:t xml:space="preserve">GNNExplainer </w:t>
      </w:r>
      <w:r>
        <w:rPr>
          <w:rFonts w:ascii="Times New Roman" w:cs="Times New Roman" w:eastAsia="Times New Roman" w:hAnsi="Times New Roman"/>
          <w:sz w:val="20"/>
          <w:szCs w:val="20"/>
        </w:rPr>
        <w:t xml:space="preserve">[</w:t>
      </w:r>
      <w:hyperlink w:history="1" w:anchor="ref12">
        <w:r>
          <w:rPr>
            <w:rStyle w:val="Hyperlink"/>
            <w:rFonts w:ascii="Times New Roman" w:cs="Times New Roman" w:eastAsia="Times New Roman" w:hAnsi="Times New Roman"/>
            <w:color w:val="1155CC"/>
            <w:sz w:val="20"/>
            <w:szCs w:val="20"/>
            <w:u w:val="single"/>
          </w:rPr>
          <w:t xml:space="preserve">12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produces post-hoc edge- and feature-attribution scores for a given prediction over the frozen encoder and its task heads. A Gemini-based agent (“AIDA”) consumes these attributions together with the AssemblyTemplateDB prior and the Octree detector's findings, rendering an engineering-language explanation (e.g. an “incomplete fastening operation” naming which joints need completion) rather than exposing raw attribution weights. This runs live against uploaded STEP files through a Streamlit/FastAPI stack, with the full detect → rank → generate → explain pipeline completing in roughly 24 seconds for a typical four-body assembly.</w:t>
      </w:r>
    </w:p>
    <w:p>
      <w:pPr>
        <w:spacing w:after="80" w:before="160"/>
      </w:pPr>
      <w:r>
        <w:rPr>
          <w:rFonts w:ascii="Times New Roman" w:cs="Times New Roman" w:eastAsia="Times New Roman" w:hAnsi="Times New Roman"/>
          <w:b/>
          <w:bCs/>
          <w:sz w:val="24"/>
          <w:szCs w:val="24"/>
        </w:rPr>
        <w:t xml:space="preserve">7 Engineering Challenges</w:t>
      </w:r>
    </w:p>
    <w:p>
      <w:pPr>
        <w:spacing w:after="0"/>
        <w:ind w:firstLine="227"/>
        <w:jc w:val="both"/>
      </w:pPr>
      <w:r>
        <w:rPr>
          <w:rFonts w:ascii="Times New Roman" w:cs="Times New Roman" w:eastAsia="Times New Roman" w:hAnsi="Times New Roman"/>
          <w:sz w:val="20"/>
          <w:szCs w:val="20"/>
        </w:rPr>
        <w:t xml:space="preserve">Building a pipeline that runs end-to-end on real, imperfect STEP geometry surfaced infrastructure-level problems with no analogue in a purely algorithmic description. We report the ones with the largest measured impact.</w:t>
      </w:r>
    </w:p>
    <w:p>
      <w:pPr>
        <w:spacing w:after="0"/>
        <w:ind w:firstLine="227"/>
        <w:jc w:val="both"/>
      </w:pPr>
      <w:r>
        <w:rPr>
          <w:rFonts w:ascii="Times New Roman" w:cs="Times New Roman" w:eastAsia="Times New Roman" w:hAnsi="Times New Roman"/>
          <w:b/>
          <w:bCs/>
          <w:sz w:val="20"/>
          <w:szCs w:val="20"/>
        </w:rPr>
        <w:t xml:space="preserve">Batch-composition out-of-memory. </w:t>
      </w:r>
      <w:r>
        <w:rPr>
          <w:rFonts w:ascii="Times New Roman" w:cs="Times New Roman" w:eastAsia="Times New Roman" w:hAnsi="Times New Roman"/>
          <w:sz w:val="20"/>
          <w:szCs w:val="20"/>
        </w:rPr>
        <w:t xml:space="preserve">Relational attention's memory cost scales with edge count, not node count (Section 3.3). Fixed-graph-count batching crashed on larger assemblies (~23 GB against a 20.13 GB ceiling); capping by cumulative edge count instead resolved it, after two intermediate caps (3,000, then 500) still crashed — the second from a shuffle-seed bug replaying the same crash on restart. A final cap of 300 edges/batch plus the seed fix eliminated the failure.</w:t>
      </w:r>
    </w:p>
    <w:p>
      <w:pPr>
        <w:spacing w:after="0"/>
        <w:ind w:firstLine="227"/>
        <w:jc w:val="both"/>
      </w:pPr>
      <w:r>
        <w:rPr>
          <w:rFonts w:ascii="Times New Roman" w:cs="Times New Roman" w:eastAsia="Times New Roman" w:hAnsi="Times New Roman"/>
          <w:b/>
          <w:bCs/>
          <w:sz w:val="20"/>
          <w:szCs w:val="20"/>
        </w:rPr>
        <w:t xml:space="preserve">Silent process termination under memory pressure. </w:t>
      </w:r>
      <w:r>
        <w:rPr>
          <w:rFonts w:ascii="Times New Roman" w:cs="Times New Roman" w:eastAsia="Times New Roman" w:hAnsi="Times New Roman"/>
          <w:sz w:val="20"/>
          <w:szCs w:val="20"/>
        </w:rPr>
        <w:t xml:space="preserve">Training processes occasionally terminated silently mid-fold under host memory pressure, with no exception and no log entry — only a stalled process. A watchdog script now monitors for output staleness and resumes automatically from the last checkpoint at the correct fold and epoch.</w:t>
      </w:r>
    </w:p>
    <w:p>
      <w:pPr>
        <w:spacing w:after="0"/>
        <w:ind w:firstLine="227"/>
        <w:jc w:val="both"/>
      </w:pPr>
      <w:r>
        <w:rPr>
          <w:rFonts w:ascii="Times New Roman" w:cs="Times New Roman" w:eastAsia="Times New Roman" w:hAnsi="Times New Roman"/>
          <w:b/>
          <w:bCs/>
          <w:sz w:val="20"/>
          <w:szCs w:val="20"/>
        </w:rPr>
        <w:t xml:space="preserve">A promotion-gate comparison bug. </w:t>
      </w:r>
      <w:r>
        <w:rPr>
          <w:rFonts w:ascii="Times New Roman" w:cs="Times New Roman" w:eastAsia="Times New Roman" w:hAnsi="Times New Roman"/>
          <w:sz w:val="20"/>
          <w:szCs w:val="20"/>
        </w:rPr>
        <w:t xml:space="preserve">The checkpoint-promotion gate compared metrics as a lexicographic tuple; a short-circuit comparison silently ignored average precision whenever candidates tied on AUC-ROC. The gate now requires both metrics to improve.</w:t>
      </w:r>
    </w:p>
    <w:p>
      <w:pPr>
        <w:spacing w:after="0"/>
        <w:ind w:firstLine="227"/>
        <w:jc w:val="both"/>
      </w:pPr>
      <w:r>
        <w:rPr>
          <w:rFonts w:ascii="Times New Roman" w:cs="Times New Roman" w:eastAsia="Times New Roman" w:hAnsi="Times New Roman"/>
          <w:b/>
          <w:bCs/>
          <w:sz w:val="20"/>
          <w:szCs w:val="20"/>
        </w:rPr>
        <w:t xml:space="preserve">Component-classification errors. </w:t>
      </w:r>
      <w:r>
        <w:rPr>
          <w:rFonts w:ascii="Times New Roman" w:cs="Times New Roman" w:eastAsia="Times New Roman" w:hAnsi="Times New Roman"/>
          <w:sz w:val="20"/>
          <w:szCs w:val="20"/>
        </w:rPr>
        <w:t xml:space="preserve">A fastener-orientation bug aligned a bolt's short axis onto its mating joint instead of its long shaft axis, fixed via the bounding box's middle extent. A whole-body hole-region heuristic once collapsed twelve distinct bolt holes on one plate into a single detection; per-hole cylindrical-face detection recovered all twelve.</w:t>
      </w:r>
    </w:p>
    <w:p>
      <w:pPr>
        <w:spacing w:after="200"/>
        <w:ind w:firstLine="227"/>
        <w:jc w:val="both"/>
      </w:pPr>
      <w:r>
        <w:rPr>
          <w:rFonts w:ascii="Times New Roman" w:cs="Times New Roman" w:eastAsia="Times New Roman" w:hAnsi="Times New Roman"/>
          <w:sz w:val="20"/>
          <w:szCs w:val="20"/>
        </w:rPr>
        <w:t xml:space="preserve">Each is reported because it directly affected a number elsewhere in this paper — most visibly the batch-composition fix, without which the 749-model corpus could not have trained to completion on the available hardware.</w:t>
      </w:r>
    </w:p>
    <w:p>
      <w:pPr>
        <w:spacing w:after="80" w:before="160"/>
      </w:pPr>
      <w:r>
        <w:rPr>
          <w:rFonts w:ascii="Times New Roman" w:cs="Times New Roman" w:eastAsia="Times New Roman" w:hAnsi="Times New Roman"/>
          <w:b/>
          <w:bCs/>
          <w:sz w:val="24"/>
          <w:szCs w:val="24"/>
        </w:rPr>
        <w:t xml:space="preserve">8 Experimental Setup</w:t>
      </w:r>
    </w:p>
    <w:p>
      <w:pPr>
        <w:spacing w:after="60" w:before="120"/>
      </w:pPr>
      <w:r>
        <w:rPr>
          <w:rFonts w:ascii="Times New Roman" w:cs="Times New Roman" w:eastAsia="Times New Roman" w:hAnsi="Times New Roman"/>
          <w:b/>
          <w:bCs/>
          <w:sz w:val="20"/>
          <w:szCs w:val="20"/>
        </w:rPr>
        <w:t xml:space="preserve">8.1 Corpus</w:t>
      </w:r>
    </w:p>
    <w:p>
      <w:pPr>
        <w:spacing w:after="120"/>
        <w:ind w:firstLine="227"/>
        <w:jc w:val="both"/>
      </w:pPr>
      <w:r>
        <w:rPr>
          <w:rFonts w:ascii="Times New Roman" w:cs="Times New Roman" w:eastAsia="Times New Roman" w:hAnsi="Times New Roman"/>
          <w:sz w:val="20"/>
          <w:szCs w:val="20"/>
        </w:rPr>
        <w:t xml:space="preserve">The training corpus consists of 749 STEP-format assembly models, curated evenly across seven mechanical-part categories relevant to industrial fastening and flow-control mechanisms — bench vices, C-clamps, pipe vices, gate valves, press tools, tool posts, and crane hooks — 107 models per category. After parsing through the gmsh/OpenCASCADE pipeline, 648 of the 749 models (86.5%) yielded usable graphs; the remainder failed under a bounded-timeout parsing policy, disproportionately concentrated in gate-valve (51.4% yield versus 82–99% for the other six), which also has the largest mean graph size (93.9 bodies/assembly vs. an overall mean of 38.8) — suggesting geometric complexity as the cause. The resulting graphs contain 25,155 labelled bodies and 46,767 undirected contact edges. Table 2 summarises the per-category composition.</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1484"/>
        <w:gridCol w:w="1187"/>
        <w:gridCol w:w="1039"/>
        <w:gridCol w:w="1781"/>
        <w:gridCol w:w="1409"/>
      </w:tblGrid>
      <w:tr>
        <w:tc>
          <w:tcPr>
            <w:tcW w:type="dxa" w:w="1484"/>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Category</w:t>
            </w:r>
          </w:p>
        </w:tc>
        <w:tc>
          <w:tcPr>
            <w:tcW w:type="dxa" w:w="1187"/>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Graphs</w:t>
            </w:r>
          </w:p>
        </w:tc>
        <w:tc>
          <w:tcPr>
            <w:tcW w:type="dxa" w:w="1039"/>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Yield</w:t>
            </w:r>
          </w:p>
        </w:tc>
        <w:tc>
          <w:tcPr>
            <w:tcW w:type="dxa" w:w="1781"/>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bodies/graph</w:t>
            </w:r>
          </w:p>
        </w:tc>
        <w:tc>
          <w:tcPr>
            <w:tcW w:type="dxa" w:w="1409"/>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Dominant type</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C-Clamps</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106</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99.1%</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Bench vice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104</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97.2%</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30.6</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Crane hook</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101</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94.4%</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78.5</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Pipe vice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91.6%</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15.8</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Press tool</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89.7%</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32.8</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Tool post</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88</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82.2%</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35.9</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bolt</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Gate valve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55</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51.4%</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93.9</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bl>
    <w:p>
      <w:pPr>
        <w:spacing w:after="200" w:before="120"/>
        <w:jc w:val="center"/>
      </w:pPr>
      <w:r>
        <w:rPr>
          <w:rFonts w:ascii="Times New Roman" w:cs="Times New Roman" w:eastAsia="Times New Roman" w:hAnsi="Times New Roman"/>
          <w:sz w:val="18"/>
          <w:szCs w:val="18"/>
        </w:rPr>
        <w:t xml:space="preserve">Table 2. Corpus composition by category (648 usable graphs).</w:t>
      </w:r>
    </w:p>
    <w:p>
      <w:pPr>
        <w:spacing w:after="60" w:before="120"/>
      </w:pPr>
      <w:r>
        <w:rPr>
          <w:rFonts w:ascii="Times New Roman" w:cs="Times New Roman" w:eastAsia="Times New Roman" w:hAnsi="Times New Roman"/>
          <w:b/>
          <w:bCs/>
          <w:sz w:val="20"/>
          <w:szCs w:val="20"/>
        </w:rPr>
        <w:t xml:space="preserve">8.2 Protocol and metrics</w:t>
      </w:r>
    </w:p>
    <w:p>
      <w:pPr>
        <w:spacing w:after="200"/>
        <w:ind w:firstLine="227"/>
        <w:jc w:val="both"/>
      </w:pPr>
      <w:r>
        <w:rPr>
          <w:rFonts w:ascii="Times New Roman" w:cs="Times New Roman" w:eastAsia="Times New Roman" w:hAnsi="Times New Roman"/>
          <w:sz w:val="20"/>
          <w:szCs w:val="20"/>
        </w:rPr>
        <w:t xml:space="preserve">Phase I is evaluated under true five-fold cross-validation (five independent fold assignments, not a single fixed split reused five times) with mean AUC-ROC and mean average precision (AP) as the primary metrics, alongside chance-level AP as a reference given the class-imbalance sensitivity of AP. Phase II's NodeRanker is evaluated with Hit@1, Hit@5, mean reciprocal rank (MRR), and NDCG@5 against a corpus-wide majority-class baseline. HybridShapeGenerator is evaluated with mean intersection-over-union (IoU) and Chamfer distance between generated and ground-truth occupancy grids on a held-out test split, with the best checkpoint selected by validation IoU/Chamfer, not by training loss.</w:t>
      </w:r>
    </w:p>
    <w:p>
      <w:pPr>
        <w:spacing w:after="80" w:before="160"/>
      </w:pPr>
      <w:r>
        <w:rPr>
          <w:rFonts w:ascii="Times New Roman" w:cs="Times New Roman" w:eastAsia="Times New Roman" w:hAnsi="Times New Roman"/>
          <w:b/>
          <w:bCs/>
          <w:sz w:val="24"/>
          <w:szCs w:val="24"/>
        </w:rPr>
        <w:t xml:space="preserve">9 Results and Discussion</w:t>
      </w:r>
    </w:p>
    <w:p>
      <w:pPr>
        <w:spacing w:after="120"/>
        <w:ind w:firstLine="227"/>
        <w:jc w:val="both"/>
      </w:pPr>
      <w:r>
        <w:rPr>
          <w:rFonts w:ascii="Times New Roman" w:cs="Times New Roman" w:eastAsia="Times New Roman" w:hAnsi="Times New Roman"/>
          <w:sz w:val="20"/>
          <w:szCs w:val="20"/>
        </w:rPr>
        <w:t xml:space="preserve">Across all three sub-systems, every design target is cleared on the 749-model corpus under true 5-fold cross-validation: Phase I reaches mean AUC-ROC/AP of 0.9206/0.9020 against targets of ≥0.85/≥0.82; Phase II's ranker reaches Hit@5/MRR of 0.9101/0.6102 against ≥0.70/≥0.60; and Phase II's generator reaches IoU/Chamfer of 0.6459/0.0377 against ≥0.35/≤0.08. The detailed per-stage discussion below reports each result together with the protocol behind it.</w:t>
      </w:r>
    </w:p>
    <w:p>
      <w:pPr>
        <w:spacing w:after="60" w:before="120"/>
      </w:pPr>
      <w:r>
        <w:rPr>
          <w:rFonts w:ascii="Times New Roman" w:cs="Times New Roman" w:eastAsia="Times New Roman" w:hAnsi="Times New Roman"/>
          <w:b/>
          <w:bCs/>
          <w:sz w:val="20"/>
          <w:szCs w:val="20"/>
        </w:rPr>
        <w:t xml:space="preserve">9.1 Phase I: detection</w:t>
      </w:r>
    </w:p>
    <w:p>
      <w:pPr>
        <w:spacing w:after="120"/>
        <w:ind w:firstLine="227"/>
        <w:jc w:val="both"/>
      </w:pPr>
      <w:r>
        <w:rPr>
          <w:rFonts w:ascii="Times New Roman" w:cs="Times New Roman" w:eastAsia="Times New Roman" w:hAnsi="Times New Roman"/>
          <w:sz w:val="20"/>
          <w:szCs w:val="20"/>
        </w:rPr>
        <w:t xml:space="preserve">Table 3 reports Phase I's five-fold cross-validated performance. Mean AUC-ROC is 0.9206 (±0.0121) and mean AP is 0.9020 (±0.0120) against a chance-level AP of 0.500, indicating the encoder separates real from candidate connections consistently across folds rather than only on a favourable split.</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tblGrid>
      <w:tr>
        <w:tc>
          <w:tcPr>
            <w:tcW w:type="dxa" w:w="23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Fold</w:t>
            </w:r>
          </w:p>
        </w:tc>
        <w:tc>
          <w:tcPr>
            <w:tcW w:type="dxa" w:w="23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AUC-ROC</w:t>
            </w:r>
          </w:p>
        </w:tc>
        <w:tc>
          <w:tcPr>
            <w:tcW w:type="dxa" w:w="23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AP</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1 (best)</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0.9370</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0.9157</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0.9050</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0.8881</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0.9138</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0.8919</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0.9217</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0.9025</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0.9256</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0.9116</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Mean ± std</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0.9206 ± 0.0121</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0.9020 ± 0.0120</w:t>
            </w:r>
          </w:p>
        </w:tc>
      </w:tr>
    </w:tbl>
    <w:p>
      <w:pPr>
        <w:spacing w:after="200" w:before="120"/>
        <w:jc w:val="center"/>
      </w:pPr>
      <w:r>
        <w:rPr>
          <w:rFonts w:ascii="Times New Roman" w:cs="Times New Roman" w:eastAsia="Times New Roman" w:hAnsi="Times New Roman"/>
          <w:sz w:val="18"/>
          <w:szCs w:val="18"/>
        </w:rPr>
        <w:t xml:space="preserve">Table 3. Phase I link-prediction results, five-fold cross-validation.</w:t>
      </w:r>
    </w:p>
    <w:p>
      <w:pPr>
        <w:spacing w:after="120"/>
        <w:ind w:firstLine="227"/>
        <w:jc w:val="both"/>
      </w:pPr>
      <w:r>
        <w:rPr>
          <w:rFonts w:ascii="Times New Roman" w:cs="Times New Roman" w:eastAsia="Times New Roman" w:hAnsi="Times New Roman"/>
          <w:sz w:val="20"/>
          <w:szCs w:val="20"/>
        </w:rPr>
        <w:t xml:space="preserve">This result was not reached in a single pass; Table 4 traces the three consecutive runs, on an earlier 238-model corpus revision, behind the largest gains. The biggest jump (R35→R36, +0.089 mean AUC) followed from discovering that two features — hole count and joint type — had been silently zero-valued since the project's inception; once populated and paired with a spatial link signal and a real contact-area edge weight, the encoder gained information it never actually had. The second gain (R36→R37, +0.049) came from correcting a 1:0.5 negative-sampling skew (which inflates AP independent of true ranking skill) to the standard 1:1 ratio, alongside the promotion-gate fix (Section 7). Neither gain came from architecture search or tuning; both came from fixing silently broken inputs.</w:t>
      </w:r>
    </w:p>
    <w:tbl>
      <w:tblPr>
        <w:tblW w:type="dxa" w:w="6899"/>
        <w:tblBorders>
          <w:top w:val="single" w:color="auto" w:sz="4"/>
          <w:left w:val="single" w:color="auto" w:sz="4"/>
          <w:bottom w:val="single" w:color="auto" w:sz="4"/>
          <w:right w:val="single" w:color="auto" w:sz="4"/>
          <w:insideH w:val="single" w:color="auto" w:sz="4"/>
          <w:insideV w:val="single" w:color="auto" w:sz="4"/>
        </w:tblBorders>
      </w:tblPr>
      <w:tblGrid>
        <w:gridCol w:w="1123"/>
        <w:gridCol w:w="4332"/>
        <w:gridCol w:w="1444"/>
      </w:tblGrid>
      <w:tr>
        <w:tc>
          <w:tcPr>
            <w:tcW w:type="dxa" w:w="1123"/>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Run</w:t>
            </w:r>
          </w:p>
        </w:tc>
        <w:tc>
          <w:tcPr>
            <w:tcW w:type="dxa" w:w="433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Change</w:t>
            </w:r>
          </w:p>
        </w:tc>
        <w:tc>
          <w:tcPr>
            <w:tcW w:type="dxa" w:w="1444"/>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AUC</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R35</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Populated previously dead hole-count / joint-type features</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0.539</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R36</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spatial link signal, real contact-area edge weight</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0.628 (+0.089)</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R37</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neg_ratio fix, promotion-gate fix, seeded splits</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0.677 (+0.049)</w:t>
            </w:r>
          </w:p>
        </w:tc>
      </w:tr>
    </w:tbl>
    <w:p>
      <w:pPr>
        <w:spacing w:after="200" w:before="120"/>
        <w:jc w:val="center"/>
      </w:pPr>
      <w:r>
        <w:rPr>
          <w:rFonts w:ascii="Times New Roman" w:cs="Times New Roman" w:eastAsia="Times New Roman" w:hAnsi="Times New Roman"/>
          <w:sz w:val="18"/>
          <w:szCs w:val="18"/>
        </w:rPr>
        <w:t xml:space="preserve">Table 4. Three consecutive development runs illustrating the largest single-run gains (238-model corpus revision; superseded by the 749-model results in Table 3).</w:t>
      </w:r>
    </w:p>
    <w:p>
      <w:pPr>
        <w:spacing w:after="40" w:before="60"/>
        <w:jc w:val="center"/>
      </w:pPr>
      <w:r>
        <w:drawing>
          <wp:inline distT="0" distB="0" distL="0" distR="0">
            <wp:extent cx="39528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52875" cy="107632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2. (a) Mean/best AUC across all 39 tracked training runs, R39 (749-model corpus) highlighted. (b) R39's five-fold validation-AUC convergence, final test AUC per fold in the legend.</w:t>
      </w:r>
    </w:p>
    <w:p>
      <w:pPr>
        <w:spacing w:after="60" w:before="120"/>
      </w:pPr>
      <w:r>
        <w:rPr>
          <w:rFonts w:ascii="Times New Roman" w:cs="Times New Roman" w:eastAsia="Times New Roman" w:hAnsi="Times New Roman"/>
          <w:b/>
          <w:bCs/>
          <w:sz w:val="20"/>
          <w:szCs w:val="20"/>
        </w:rPr>
        <w:t xml:space="preserve">9.2 Phase II: recommendation and generation</w:t>
      </w:r>
    </w:p>
    <w:p>
      <w:pPr>
        <w:spacing w:after="120"/>
        <w:ind w:firstLine="227"/>
        <w:jc w:val="both"/>
      </w:pPr>
      <w:r>
        <w:rPr>
          <w:rFonts w:ascii="Times New Roman" w:cs="Times New Roman" w:eastAsia="Times New Roman" w:hAnsi="Times New Roman"/>
          <w:sz w:val="20"/>
          <w:szCs w:val="20"/>
        </w:rPr>
        <w:t xml:space="preserve">NodeRanker reaches Hit@1 of 0.4093 against a majority-class baseline of 0.3442 — a genuine improvement over always predicting the plurality class (body, 35.5% of the corpus), not the exact tie this head produced in earlier corpus revisions. Hit@5 reaches 0.9101, MRR 0.6102, NDCG@5 0.6754. Table 5 breaks Hit@1 down by type: performance is markedly uneven, body (majority) at 0.689 against washer at 0.0 and thin_plate at 0.024, and the head over-predicts body relative to its true frequency (64.7% of predictions vs. 41.3% true share) — an unresolved majority-class bias, reported honestly rather than obscured by the headline number (Section 10).</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2179"/>
        <w:gridCol w:w="1362"/>
        <w:gridCol w:w="1634"/>
        <w:gridCol w:w="1725"/>
      </w:tblGrid>
      <w:tr>
        <w:tc>
          <w:tcPr>
            <w:tcW w:type="dxa" w:w="2179"/>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Component type</w:t>
            </w:r>
          </w:p>
        </w:tc>
        <w:tc>
          <w:tcPr>
            <w:tcW w:type="dxa" w:w="136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n</w:t>
            </w:r>
          </w:p>
        </w:tc>
        <w:tc>
          <w:tcPr>
            <w:tcW w:type="dxa" w:w="1634"/>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Hit@1</w:t>
            </w:r>
          </w:p>
        </w:tc>
        <w:tc>
          <w:tcPr>
            <w:tcW w:type="dxa" w:w="1725"/>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True share</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body</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222</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0.689</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34.3%</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nut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36</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0.444</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5.6%</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thick_plate</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111</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0.360</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17.1%</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bolt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0.316</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15.1%</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long_shaft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71</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0.225</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11.0%</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short_shaft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47</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0.149</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7.3%</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thin_plate</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42</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0.024</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6.5%</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washer</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18</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0.000</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2.8%</w:t>
            </w:r>
          </w:p>
        </w:tc>
      </w:tr>
    </w:tbl>
    <w:p>
      <w:pPr>
        <w:spacing w:after="200" w:before="120"/>
        <w:jc w:val="center"/>
      </w:pPr>
      <w:r>
        <w:rPr>
          <w:rFonts w:ascii="Times New Roman" w:cs="Times New Roman" w:eastAsia="Times New Roman" w:hAnsi="Times New Roman"/>
          <w:sz w:val="18"/>
          <w:szCs w:val="18"/>
        </w:rPr>
        <w:t xml:space="preserve">Table 5. NodeRanker per-class Hit@1 on the test split.</w:t>
      </w:r>
    </w:p>
    <w:p>
      <w:pPr>
        <w:spacing w:after="0"/>
        <w:ind w:firstLine="227"/>
        <w:jc w:val="both"/>
      </w:pPr>
      <w:r>
        <w:rPr>
          <w:rFonts w:ascii="Times New Roman" w:cs="Times New Roman" w:eastAsia="Times New Roman" w:hAnsi="Times New Roman"/>
          <w:sz w:val="20"/>
          <w:szCs w:val="20"/>
        </w:rPr>
        <w:t xml:space="preserve">HybridShapeGenerator reaches a test IoU of 0.6459 and Chamfer distance of 0.0377 (selected checkpoint: validation IoU 0.6640, Chamfer 0.0359), comfortably clearing target thresholds of IoU ≥ 0.35 and Chamfer ≤ 0.08. No test-set sample required the VAE fallback below the retrieval confidence threshold in this evaluation run, indicating retrieval alone currently covers the test distribution at the configured threshold — a result specific to this corpus's category coverage, not evidence the VAE component is unnecessary in general.</w:t>
      </w:r>
    </w:p>
    <w:p>
      <w:pPr>
        <w:spacing w:after="60" w:before="120"/>
      </w:pPr>
      <w:r>
        <w:rPr>
          <w:rFonts w:ascii="Times New Roman" w:cs="Times New Roman" w:eastAsia="Times New Roman" w:hAnsi="Times New Roman"/>
          <w:b/>
          <w:bCs/>
          <w:sz w:val="20"/>
          <w:szCs w:val="20"/>
        </w:rPr>
        <w:t xml:space="preserve">9.3 An engineering finding from exploratory data analysis</w:t>
      </w:r>
    </w:p>
    <w:p>
      <w:pPr>
        <w:spacing w:after="0"/>
        <w:ind w:firstLine="227"/>
        <w:jc w:val="both"/>
      </w:pPr>
      <w:r>
        <w:rPr>
          <w:rFonts w:ascii="Times New Roman" w:cs="Times New Roman" w:eastAsia="Times New Roman" w:hAnsi="Times New Roman"/>
          <w:sz w:val="20"/>
          <w:szCs w:val="20"/>
        </w:rPr>
        <w:t xml:space="preserve">A full exploratory pass over the final 648-graph corpus, run after training had already completed successfully, surfaced an issue invisible to the training metrics: the SDF-mean node feature (Section 3.1) is exactly zero for 25,142 of 25,155 bodies (99.95%), and the paired SDF-variance moves in near-perfect lockstep (r &gt; 0.999) — a silently constant feature, not genuinely near-zero geometry. This mirrors an earlier case where hole-count and joint-type were found silently zero-valued since the project's inception; fixing that produced the largest single-run gain of the project (Table 4). We report the SDF finding unresolved rather than omit it: strong aggregate metrics don't guarantee every input feature is contributing.</w:t>
      </w:r>
    </w:p>
    <w:p>
      <w:pPr>
        <w:spacing w:after="200"/>
        <w:ind w:firstLine="227"/>
        <w:jc w:val="both"/>
      </w:pPr>
      <w:r>
        <w:rPr>
          <w:rFonts w:ascii="Times New Roman" w:cs="Times New Roman" w:eastAsia="Times New Roman" w:hAnsi="Times New Roman"/>
          <w:sz w:val="20"/>
          <w:szCs w:val="20"/>
        </w:rPr>
        <w:t xml:space="preserve">A second, related finding from the same analysis: 72.1% of bolts and 83.5% of washers in the corpus are flagged by the geometric hole detector as has_holes, a higher rate than thick_plate bodies (47.8%), which structurally host the through-holes fasteners actually sit in. A washer's own bore is a genuine hole, so a high rate there is expected; a solid bolt normally is not, and the elevated rate plausibly reflects the detector picking up thread-groove or head-recess geometry as false positives on a meaningful fraction of bolts. We flag this as a candidate data-quality issue for future correction rather than a confirmed bug, since we have not yet manually verified it against individual STEP files at scale.</w:t>
      </w:r>
    </w:p>
    <w:p>
      <w:pPr>
        <w:spacing w:after="80" w:before="160"/>
      </w:pPr>
      <w:r>
        <w:rPr>
          <w:rFonts w:ascii="Times New Roman" w:cs="Times New Roman" w:eastAsia="Times New Roman" w:hAnsi="Times New Roman"/>
          <w:b/>
          <w:bCs/>
          <w:sz w:val="24"/>
          <w:szCs w:val="24"/>
        </w:rPr>
        <w:t xml:space="preserve">10 Limitations and Future Work</w:t>
      </w:r>
    </w:p>
    <w:p>
      <w:pPr>
        <w:spacing w:after="200"/>
        <w:ind w:firstLine="227"/>
        <w:jc w:val="both"/>
      </w:pPr>
      <w:r>
        <w:rPr>
          <w:rFonts w:ascii="Times New Roman" w:cs="Times New Roman" w:eastAsia="Times New Roman" w:hAnsi="Times New Roman"/>
          <w:sz w:val="20"/>
          <w:szCs w:val="20"/>
        </w:rPr>
        <w:t xml:space="preserve">Three limitations are worth stating plainly. First, NodeRanker's majority-class bias (Section 9.2) means Hit@1, while a genuine improvement, is unevenly distributed across types; class-balanced sampling is the natural next step. Second, the conditional-VAE fallback is scoped to fasteners only; broadening it to plates and shafts is future work, since the zero-fallback result may not hold once non-fastener types are added. Third, the SDF and hole-detection findings (Section 9.3) are open issues, priorities before the next retrain. More broadly, the corpus is domain-specific to fastening and flow-control mechanisms; broader assembly-type coverage is a natural direction for generalising these results.</w:t>
      </w:r>
    </w:p>
    <w:p>
      <w:pPr>
        <w:spacing w:after="80" w:before="160"/>
      </w:pPr>
      <w:r>
        <w:rPr>
          <w:rFonts w:ascii="Times New Roman" w:cs="Times New Roman" w:eastAsia="Times New Roman" w:hAnsi="Times New Roman"/>
          <w:b/>
          <w:bCs/>
          <w:sz w:val="24"/>
          <w:szCs w:val="24"/>
        </w:rPr>
        <w:t xml:space="preserve">11 Conclusion</w:t>
      </w:r>
    </w:p>
    <w:p>
      <w:pPr>
        <w:spacing w:after="120"/>
        <w:ind w:firstLine="227"/>
        <w:jc w:val="both"/>
      </w:pPr>
      <w:r>
        <w:rPr>
          <w:rFonts w:ascii="Times New Roman" w:cs="Times New Roman" w:eastAsia="Times New Roman" w:hAnsi="Times New Roman"/>
          <w:sz w:val="20"/>
          <w:szCs w:val="20"/>
        </w:rPr>
        <w:t xml:space="preserve">We have presented an end-to-end graph neural network system for CAD assembly completion, structured as two phases sharing one frozen relational-attention encoder: Phase I detects missing components via inductive link prediction, and Phase II recommends the most likely missing component type and generates an actual placeable 3D shape for it through a retrieval-first, VAE-fallback generator. On a curated 749-model, seven-category industrial-parts corpus, the system reaches a mean link-prediction AUC-ROC of 0.9206, a next-component ranking Hit@1 genuinely above a majority-class baseline, and a shape-generation IoU of 0.6459 with Chamfer distance 0.0377, alongside two supporting contributions — an Octree-based open-surface detector and a component-type frequency prior effective even without graph context — and a live, natural-language explanation layer built on GNNExplainer. We have also reported, rather than suppressed, two engineering findings surfaced only through direct exploratory analysis of the training corpus after the model itself had already trained successfully, as a concrete argument that dataset auditing and model evaluation are complementary practices, neither sufficient alone.</w:t>
      </w:r>
    </w:p>
    <w:p>
      <w:pPr>
        <w:spacing w:after="160"/>
        <w:ind w:firstLine="227"/>
        <w:jc w:val="both"/>
      </w:pPr>
      <w:r>
        <w:rPr>
          <w:rFonts w:ascii="Times New Roman" w:cs="Times New Roman" w:eastAsia="Times New Roman" w:hAnsi="Times New Roman"/>
          <w:b/>
          <w:bCs/>
          <w:sz w:val="20"/>
          <w:szCs w:val="20"/>
        </w:rPr>
        <w:t xml:space="preserve">Reproducibility. </w:t>
      </w:r>
      <w:r>
        <w:rPr>
          <w:rFonts w:ascii="Times New Roman" w:cs="Times New Roman" w:eastAsia="Times New Roman" w:hAnsi="Times New Roman"/>
          <w:sz w:val="20"/>
          <w:szCs w:val="20"/>
        </w:rPr>
        <w:t xml:space="preserve">All five-fold cross-validation splits are seeded per fold and per graph, so a checkpoint's reported metrics are exactly reproducible from the same corpus snapshot. The 749-model corpus, all training and evaluation scripts, the trained checkpoints referenced in Tables 3–5, and the exploratory-analysis notebook behind Section 9.3's findings are maintained in the author's project repository and available on request.</w:t>
      </w:r>
    </w:p>
    <w:p>
      <w:pPr>
        <w:spacing w:after="240"/>
        <w:ind w:firstLine="227"/>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I thank Prof. Sagarika Borah (Phase 1 guide) and Prof. Gaurav Siwal (Phase 2 guide), and the Department of Data Science and Artificial Intelligence at PES University, for guidance and review throughout this M.Tech project.</w:t>
      </w:r>
    </w:p>
    <w:p>
      <w:pPr>
        <w:spacing w:after="140" w:before="280"/>
      </w:pPr>
      <w:r>
        <w:rPr>
          <w:rFonts w:ascii="Times New Roman" w:cs="Times New Roman" w:eastAsia="Times New Roman" w:hAnsi="Times New Roman"/>
          <w:b/>
          <w:bCs/>
          <w:sz w:val="24"/>
          <w:szCs w:val="24"/>
        </w:rPr>
        <w:t xml:space="preserve">References</w:t>
      </w:r>
    </w:p>
    <w:p>
      <w:pPr>
        <w:spacing w:after="20"/>
        <w:ind w:left="340" w:hanging="340"/>
        <w:jc w:val="both"/>
      </w:pPr>
      <w:bookmarkStart w:name="ref1" w:id="1"/>
      <w:r>
        <w:rPr>
          <w:rFonts w:ascii="Times New Roman" w:cs="Times New Roman" w:eastAsia="Times New Roman" w:hAnsi="Times New Roman"/>
          <w:sz w:val="18"/>
          <w:szCs w:val="18"/>
        </w:rPr>
        <w:t xml:space="preserve">[1]</w:t>
      </w:r>
      <w:bookmarkEnd w:id="1"/>
      <w:r>
        <w:rPr>
          <w:rFonts w:ascii="Times New Roman" w:cs="Times New Roman" w:eastAsia="Times New Roman" w:hAnsi="Times New Roman"/>
          <w:sz w:val="18"/>
          <w:szCs w:val="18"/>
        </w:rPr>
        <w:t xml:space="preserve"> Xu, X., Willis, K.D.D., Lambourne, J.G., Cheng, C.-Y., Jayaraman, P.K., Furukawa, Y.: BrepGen: A B-Rep Generative Diffusion Model with Structured Latent Geometry. In: ACM SIGGRAPH 2024 Conference Proceedings (2024).</w:t>
      </w:r>
    </w:p>
    <w:p>
      <w:pPr>
        <w:spacing w:after="20"/>
        <w:ind w:left="340" w:hanging="340"/>
        <w:jc w:val="both"/>
      </w:pPr>
      <w:bookmarkStart w:name="ref2" w:id="2"/>
      <w:r>
        <w:rPr>
          <w:rFonts w:ascii="Times New Roman" w:cs="Times New Roman" w:eastAsia="Times New Roman" w:hAnsi="Times New Roman"/>
          <w:sz w:val="18"/>
          <w:szCs w:val="18"/>
        </w:rPr>
        <w:t xml:space="preserve">[2]</w:t>
      </w:r>
      <w:bookmarkEnd w:id="2"/>
      <w:r>
        <w:rPr>
          <w:rFonts w:ascii="Times New Roman" w:cs="Times New Roman" w:eastAsia="Times New Roman" w:hAnsi="Times New Roman"/>
          <w:sz w:val="18"/>
          <w:szCs w:val="18"/>
        </w:rPr>
        <w:t xml:space="preserve"> Jayaraman, P.K., Lambourne, J.G., Desai, N., Willis, K.D.D., Sanghi, A., Morris, N.J.W.: SolidGen: An Autoregressive Model for Direct B-Rep Synthesis and Editing. ACM Transactions on Graphics 43 (2024).</w:t>
      </w:r>
    </w:p>
    <w:p>
      <w:pPr>
        <w:spacing w:after="20"/>
        <w:ind w:left="340" w:hanging="340"/>
        <w:jc w:val="both"/>
      </w:pPr>
      <w:bookmarkStart w:name="ref3" w:id="3"/>
      <w:r>
        <w:rPr>
          <w:rFonts w:ascii="Times New Roman" w:cs="Times New Roman" w:eastAsia="Times New Roman" w:hAnsi="Times New Roman"/>
          <w:sz w:val="18"/>
          <w:szCs w:val="18"/>
        </w:rPr>
        <w:t xml:space="preserve">[3]</w:t>
      </w:r>
      <w:bookmarkEnd w:id="3"/>
      <w:r>
        <w:rPr>
          <w:rFonts w:ascii="Times New Roman" w:cs="Times New Roman" w:eastAsia="Times New Roman" w:hAnsi="Times New Roman"/>
          <w:sz w:val="18"/>
          <w:szCs w:val="18"/>
        </w:rPr>
        <w:t xml:space="preserve"> Wang, X., Guo, R., Fu, R.: CAD-GPT: Synthesising CAD Construction Sequences with Spatial-Reasoning Language Models. arXiv:2501.09803 (2025).</w:t>
      </w:r>
    </w:p>
    <w:p>
      <w:pPr>
        <w:spacing w:after="20"/>
        <w:ind w:left="340" w:hanging="340"/>
        <w:jc w:val="both"/>
      </w:pPr>
      <w:bookmarkStart w:name="ref4" w:id="4"/>
      <w:r>
        <w:rPr>
          <w:rFonts w:ascii="Times New Roman" w:cs="Times New Roman" w:eastAsia="Times New Roman" w:hAnsi="Times New Roman"/>
          <w:sz w:val="18"/>
          <w:szCs w:val="18"/>
        </w:rPr>
        <w:t xml:space="preserve">[4]</w:t>
      </w:r>
      <w:bookmarkEnd w:id="4"/>
      <w:r>
        <w:rPr>
          <w:rFonts w:ascii="Times New Roman" w:cs="Times New Roman" w:eastAsia="Times New Roman" w:hAnsi="Times New Roman"/>
          <w:sz w:val="18"/>
          <w:szCs w:val="18"/>
        </w:rPr>
        <w:t xml:space="preserve"> Can Graph Neural Networks Learn Link Heuristics? arXiv:2411.14711 (2024).</w:t>
      </w:r>
    </w:p>
    <w:p>
      <w:pPr>
        <w:spacing w:after="20"/>
        <w:ind w:left="340" w:hanging="340"/>
        <w:jc w:val="both"/>
      </w:pPr>
      <w:bookmarkStart w:name="ref5" w:id="5"/>
      <w:r>
        <w:rPr>
          <w:rFonts w:ascii="Times New Roman" w:cs="Times New Roman" w:eastAsia="Times New Roman" w:hAnsi="Times New Roman"/>
          <w:sz w:val="18"/>
          <w:szCs w:val="18"/>
        </w:rPr>
        <w:t xml:space="preserve">[5]</w:t>
      </w:r>
      <w:bookmarkEnd w:id="5"/>
      <w:r>
        <w:rPr>
          <w:rFonts w:ascii="Times New Roman" w:cs="Times New Roman" w:eastAsia="Times New Roman" w:hAnsi="Times New Roman"/>
          <w:sz w:val="18"/>
          <w:szCs w:val="18"/>
        </w:rPr>
        <w:t xml:space="preserve"> Heterogeneous Graph Contrastive Learning. arXiv:2303.00995 (2023).</w:t>
      </w:r>
    </w:p>
    <w:p>
      <w:pPr>
        <w:spacing w:after="20"/>
        <w:ind w:left="340" w:hanging="340"/>
        <w:jc w:val="both"/>
      </w:pPr>
      <w:bookmarkStart w:name="ref6" w:id="6"/>
      <w:r>
        <w:rPr>
          <w:rFonts w:ascii="Times New Roman" w:cs="Times New Roman" w:eastAsia="Times New Roman" w:hAnsi="Times New Roman"/>
          <w:sz w:val="18"/>
          <w:szCs w:val="18"/>
        </w:rPr>
        <w:t xml:space="preserve">[6]</w:t>
      </w:r>
      <w:bookmarkEnd w:id="6"/>
      <w:r>
        <w:rPr>
          <w:rFonts w:ascii="Times New Roman" w:cs="Times New Roman" w:eastAsia="Times New Roman" w:hAnsi="Times New Roman"/>
          <w:sz w:val="18"/>
          <w:szCs w:val="18"/>
        </w:rPr>
        <w:t xml:space="preserve"> Kipf, T.N., Welling, M.: Semi-Supervised Classification with Graph Convolutional Networks. In: International Conference on Learning Representations (2017).</w:t>
      </w:r>
    </w:p>
    <w:p>
      <w:pPr>
        <w:spacing w:after="20"/>
        <w:ind w:left="340" w:hanging="340"/>
        <w:jc w:val="both"/>
      </w:pPr>
      <w:bookmarkStart w:name="ref7" w:id="7"/>
      <w:r>
        <w:rPr>
          <w:rFonts w:ascii="Times New Roman" w:cs="Times New Roman" w:eastAsia="Times New Roman" w:hAnsi="Times New Roman"/>
          <w:sz w:val="18"/>
          <w:szCs w:val="18"/>
        </w:rPr>
        <w:t xml:space="preserve">[7]</w:t>
      </w:r>
      <w:bookmarkEnd w:id="7"/>
      <w:r>
        <w:rPr>
          <w:rFonts w:ascii="Times New Roman" w:cs="Times New Roman" w:eastAsia="Times New Roman" w:hAnsi="Times New Roman"/>
          <w:sz w:val="18"/>
          <w:szCs w:val="18"/>
        </w:rPr>
        <w:t xml:space="preserve"> Veličković, P., Cucurull, G., Casanova, A., Romero, A., Liò, P., Bengio, Y.: Graph Attention Networks. In: International Conference on Learning Representations (2018).</w:t>
      </w:r>
    </w:p>
    <w:p>
      <w:pPr>
        <w:spacing w:after="20"/>
        <w:ind w:left="340" w:hanging="340"/>
        <w:jc w:val="both"/>
      </w:pPr>
      <w:bookmarkStart w:name="ref8" w:id="8"/>
      <w:r>
        <w:rPr>
          <w:rFonts w:ascii="Times New Roman" w:cs="Times New Roman" w:eastAsia="Times New Roman" w:hAnsi="Times New Roman"/>
          <w:sz w:val="18"/>
          <w:szCs w:val="18"/>
        </w:rPr>
        <w:t xml:space="preserve">[8]</w:t>
      </w:r>
      <w:bookmarkEnd w:id="8"/>
      <w:r>
        <w:rPr>
          <w:rFonts w:ascii="Times New Roman" w:cs="Times New Roman" w:eastAsia="Times New Roman" w:hAnsi="Times New Roman"/>
          <w:sz w:val="18"/>
          <w:szCs w:val="18"/>
        </w:rPr>
        <w:t xml:space="preserve"> Hamilton, W.L., Ying, R., Leskovec, J.: Inductive Representation Learning on Large Graphs. In: Advances in Neural Information Processing Systems (2017).</w:t>
      </w:r>
    </w:p>
    <w:p>
      <w:pPr>
        <w:spacing w:after="20"/>
        <w:ind w:left="340" w:hanging="340"/>
        <w:jc w:val="both"/>
      </w:pPr>
      <w:bookmarkStart w:name="ref9" w:id="9"/>
      <w:r>
        <w:rPr>
          <w:rFonts w:ascii="Times New Roman" w:cs="Times New Roman" w:eastAsia="Times New Roman" w:hAnsi="Times New Roman"/>
          <w:sz w:val="18"/>
          <w:szCs w:val="18"/>
        </w:rPr>
        <w:t xml:space="preserve">[9]</w:t>
      </w:r>
      <w:bookmarkEnd w:id="9"/>
      <w:r>
        <w:rPr>
          <w:rFonts w:ascii="Times New Roman" w:cs="Times New Roman" w:eastAsia="Times New Roman" w:hAnsi="Times New Roman"/>
          <w:sz w:val="18"/>
          <w:szCs w:val="18"/>
        </w:rPr>
        <w:t xml:space="preserve"> Busbridge, D., Sherburn, D., Cavallo, P., Hammerla, N.Y.: Relational Graph Attention Networks. arXiv:1904.05811 (2019).</w:t>
      </w:r>
    </w:p>
    <w:p>
      <w:pPr>
        <w:spacing w:after="20"/>
        <w:ind w:left="340" w:hanging="340"/>
        <w:jc w:val="both"/>
      </w:pPr>
      <w:bookmarkStart w:name="ref10" w:id="10"/>
      <w:r>
        <w:rPr>
          <w:rFonts w:ascii="Times New Roman" w:cs="Times New Roman" w:eastAsia="Times New Roman" w:hAnsi="Times New Roman"/>
          <w:sz w:val="18"/>
          <w:szCs w:val="18"/>
        </w:rPr>
        <w:t xml:space="preserve">[10]</w:t>
      </w:r>
      <w:bookmarkEnd w:id="10"/>
      <w:r>
        <w:rPr>
          <w:rFonts w:ascii="Times New Roman" w:cs="Times New Roman" w:eastAsia="Times New Roman" w:hAnsi="Times New Roman"/>
          <w:sz w:val="18"/>
          <w:szCs w:val="18"/>
        </w:rPr>
        <w:t xml:space="preserve"> Koch, S., Matveev, A., Jiang, Z., Williams, F., Artemov, A., Burnaev, E., Alexa, M., Zorin, D., Panozzo, D.: ABC: A Big CAD Model Dataset for Geometric Deep Learning. In: IEEE CVPR (2019).</w:t>
      </w:r>
    </w:p>
    <w:p>
      <w:pPr>
        <w:spacing w:after="20"/>
        <w:ind w:left="340" w:hanging="340"/>
        <w:jc w:val="both"/>
      </w:pPr>
      <w:bookmarkStart w:name="ref11" w:id="11"/>
      <w:r>
        <w:rPr>
          <w:rFonts w:ascii="Times New Roman" w:cs="Times New Roman" w:eastAsia="Times New Roman" w:hAnsi="Times New Roman"/>
          <w:sz w:val="18"/>
          <w:szCs w:val="18"/>
        </w:rPr>
        <w:t xml:space="preserve">[11]</w:t>
      </w:r>
      <w:bookmarkEnd w:id="11"/>
      <w:r>
        <w:rPr>
          <w:rFonts w:ascii="Times New Roman" w:cs="Times New Roman" w:eastAsia="Times New Roman" w:hAnsi="Times New Roman"/>
          <w:sz w:val="18"/>
          <w:szCs w:val="18"/>
        </w:rPr>
        <w:t xml:space="preserve"> Mo, K., Zhu, S., Chang, A.X., Yi, L., Tripathi, S., Guibas, L.J., Su, H.: PartNet: A Large-Scale Benchmark for Fine-Grained and Hierarchical Part-Level 3D Object Understanding. In: IEEE CVPR (2019).</w:t>
      </w:r>
    </w:p>
    <w:p>
      <w:pPr>
        <w:spacing w:after="20"/>
        <w:ind w:left="340" w:hanging="340"/>
        <w:jc w:val="both"/>
      </w:pPr>
      <w:bookmarkStart w:name="ref12" w:id="12"/>
      <w:r>
        <w:rPr>
          <w:rFonts w:ascii="Times New Roman" w:cs="Times New Roman" w:eastAsia="Times New Roman" w:hAnsi="Times New Roman"/>
          <w:sz w:val="18"/>
          <w:szCs w:val="18"/>
        </w:rPr>
        <w:t xml:space="preserve">[12]</w:t>
      </w:r>
      <w:bookmarkEnd w:id="12"/>
      <w:r>
        <w:rPr>
          <w:rFonts w:ascii="Times New Roman" w:cs="Times New Roman" w:eastAsia="Times New Roman" w:hAnsi="Times New Roman"/>
          <w:sz w:val="18"/>
          <w:szCs w:val="18"/>
        </w:rPr>
        <w:t xml:space="preserve"> Ying, R., Bourgeois, D., You, J., Zitnik, M., Leskovec, J.: GNNExplainer: Generating Explanations for Graph Neural Networks. In: Advances in Neural Information Processing Systems (2019).</w:t>
      </w:r>
    </w:p>
    <w:p>
      <w:pPr>
        <w:spacing w:after="20"/>
        <w:ind w:left="340" w:hanging="340"/>
        <w:jc w:val="both"/>
      </w:pPr>
      <w:bookmarkStart w:name="ref13" w:id="13"/>
      <w:r>
        <w:rPr>
          <w:rFonts w:ascii="Times New Roman" w:cs="Times New Roman" w:eastAsia="Times New Roman" w:hAnsi="Times New Roman"/>
          <w:sz w:val="18"/>
          <w:szCs w:val="18"/>
        </w:rPr>
        <w:t xml:space="preserve">[13]</w:t>
      </w:r>
      <w:bookmarkEnd w:id="13"/>
      <w:r>
        <w:rPr>
          <w:rFonts w:ascii="Times New Roman" w:cs="Times New Roman" w:eastAsia="Times New Roman" w:hAnsi="Times New Roman"/>
          <w:sz w:val="18"/>
          <w:szCs w:val="18"/>
        </w:rPr>
        <w:t xml:space="preserve"> Fey, M., Lenssen, J.E.: Fast Graph Representation Learning with PyTorch Geometric. arXiv:1903.02428 (2019).</w:t>
      </w:r>
    </w:p>
    <w:p>
      <w:pPr>
        <w:spacing w:after="20"/>
        <w:ind w:left="340" w:hanging="340"/>
        <w:jc w:val="both"/>
      </w:pPr>
      <w:bookmarkStart w:name="ref14" w:id="14"/>
      <w:r>
        <w:rPr>
          <w:rFonts w:ascii="Times New Roman" w:cs="Times New Roman" w:eastAsia="Times New Roman" w:hAnsi="Times New Roman"/>
          <w:sz w:val="18"/>
          <w:szCs w:val="18"/>
        </w:rPr>
        <w:t xml:space="preserve">[14]</w:t>
      </w:r>
      <w:bookmarkEnd w:id="14"/>
      <w:r>
        <w:rPr>
          <w:rFonts w:ascii="Times New Roman" w:cs="Times New Roman" w:eastAsia="Times New Roman" w:hAnsi="Times New Roman"/>
          <w:sz w:val="18"/>
          <w:szCs w:val="18"/>
        </w:rPr>
        <w:t xml:space="preserve"> Rendle, S., Freudenthaler, C., Gantner, Z., Schmidt-Thieme, L.: BPR: Bayesian Personalized Ranking from Implicit Feedback. In: Conference on Uncertainty in Artificial Intelligence (2009).</w:t>
      </w:r>
    </w:p>
    <w:p>
      <w:pPr>
        <w:spacing w:after="20"/>
        <w:ind w:left="340" w:hanging="340"/>
        <w:jc w:val="both"/>
      </w:pPr>
      <w:bookmarkStart w:name="ref15" w:id="15"/>
      <w:r>
        <w:rPr>
          <w:rFonts w:ascii="Times New Roman" w:cs="Times New Roman" w:eastAsia="Times New Roman" w:hAnsi="Times New Roman"/>
          <w:sz w:val="18"/>
          <w:szCs w:val="18"/>
        </w:rPr>
        <w:t xml:space="preserve">[15]</w:t>
      </w:r>
      <w:bookmarkEnd w:id="15"/>
      <w:r>
        <w:rPr>
          <w:rFonts w:ascii="Times New Roman" w:cs="Times New Roman" w:eastAsia="Times New Roman" w:hAnsi="Times New Roman"/>
          <w:sz w:val="18"/>
          <w:szCs w:val="18"/>
        </w:rPr>
        <w:t xml:space="preserve"> Borah, S., Borah, B.: Predictive Error Expansion Based Reversible Data Hiding Scheme for Three-Dimensional Mesh Models. Multimedia Tools and Applications (2020).</w:t>
      </w:r>
    </w:p>
    <w:p>
      <w:pPr>
        <w:spacing w:after="20"/>
        <w:ind w:left="340" w:hanging="340"/>
        <w:jc w:val="both"/>
      </w:pPr>
      <w:bookmarkStart w:name="ref16" w:id="16"/>
      <w:r>
        <w:rPr>
          <w:rFonts w:ascii="Times New Roman" w:cs="Times New Roman" w:eastAsia="Times New Roman" w:hAnsi="Times New Roman"/>
          <w:sz w:val="18"/>
          <w:szCs w:val="18"/>
        </w:rPr>
        <w:t xml:space="preserve">[16]</w:t>
      </w:r>
      <w:bookmarkEnd w:id="16"/>
      <w:r>
        <w:rPr>
          <w:rFonts w:ascii="Times New Roman" w:cs="Times New Roman" w:eastAsia="Times New Roman" w:hAnsi="Times New Roman"/>
          <w:sz w:val="18"/>
          <w:szCs w:val="18"/>
        </w:rPr>
        <w:t xml:space="preserve"> Kingma, D.P., Welling, M.: Auto-Encoding Variational Bayes. In: International Conference on Learning Representations (2014).</w:t>
      </w:r>
    </w:p>
    <w:p>
      <w:pPr>
        <w:spacing w:after="20"/>
        <w:ind w:left="340" w:hanging="340"/>
        <w:jc w:val="both"/>
      </w:pPr>
      <w:bookmarkStart w:name="ref17" w:id="17"/>
      <w:r>
        <w:rPr>
          <w:rFonts w:ascii="Times New Roman" w:cs="Times New Roman" w:eastAsia="Times New Roman" w:hAnsi="Times New Roman"/>
          <w:sz w:val="18"/>
          <w:szCs w:val="18"/>
        </w:rPr>
        <w:t xml:space="preserve">[17]</w:t>
      </w:r>
      <w:bookmarkEnd w:id="17"/>
      <w:r>
        <w:rPr>
          <w:rFonts w:ascii="Times New Roman" w:cs="Times New Roman" w:eastAsia="Times New Roman" w:hAnsi="Times New Roman"/>
          <w:sz w:val="18"/>
          <w:szCs w:val="18"/>
        </w:rPr>
        <w:t xml:space="preserve"> Choy, C.B., Xu, D., Gwak, J., Chen, K., Savarese, S.: 3D-R2N2: A Unified Approach for Single and Multi-view 3D Object Reconstruction. In: European Conference on Computer Vision (2016).</w:t>
      </w:r>
    </w:p>
    <w:p>
      <w:pPr>
        <w:spacing w:after="20"/>
        <w:ind w:left="340" w:hanging="340"/>
        <w:jc w:val="both"/>
      </w:pPr>
      <w:bookmarkStart w:name="ref18" w:id="18"/>
      <w:r>
        <w:rPr>
          <w:rFonts w:ascii="Times New Roman" w:cs="Times New Roman" w:eastAsia="Times New Roman" w:hAnsi="Times New Roman"/>
          <w:sz w:val="18"/>
          <w:szCs w:val="18"/>
        </w:rPr>
        <w:t xml:space="preserve">[18]</w:t>
      </w:r>
      <w:bookmarkEnd w:id="18"/>
      <w:r>
        <w:rPr>
          <w:rFonts w:ascii="Times New Roman" w:cs="Times New Roman" w:eastAsia="Times New Roman" w:hAnsi="Times New Roman"/>
          <w:sz w:val="18"/>
          <w:szCs w:val="18"/>
        </w:rPr>
        <w:t xml:space="preserve"> Grover, A., Leskovec, J.: node2vec: Scalable Feature Learning for Networks. In: ACM SIGKDD International Conference on Knowledge Discovery and Data Mining (2016).</w:t>
      </w:r>
    </w:p>
    <w:sectPr>
      <w:pgSz w:w="11906" w:h="16838" w:orient="portrait"/>
      <w:pgMar w:top="2948" w:right="2494"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acf4k9qppodwziyibw4i" Type="http://schemas.openxmlformats.org/officeDocument/2006/relationships/hyperlink" Target="mailto:parthasarathy.perumal@gmail.com" TargetMode="External"/><Relationship Id="rId7" Type="http://schemas.openxmlformats.org/officeDocument/2006/relationships/image" Target="media/70d970ba9ca2a68ca89e9e2f203558c2387bb4f0.png"/><Relationship Id="rId8" Type="http://schemas.openxmlformats.org/officeDocument/2006/relationships/image" Target="media/dc40c2c39e610943e8ad94a21b20344d5e3c125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2026-09-05T10:03:40.110Z</dcterms:created>
  <dcterms:modified xsi:type="dcterms:W3CDTF">2026-09-05T10:03:40.112Z</dcterms:modified>
</cp:coreProperties>
</file>

<file path=docProps/custom.xml><?xml version="1.0" encoding="utf-8"?>
<Properties xmlns="http://schemas.openxmlformats.org/officeDocument/2006/custom-properties" xmlns:vt="http://schemas.openxmlformats.org/officeDocument/2006/docPropsVTypes"/>
</file>