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Missing-Component Detection, Recommendation, and Shape Generation in CAD Assemblies</w:t>
      </w:r>
    </w:p>
    <w:p>
      <w:pPr>
        <w:spacing w:after="40"/>
        <w:jc w:val="center"/>
      </w:pPr>
      <w:r>
        <w:rPr>
          <w:rFonts w:ascii="Times New Roman" w:cs="Times New Roman" w:eastAsia="Times New Roman" w:hAnsi="Times New Roman"/>
          <w:sz w:val="20"/>
          <w:szCs w:val="20"/>
        </w:rPr>
        <w:t xml:space="preserve">Parthasarathy Perumal</w:t>
      </w:r>
      <w:r>
        <w:rPr>
          <w:rFonts w:ascii="Times New Roman" w:cs="Times New Roman" w:eastAsia="Times New Roman" w:hAnsi="Times New Roman"/>
          <w:sz w:val="20"/>
          <w:szCs w:val="20"/>
          <w:vertAlign w:val="superscript"/>
        </w:rPr>
        <w:t xml:space="preserve">1*</w:t>
      </w:r>
    </w:p>
    <w:p>
      <w:pPr>
        <w:spacing w:after="40"/>
        <w:jc w:val="center"/>
      </w:pPr>
      <w:r>
        <w:rPr>
          <w:rFonts w:ascii="Times New Roman" w:cs="Times New Roman" w:eastAsia="Times New Roman" w:hAnsi="Times New Roman"/>
          <w:sz w:val="18"/>
          <w:szCs w:val="18"/>
        </w:rPr>
        <w:t xml:space="preserve">1*Student – M.Tech Data Science and AI, PES University, Hosur Rd, Konappana Agrahara, Bangalore, 560100, Karnataka, India</w:t>
      </w:r>
    </w:p>
    <w:p>
      <w:r>
        <w:rPr>
          <w:rFonts w:ascii="Times New Roman" w:cs="Times New Roman" w:eastAsia="Times New Roman" w:hAnsi="Times New Roman"/>
          <w:sz w:val="18"/>
          <w:szCs w:val="18"/>
        </w:rPr>
        <w:t xml:space="preserve"/>
      </w:r>
    </w:p>
    <w:p>
      <w:pPr>
        <w:spacing w:after="240"/>
        <w:jc w:val="center"/>
      </w:pPr>
      <w:r>
        <w:rPr>
          <w:rFonts w:ascii="Times New Roman" w:cs="Times New Roman" w:eastAsia="Times New Roman" w:hAnsi="Times New Roman"/>
          <w:sz w:val="18"/>
          <w:szCs w:val="18"/>
        </w:rPr>
        <w:t xml:space="preserve">Corresponding author(s). E-mail(s): </w:t>
      </w:r>
      <w:hyperlink w:history="1" r:id="rIdz88sqpgkaly2fwfpj7c0l">
        <w:r>
          <w:rPr>
            <w:rStyle w:val="Hyperlink"/>
            <w:rFonts w:ascii="Times New Roman" w:cs="Times New Roman" w:eastAsia="Times New Roman" w:hAnsi="Times New Roman"/>
            <w:color w:val="1155CC"/>
            <w:sz w:val="18"/>
            <w:szCs w:val="18"/>
            <w:u w:val="single"/>
          </w:rPr>
          <w:t xml:space="preserve">parthasarathy.perumal@gmail.com</w:t>
        </w:r>
      </w:hyperlink>
      <w:r>
        <w:rPr>
          <w:rFonts w:ascii="Times New Roman" w:cs="Times New Roman" w:eastAsia="Times New Roman" w:hAnsi="Times New Roman"/>
          <w:sz w:val="18"/>
          <w:szCs w:val="18"/>
        </w:rPr>
        <w:t xml:space="preserve">;</w:t>
      </w:r>
    </w:p>
    <w:p>
      <w:pPr>
        <w:spacing w:after="80" w:before="60"/>
        <w:jc w:val="center"/>
      </w:pPr>
      <w:r>
        <w:rPr>
          <w:rFonts w:ascii="Times New Roman" w:cs="Times New Roman" w:eastAsia="Times New Roman" w:hAnsi="Times New Roman"/>
          <w:b/>
          <w:bCs/>
          <w:sz w:val="20"/>
          <w:szCs w:val="20"/>
        </w:rPr>
        <w:t xml:space="preserve">Abstract</w:t>
      </w:r>
    </w:p>
    <w:p>
      <w:pPr>
        <w:spacing w:after="100"/>
        <w:jc w:val="both"/>
      </w:pPr>
      <w:r>
        <w:rPr>
          <w:rFonts w:ascii="Times New Roman" w:cs="Times New Roman" w:eastAsia="Times New Roman" w:hAnsi="Times New Roman"/>
          <w:sz w:val="20"/>
          <w:szCs w:val="20"/>
        </w:rPr>
        <w:t xml:space="preserve">Modern CAD tools offer no contextual intelligence during assembly creation: engineers rely entirely on domain experience to decide which components an assembly still needs and where they belong. We present an end-to-end graph neural network (GNN) system that treats a mechanical assembly as an attributed graph — solid bodies as nodes, real contact surfaces as edges — and addresses assembly completion in two phases. Phase I detects missing components via inductive link prediction over a shared relational-attention encoder (RGATConv). Phase II recommends the most likely next component type through a learned ranking head, then generates an actual placeable 3D shape for it through a hybrid retrieval-plus-conditional-VAE generator, rather than only a text label. Both phases build on a single frozen Phase I encoder, so the marginal cost of each new task head is small. On a curated corpus of 749 CAD assemblies spanning seven machine-part categories (648 usable graphs, 25,155 labelled bodies after parsing), the system reaches a mean link-prediction AUC-ROC of 0.9206 (±0.0121) and mean average precision of 0.9020 across true five-fold cross-validation, a next-component ranking Hit@1 of 0.4093 against a majority-class baseline of 0.3442, and a shape-generation test IoU of 0.6459 with a Chamfer distance of 0.0377. We further contribute a novel Octree-based open-surface detector for locating candidate mating joints without a CAD kernel, an assembly-template frequency prior that works even from a single uploaded body, and an interactive natural-language explanation layer built on GNNExplainer attributions. We report an engineering finding from exploratory analysis of the current corpus — a silently dead shape-descriptor feature affecting 99.95% of bodies — as a reminder that dataset-level auditing remains essential even after a model trains successfully.</w:t>
      </w:r>
    </w:p>
    <w:p>
      <w:pPr>
        <w:spacing w:after="2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Assembling a mechanical design in a modern CAD package — SolidWorks, CATIA, Fusion 360 — is still a manual, expert-driven process. The software tracks geometry and mating constraints faithfully, but it offers no judgement about the assembly itself: it cannot tell a designer that a bolted joint is missing its nut, that a valve housing typically pairs with a particular gland-plate variant, or what shape a plausible replacement part should take. That judgement lives entirely in the designer's experience. For junior engineers, or for anyone auditing a partially-defined assembly inherited from someone else, this is a real productivity and quality gap: incomplete assemblies have no built-in mechanism to flag what is missing, and no standardised way to suggest what should be added.</w:t>
      </w:r>
    </w:p>
    <w:p>
      <w:pPr>
        <w:spacing w:after="0"/>
        <w:ind w:firstLine="227"/>
        <w:jc w:val="both"/>
      </w:pPr>
      <w:r>
        <w:rPr>
          <w:rFonts w:ascii="Times New Roman" w:cs="Times New Roman" w:eastAsia="Times New Roman" w:hAnsi="Times New Roman"/>
          <w:sz w:val="20"/>
          <w:szCs w:val="20"/>
        </w:rPr>
        <w:t xml:space="preserve">This gap is a natural fit for graph-based deep learning. A rigid mechanical assembly is, structurally, a graph: solid bodies are nodes, and physical contact between two bodies — a bolt seated in a hole, a shaft running through a bushing — is an edge. Graph neural networks (GNNs) are designed to learn representations over exactly this kind of relational structure, and have driven substantial recent progress in adjacent CAD-generation tasks such as boundary-representation (B-Rep) synthesis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construction-sequence generation from language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Those systems generate whole shapes or whole sequences; comparatively little work targets the narrower, more directly actionable problem this paper addresses: given a partial real assembly, what is missing, what should be added next, and what should it look like.</w:t>
      </w:r>
    </w:p>
    <w:p>
      <w:pPr>
        <w:spacing w:after="0"/>
        <w:ind w:firstLine="227"/>
        <w:jc w:val="both"/>
      </w:pPr>
      <w:r>
        <w:rPr>
          <w:rFonts w:ascii="Times New Roman" w:cs="Times New Roman" w:eastAsia="Times New Roman" w:hAnsi="Times New Roman"/>
          <w:sz w:val="20"/>
          <w:szCs w:val="20"/>
        </w:rPr>
        <w:t xml:space="preserve">Framing assembly completion this way raises two practical requirements. Detection, recommendation, and generation are three different kinds of prediction — an edge score, a categorical ranking, a continuous 3D shape — and training three unrelated models from scratch would triple the data and compute burden for a corpus that, by the standards of large-scale shape datasets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modest; sharing one encoder across all three tasks is a deliberate response to that constraint. And an incorrect but confident suggestion is arguably worse than none at all in an engineering context, which motivates both the retrieval-first bias in Section 5.2 and the explanation layer in Section 6 — a suggestion the designer cannot audit is one they should not trust.</w:t>
      </w:r>
    </w:p>
    <w:p>
      <w:pPr>
        <w:spacing w:after="80"/>
        <w:ind w:firstLine="227"/>
        <w:jc w:val="both"/>
      </w:pPr>
      <w:r>
        <w:rPr>
          <w:rFonts w:ascii="Times New Roman" w:cs="Times New Roman" w:eastAsia="Times New Roman" w:hAnsi="Times New Roman"/>
          <w:sz w:val="20"/>
          <w:szCs w:val="20"/>
        </w:rPr>
        <w:t xml:space="preserve">This paper makes the following contributions:</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and a corresponding evaluation showing this materially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 no analogue in the CAD-generation literature we surveyed: an Octree-based open-surface detector that locates candidate joint locations from raw mesh geometry alone, and a per-category component-type frequency prior (AssemblyTemplateDB) that produces a useful completion signal even from a single uploaded body with no graph context at all.</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turns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rest of this paper is organised as follows. Section 2 surveys related work in CAD generation and graph representation learning. Section 3 describes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reports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work generates CAD geometry directly: BrepGen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uses a structured latent diffusion model to synthesise valid B-Rep solids; SolidGen </w:t>
      </w:r>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an autoregressive model over B-Rep topology and geometry; CAD-GPT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synthesises CAD construction sequences from natural-language spatial reasoning. All three generate individual parts or full designs from a specification or a prior distribution; none consumes a partially-built assembly and reasons about what specific component is missing from it — the problem this paper addresses is complementary, not competing.</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w:t>
      </w:r>
      <w:r>
        <w:rPr>
          <w:rFonts w:ascii="Times New Roman" w:cs="Times New Roman" w:eastAsia="Times New Roman" w:hAnsi="Times New Roman"/>
          <w:sz w:val="20"/>
          <w:szCs w:val="20"/>
        </w:rPr>
        <w:t xml:space="preserve">[</w:t>
      </w:r>
      <w:hyperlink w:history="1" w:anchor="ref6">
        <w:r>
          <w:rPr>
            <w:rStyle w:val="Hyperlink"/>
            <w:rFonts w:ascii="Times New Roman" w:cs="Times New Roman" w:eastAsia="Times New Roman" w:hAnsi="Times New Roman"/>
            <w:color w:val="1155CC"/>
            <w:sz w:val="20"/>
            <w:szCs w:val="20"/>
            <w:u w:val="single"/>
          </w:rPr>
          <w:t xml:space="preserve">6</w:t>
        </w:r>
      </w:hyperlink>
      <w:r>
        <w:rPr>
          <w:rFonts w:ascii="Times New Roman" w:cs="Times New Roman" w:eastAsia="Times New Roman" w:hAnsi="Times New Roman"/>
          <w:sz w:val="20"/>
          <w:szCs w:val="20"/>
        </w:rPr>
        <w:t xml:space="preserve">,</w:t>
      </w:r>
      <w:hyperlink w:history="1" w:anchor="ref7">
        <w:r>
          <w:rPr>
            <w:rStyle w:val="Hyperlink"/>
            <w:rFonts w:ascii="Times New Roman" w:cs="Times New Roman" w:eastAsia="Times New Roman" w:hAnsi="Times New Roman"/>
            <w:color w:val="1155CC"/>
            <w:sz w:val="20"/>
            <w:szCs w:val="20"/>
            <w:u w:val="single"/>
          </w:rPr>
          <w:t xml:space="preserve">7</w:t>
        </w:r>
      </w:hyperlink>
      <w:r>
        <w:rPr>
          <w:rFonts w:ascii="Times New Roman" w:cs="Times New Roman" w:eastAsia="Times New Roman" w:hAnsi="Times New Roman"/>
          <w:sz w:val="20"/>
          <w:szCs w:val="20"/>
        </w:rPr>
        <w:t xml:space="preserve">,</w:t>
      </w:r>
      <w:hyperlink w:history="1" w:anchor="ref8">
        <w:r>
          <w:rPr>
            <w:rStyle w:val="Hyperlink"/>
            <w:rFonts w:ascii="Times New Roman" w:cs="Times New Roman" w:eastAsia="Times New Roman" w:hAnsi="Times New Roman"/>
            <w:color w:val="1155CC"/>
            <w:sz w:val="20"/>
            <w:szCs w:val="20"/>
            <w:u w:val="single"/>
          </w:rPr>
          <w:t xml:space="preserve">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established the modern toolkit for relational learning; relational-attention variants such as RGATConv </w:t>
      </w:r>
      <w:r>
        <w:rPr>
          <w:rFonts w:ascii="Times New Roman" w:cs="Times New Roman" w:eastAsia="Times New Roman" w:hAnsi="Times New Roman"/>
          <w:sz w:val="20"/>
          <w:szCs w:val="20"/>
        </w:rPr>
        <w:t xml:space="preserve">[</w:t>
      </w:r>
      <w:hyperlink w:history="1" w:anchor="ref9">
        <w:r>
          <w:rPr>
            <w:rStyle w:val="Hyperlink"/>
            <w:rFonts w:ascii="Times New Roman" w:cs="Times New Roman" w:eastAsia="Times New Roman" w:hAnsi="Times New Roman"/>
            <w:color w:val="1155CC"/>
            <w:sz w:val="20"/>
            <w:szCs w:val="20"/>
            <w:u w:val="single"/>
          </w:rPr>
          <w:t xml:space="preserve">9</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extend attention with per-edge-type parameters — the mechanism this work builds on, since a joint's type materially changes how connected bodies should influence each other. A recent analysis questions how much link-prediction performance owes to structural heuristics rather than learned features </w:t>
      </w:r>
      <w:r>
        <w:rPr>
          <w:rFonts w:ascii="Times New Roman" w:cs="Times New Roman" w:eastAsia="Times New Roman" w:hAnsi="Times New Roman"/>
          <w:sz w:val="20"/>
          <w:szCs w:val="20"/>
        </w:rPr>
        <w:t xml:space="preserve">[</w:t>
      </w:r>
      <w:hyperlink w:history="1" w:anchor="ref4">
        <w:r>
          <w:rPr>
            <w:rStyle w:val="Hyperlink"/>
            <w:rFonts w:ascii="Times New Roman" w:cs="Times New Roman" w:eastAsia="Times New Roman" w:hAnsi="Times New Roman"/>
            <w:color w:val="1155CC"/>
            <w:sz w:val="20"/>
            <w:szCs w:val="20"/>
            <w:u w:val="single"/>
          </w:rPr>
          <w:t xml:space="preserve">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our features lean on affine-invariant shape descriptors over pure topology, which should reduce that risk. Heterogeneous graph contrastive learning </w:t>
      </w:r>
      <w:r>
        <w:rPr>
          <w:rFonts w:ascii="Times New Roman" w:cs="Times New Roman" w:eastAsia="Times New Roman" w:hAnsi="Times New Roman"/>
          <w:sz w:val="20"/>
          <w:szCs w:val="20"/>
        </w:rPr>
        <w:t xml:space="preserve">[</w:t>
      </w:r>
      <w:hyperlink w:history="1" w:anchor="ref5">
        <w:r>
          <w:rPr>
            <w:rStyle w:val="Hyperlink"/>
            <w:rFonts w:ascii="Times New Roman" w:cs="Times New Roman" w:eastAsia="Times New Roman" w:hAnsi="Times New Roman"/>
            <w:color w:val="1155CC"/>
            <w:sz w:val="20"/>
            <w:szCs w:val="20"/>
            <w:u w:val="single"/>
          </w:rPr>
          <w:t xml:space="preserve">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 related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such as ABC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PartNet </w:t>
      </w:r>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have driven progress in learned shape understanding, but both are dominated by consumer and generic-object geometry rather than the industrial fastener- and joint-heavy assemblies this system targets; we curate our own corpus for that reason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subgraph and feature attributions for a trained GNN's prediction, used here as the numerical backbone for Section 6's explanation layer, which translates its attribution scores into natural-language engineering justifications rather than exposing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such as node2vec </w:t>
      </w:r>
      <w:r>
        <w:rPr>
          <w:rFonts w:ascii="Times New Roman" w:cs="Times New Roman" w:eastAsia="Times New Roman" w:hAnsi="Times New Roman"/>
          <w:sz w:val="20"/>
          <w:szCs w:val="20"/>
        </w:rPr>
        <w:t xml:space="preserve">[</w:t>
      </w:r>
      <w:hyperlink w:history="1" w:anchor="ref18">
        <w:r>
          <w:rPr>
            <w:rStyle w:val="Hyperlink"/>
            <w:rFonts w:ascii="Times New Roman" w:cs="Times New Roman" w:eastAsia="Times New Roman" w:hAnsi="Times New Roman"/>
            <w:color w:val="1155CC"/>
            <w:sz w:val="20"/>
            <w:szCs w:val="20"/>
            <w:u w:val="single"/>
          </w:rPr>
          <w:t xml:space="preserve">18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learn node representations from random-walk co-occurrence alone, with no mechanism to consume continuous node or edge attributes — a significant loss of signal for a graph whose edges carry a physically meaningful joint-type label,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full pipeline: a STEP file is converted to an attributed graph, encoded once by a shared relational-attention network, and consumed by three task heads plus a live explanation layer, with two supporting geometric modules feeding candidate-location evidence back into the encoder's input.</w:t>
      </w:r>
    </w:p>
    <w:p>
      <w:pPr>
        <w:spacing w:after="40"/>
        <w:jc w:val="center"/>
      </w:pPr>
      <w:r>
        <w:drawing>
          <wp:inline distT="0" distB="0" distL="0" distR="0">
            <wp:extent cx="43815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13620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with gmsh (OpenCASCADE kernel), fragmented into individual solid bodies, and converted into an attributed graph: one node per solid body, one edge per pair of bodies whose boundary face sets physically intersect after fragmentation (a real shared contact, not spatial proximity). Two bodies with no shared boundary get no edge, however close they sit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Every body carries: an 8-class component-type one-hot (long/short shaft, thick/thin plate, bolt, washer, nut, body — assigned by multi-signal geometric voting over hole detection, bolt-head detection, and absolute-size gating, replacing an earlier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for whether a hole's local surroundings are curved rather than flat (fasteners essentially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an earlier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w:t>
      </w:r>
      <w:r>
        <w:rPr>
          <w:rFonts w:ascii="Times New Roman" w:cs="Times New Roman" w:eastAsia="Times New Roman" w:hAnsi="Times New Roman"/>
          <w:sz w:val="20"/>
          <w:szCs w:val="20"/>
        </w:rPr>
        <w:t xml:space="preserve">[</w:t>
      </w:r>
      <w:hyperlink w:history="1" w:anchor="ref13">
        <w:r>
          <w:rPr>
            <w:rStyle w:val="Hyperlink"/>
            <w:rFonts w:ascii="Times New Roman" w:cs="Times New Roman" w:eastAsia="Times New Roman" w:hAnsi="Times New Roman"/>
            <w:color w:val="1155CC"/>
            <w:sz w:val="20"/>
            <w:szCs w:val="20"/>
            <w:u w:val="single"/>
          </w:rPr>
          <w:t xml:space="preserve">13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3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3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Given the encoder's node embeddings z_u, z_v (dimension 64) for a candidate body pair (u,v),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answers two questions once Phase I has flagged that something is missing: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Given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w:t>
      </w:r>
      <w:r>
        <w:rPr>
          <w:rFonts w:ascii="Times New Roman" w:cs="Times New Roman" w:eastAsia="Times New Roman" w:hAnsi="Times New Roman"/>
          <w:sz w:val="20"/>
          <w:szCs w:val="20"/>
        </w:rPr>
        <w:t xml:space="preserve">[</w:t>
      </w:r>
      <w:hyperlink w:history="1" w:anchor="ref14">
        <w:r>
          <w:rPr>
            <w:rStyle w:val="Hyperlink"/>
            <w:rFonts w:ascii="Times New Roman" w:cs="Times New Roman" w:eastAsia="Times New Roman" w:hAnsi="Times New Roman"/>
            <w:color w:val="1155CC"/>
            <w:sz w:val="20"/>
            <w:szCs w:val="20"/>
            <w:u w:val="single"/>
          </w:rPr>
          <w:t xml:space="preserve">14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Once a component type is recommended,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batch norm, LeakyReLU) producing a 128-dim latent distribution; the decoder mirrors this with transposed convolutions, conditioned on a 77-dim vector (the frozen encoder's 64-dim context, an 8-dim target-type one-hot, a 3-dim target bounding box, a 2-dim neighbour-scale signal). Training minimises a weighted binary cross-entropy, a Dice term countering the sparse grid's foreground/background imbalance, and a KL regulariser on the latent:</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locate where a missing component likely attaches without depending on a proprietary CAD-kernel API at inference time, an octree spatial partition — adapting the octree concept from prior mesh-watermarking work </w:t>
      </w:r>
      <w:r>
        <w:rPr>
          <w:rFonts w:ascii="Times New Roman" w:cs="Times New Roman" w:eastAsia="Times New Roman" w:hAnsi="Times New Roman"/>
          <w:sz w:val="20"/>
          <w:szCs w:val="20"/>
        </w:rPr>
        <w:t xml:space="preserve">[</w:t>
      </w:r>
      <w:hyperlink w:history="1" w:anchor="ref15">
        <w:r>
          <w:rPr>
            <w:rStyle w:val="Hyperlink"/>
            <w:rFonts w:ascii="Times New Roman" w:cs="Times New Roman" w:eastAsia="Times New Roman" w:hAnsi="Times New Roman"/>
            <w:color w:val="1155CC"/>
            <w:sz w:val="20"/>
            <w:szCs w:val="20"/>
            <w:u w:val="single"/>
          </w:rPr>
          <w:t xml:space="preserve">15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several infrastructure-level problems with no direct analogue in a purely algorithmic description of the system. We report the ones with the largest measured impact, both because they were non-obvious in advance and because several of them materially affected reported results.</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edge count, not node count (Section 3.3). Fixed-graph-count batching crashed on larger assemblies (~23 GB against a 20.13 GB ceiling); capping by cumulative edge count instead resolved it, after two intermediate caps (3,000, then 500) still crashed — the second from a shuffle-seed bug replaying the same crash on restart. A final cap of 300 edges/batch plus the seed fix eliminated the failure.</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Python's short-circuit comparison silently ignored average precision whenever two candidates tied on AUC-ROC, letting a regression on the second metric through undetected.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the gate-valve category (51.4% yield versus 82–99% for the other six), which also has this corpus's largest mean graph size (93.9 bodies per assembly against an overall mean of 38.8), suggesting geometric complexity as the likely common cause. The resulting 648 graphs contain 25,155 labelled bodies and 46,767 undirected contact edges in total. Table 2 summarises the per-category composition.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2400"/>
        <w:gridCol w:w="1900"/>
      </w:tblGrid>
      <w:tr>
        <w:tc>
          <w:tcPr>
            <w:tcW w:type="dxa" w:w="20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separates real from candidate connections consistently across folds rather than only on a favourable split.</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5400"/>
        <w:gridCol w:w="1800"/>
      </w:tblGrid>
      <w:tr>
        <w:tc>
          <w:tcPr>
            <w:tcW w:type="dxa" w:w="1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5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reaches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800"/>
        <w:gridCol w:w="19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5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themselves: the SDF-mean node feature (Section 3.1) is exactly zero for 25,142 of 25,155 bodies (99.95%); only 13 bodies carry a non-zero value, and the paired SDF-variance feature moves in near-perfect lockstep (r &gt; 0.999) — consistent with a silently constant feature rather than genuinely near-zero geometry. This mirrors an earlier instance where hole-count and joint-type features were found silently zero-valued since the project's inception; fixing that produced the largest single-run gain of the project (Table 4). We report the SDF finding unresolved rather than omit it: strong aggregate metrics are not sufficient evidence every input feature is contributing, and targeted corpus auditing remains necessary even after training succeeds.</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over baseline, is unevenly distributed across types; class-balanced sampling or loss re-weighting is the natural next step. Second, the conditional-VAE fallback is currently scoped to fasteners only; broadening it to plates and shafts is future work, alongside re-running the retrieval-threshold analysis, since the current zero-fallback result (Section 9.2) may not hold once non-fastener types are added. Third, the SDF and hole-detection findings (Section 9.3) are open issues: repairing the SDF ray-cast and auditing the bolt/washer false-positive rate against ground-truth geometry are near-term priorities before the next retrain. More broadly, the corpus is domain-specific to fastening and flow-control mechanisms; extending coverage to a wider range of assembly types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I thank Prof. Sagarika Borah (Phase 1 guide) and Prof. Gaurav Siwal (Phase 2 guide), and the Department of Data Science and Artificial Intelligence at PES University, for guidance and review throughout this M.Tech project.</w:t>
      </w:r>
    </w:p>
    <w:p>
      <w:pPr>
        <w:spacing w:after="140" w:before="280"/>
      </w:pPr>
      <w:r>
        <w:rPr>
          <w:rFonts w:ascii="Times New Roman" w:cs="Times New Roman" w:eastAsia="Times New Roman" w:hAnsi="Times New Roman"/>
          <w:b/>
          <w:bCs/>
          <w:sz w:val="24"/>
          <w:szCs w:val="24"/>
        </w:rPr>
        <w:t xml:space="preserve">References</w:t>
      </w:r>
    </w:p>
    <w:p>
      <w:pPr>
        <w:spacing w:after="40"/>
        <w:ind w:left="340" w:hanging="340"/>
        <w:jc w:val="both"/>
      </w:pPr>
      <w:bookmarkStart w:name="ref1" w:id="1"/>
      <w:r>
        <w:rPr>
          <w:rFonts w:ascii="Times New Roman" w:cs="Times New Roman" w:eastAsia="Times New Roman" w:hAnsi="Times New Roman"/>
          <w:sz w:val="18"/>
          <w:szCs w:val="18"/>
        </w:rPr>
        <w:t xml:space="preserve">[1]</w:t>
      </w:r>
      <w:bookmarkEnd w:id="1"/>
      <w:r>
        <w:rPr>
          <w:rFonts w:ascii="Times New Roman" w:cs="Times New Roman" w:eastAsia="Times New Roman" w:hAnsi="Times New Roman"/>
          <w:sz w:val="18"/>
          <w:szCs w:val="18"/>
        </w:rPr>
        <w:t xml:space="preserve"> Xu, X., Willis, K.D.D., Lambourne, J.G., Cheng, C.-Y., Jayaraman, P.K., Furukawa, Y.: BrepGen: A B-Rep Generative Diffusion Model with Structured Latent Geometry. In: ACM SIGGRAPH 2024 Conference Proceedings (2024).</w:t>
      </w:r>
    </w:p>
    <w:p>
      <w:pPr>
        <w:spacing w:after="40"/>
        <w:ind w:left="340" w:hanging="340"/>
        <w:jc w:val="both"/>
      </w:pPr>
      <w:bookmarkStart w:name="ref2" w:id="2"/>
      <w:r>
        <w:rPr>
          <w:rFonts w:ascii="Times New Roman" w:cs="Times New Roman" w:eastAsia="Times New Roman" w:hAnsi="Times New Roman"/>
          <w:sz w:val="18"/>
          <w:szCs w:val="18"/>
        </w:rPr>
        <w:t xml:space="preserve">[2]</w:t>
      </w:r>
      <w:bookmarkEnd w:id="2"/>
      <w:r>
        <w:rPr>
          <w:rFonts w:ascii="Times New Roman" w:cs="Times New Roman" w:eastAsia="Times New Roman" w:hAnsi="Times New Roman"/>
          <w:sz w:val="18"/>
          <w:szCs w:val="18"/>
        </w:rPr>
        <w:t xml:space="preserve"> Jayaraman, P.K., Lambourne, J.G., Desai, N., Willis, K.D.D., Sanghi, A., Morris, N.J.W.: SolidGen: An Autoregressive Model for Direct B-Rep Synthesis and Editing. ACM Transactions on Graphics 43 (2024).</w:t>
      </w:r>
    </w:p>
    <w:p>
      <w:pPr>
        <w:spacing w:after="40"/>
        <w:ind w:left="340" w:hanging="340"/>
        <w:jc w:val="both"/>
      </w:pPr>
      <w:bookmarkStart w:name="ref3" w:id="3"/>
      <w:r>
        <w:rPr>
          <w:rFonts w:ascii="Times New Roman" w:cs="Times New Roman" w:eastAsia="Times New Roman" w:hAnsi="Times New Roman"/>
          <w:sz w:val="18"/>
          <w:szCs w:val="18"/>
        </w:rPr>
        <w:t xml:space="preserve">[3]</w:t>
      </w:r>
      <w:bookmarkEnd w:id="3"/>
      <w:r>
        <w:rPr>
          <w:rFonts w:ascii="Times New Roman" w:cs="Times New Roman" w:eastAsia="Times New Roman" w:hAnsi="Times New Roman"/>
          <w:sz w:val="18"/>
          <w:szCs w:val="18"/>
        </w:rPr>
        <w:t xml:space="preserve"> Wang, X., Guo, R., Fu, R.: CAD-GPT: Synthesising CAD Construction Sequences with Spatial-Reasoning Language Models. arXiv:2501.09803 (2025).</w:t>
      </w:r>
    </w:p>
    <w:p>
      <w:pPr>
        <w:spacing w:after="40"/>
        <w:ind w:left="340" w:hanging="340"/>
        <w:jc w:val="both"/>
      </w:pPr>
      <w:bookmarkStart w:name="ref4" w:id="4"/>
      <w:r>
        <w:rPr>
          <w:rFonts w:ascii="Times New Roman" w:cs="Times New Roman" w:eastAsia="Times New Roman" w:hAnsi="Times New Roman"/>
          <w:sz w:val="18"/>
          <w:szCs w:val="18"/>
        </w:rPr>
        <w:t xml:space="preserve">[4]</w:t>
      </w:r>
      <w:bookmarkEnd w:id="4"/>
      <w:r>
        <w:rPr>
          <w:rFonts w:ascii="Times New Roman" w:cs="Times New Roman" w:eastAsia="Times New Roman" w:hAnsi="Times New Roman"/>
          <w:sz w:val="18"/>
          <w:szCs w:val="18"/>
        </w:rPr>
        <w:t xml:space="preserve"> Can Graph Neural Networks Learn Link Heuristics? arXiv:2411.14711 (2024).</w:t>
      </w:r>
    </w:p>
    <w:p>
      <w:pPr>
        <w:spacing w:after="40"/>
        <w:ind w:left="340" w:hanging="340"/>
        <w:jc w:val="both"/>
      </w:pPr>
      <w:bookmarkStart w:name="ref5" w:id="5"/>
      <w:r>
        <w:rPr>
          <w:rFonts w:ascii="Times New Roman" w:cs="Times New Roman" w:eastAsia="Times New Roman" w:hAnsi="Times New Roman"/>
          <w:sz w:val="18"/>
          <w:szCs w:val="18"/>
        </w:rPr>
        <w:t xml:space="preserve">[5]</w:t>
      </w:r>
      <w:bookmarkEnd w:id="5"/>
      <w:r>
        <w:rPr>
          <w:rFonts w:ascii="Times New Roman" w:cs="Times New Roman" w:eastAsia="Times New Roman" w:hAnsi="Times New Roman"/>
          <w:sz w:val="18"/>
          <w:szCs w:val="18"/>
        </w:rPr>
        <w:t xml:space="preserve"> Heterogeneous Graph Contrastive Learning. arXiv:2303.00995 (2023).</w:t>
      </w:r>
    </w:p>
    <w:p>
      <w:pPr>
        <w:spacing w:after="40"/>
        <w:ind w:left="340" w:hanging="340"/>
        <w:jc w:val="both"/>
      </w:pPr>
      <w:bookmarkStart w:name="ref6" w:id="6"/>
      <w:r>
        <w:rPr>
          <w:rFonts w:ascii="Times New Roman" w:cs="Times New Roman" w:eastAsia="Times New Roman" w:hAnsi="Times New Roman"/>
          <w:sz w:val="18"/>
          <w:szCs w:val="18"/>
        </w:rPr>
        <w:t xml:space="preserve">[6]</w:t>
      </w:r>
      <w:bookmarkEnd w:id="6"/>
      <w:r>
        <w:rPr>
          <w:rFonts w:ascii="Times New Roman" w:cs="Times New Roman" w:eastAsia="Times New Roman" w:hAnsi="Times New Roman"/>
          <w:sz w:val="18"/>
          <w:szCs w:val="18"/>
        </w:rPr>
        <w:t xml:space="preserve"> Kipf, T.N., Welling, M.: Semi-Supervised Classification with Graph Convolutional Networks. In: International Conference on Learning Representations (2017).</w:t>
      </w:r>
    </w:p>
    <w:p>
      <w:pPr>
        <w:spacing w:after="40"/>
        <w:ind w:left="340" w:hanging="340"/>
        <w:jc w:val="both"/>
      </w:pPr>
      <w:bookmarkStart w:name="ref7" w:id="7"/>
      <w:r>
        <w:rPr>
          <w:rFonts w:ascii="Times New Roman" w:cs="Times New Roman" w:eastAsia="Times New Roman" w:hAnsi="Times New Roman"/>
          <w:sz w:val="18"/>
          <w:szCs w:val="18"/>
        </w:rPr>
        <w:t xml:space="preserve">[7]</w:t>
      </w:r>
      <w:bookmarkEnd w:id="7"/>
      <w:r>
        <w:rPr>
          <w:rFonts w:ascii="Times New Roman" w:cs="Times New Roman" w:eastAsia="Times New Roman" w:hAnsi="Times New Roman"/>
          <w:sz w:val="18"/>
          <w:szCs w:val="18"/>
        </w:rPr>
        <w:t xml:space="preserve"> Veličković, P., Cucurull, G., Casanova, A., Romero, A., Liò, P., Bengio, Y.: Graph Attention Networks. In: International Conference on Learning Representations (2018).</w:t>
      </w:r>
    </w:p>
    <w:p>
      <w:pPr>
        <w:spacing w:after="40"/>
        <w:ind w:left="340" w:hanging="340"/>
        <w:jc w:val="both"/>
      </w:pPr>
      <w:bookmarkStart w:name="ref8" w:id="8"/>
      <w:r>
        <w:rPr>
          <w:rFonts w:ascii="Times New Roman" w:cs="Times New Roman" w:eastAsia="Times New Roman" w:hAnsi="Times New Roman"/>
          <w:sz w:val="18"/>
          <w:szCs w:val="18"/>
        </w:rPr>
        <w:t xml:space="preserve">[8]</w:t>
      </w:r>
      <w:bookmarkEnd w:id="8"/>
      <w:r>
        <w:rPr>
          <w:rFonts w:ascii="Times New Roman" w:cs="Times New Roman" w:eastAsia="Times New Roman" w:hAnsi="Times New Roman"/>
          <w:sz w:val="18"/>
          <w:szCs w:val="18"/>
        </w:rPr>
        <w:t xml:space="preserve"> Hamilton, W.L., Ying, R., Leskovec, J.: Inductive Representation Learning on Large Graphs. In: Advances in Neural Information Processing Systems (2017).</w:t>
      </w:r>
    </w:p>
    <w:p>
      <w:pPr>
        <w:spacing w:after="40"/>
        <w:ind w:left="340" w:hanging="340"/>
        <w:jc w:val="both"/>
      </w:pPr>
      <w:bookmarkStart w:name="ref9" w:id="9"/>
      <w:r>
        <w:rPr>
          <w:rFonts w:ascii="Times New Roman" w:cs="Times New Roman" w:eastAsia="Times New Roman" w:hAnsi="Times New Roman"/>
          <w:sz w:val="18"/>
          <w:szCs w:val="18"/>
        </w:rPr>
        <w:t xml:space="preserve">[9]</w:t>
      </w:r>
      <w:bookmarkEnd w:id="9"/>
      <w:r>
        <w:rPr>
          <w:rFonts w:ascii="Times New Roman" w:cs="Times New Roman" w:eastAsia="Times New Roman" w:hAnsi="Times New Roman"/>
          <w:sz w:val="18"/>
          <w:szCs w:val="18"/>
        </w:rPr>
        <w:t xml:space="preserve"> Busbridge, D., Sherburn, D., Cavallo, P., Hammerla, N.Y.: Relational Graph Attention Networks. arXiv:1904.05811 (2019).</w:t>
      </w:r>
    </w:p>
    <w:p>
      <w:pPr>
        <w:spacing w:after="40"/>
        <w:ind w:left="340" w:hanging="340"/>
        <w:jc w:val="both"/>
      </w:pPr>
      <w:bookmarkStart w:name="ref10" w:id="10"/>
      <w:r>
        <w:rPr>
          <w:rFonts w:ascii="Times New Roman" w:cs="Times New Roman" w:eastAsia="Times New Roman" w:hAnsi="Times New Roman"/>
          <w:sz w:val="18"/>
          <w:szCs w:val="18"/>
        </w:rPr>
        <w:t xml:space="preserve">[10]</w:t>
      </w:r>
      <w:bookmarkEnd w:id="10"/>
      <w:r>
        <w:rPr>
          <w:rFonts w:ascii="Times New Roman" w:cs="Times New Roman" w:eastAsia="Times New Roman" w:hAnsi="Times New Roman"/>
          <w:sz w:val="18"/>
          <w:szCs w:val="18"/>
        </w:rPr>
        <w:t xml:space="preserve"> Koch, S., Matveev, A., Jiang, Z., Williams, F., Artemov, A., Burnaev, E., Alexa, M., Zorin, D., Panozzo, D.: ABC: A Big CAD Model Dataset for Geometric Deep Learning. In: IEEE CVPR (2019).</w:t>
      </w:r>
    </w:p>
    <w:p>
      <w:pPr>
        <w:spacing w:after="40"/>
        <w:ind w:left="340" w:hanging="340"/>
        <w:jc w:val="both"/>
      </w:pPr>
      <w:bookmarkStart w:name="ref11" w:id="11"/>
      <w:r>
        <w:rPr>
          <w:rFonts w:ascii="Times New Roman" w:cs="Times New Roman" w:eastAsia="Times New Roman" w:hAnsi="Times New Roman"/>
          <w:sz w:val="18"/>
          <w:szCs w:val="18"/>
        </w:rPr>
        <w:t xml:space="preserve">[11]</w:t>
      </w:r>
      <w:bookmarkEnd w:id="11"/>
      <w:r>
        <w:rPr>
          <w:rFonts w:ascii="Times New Roman" w:cs="Times New Roman" w:eastAsia="Times New Roman" w:hAnsi="Times New Roman"/>
          <w:sz w:val="18"/>
          <w:szCs w:val="18"/>
        </w:rPr>
        <w:t xml:space="preserve"> Mo, K., Zhu, S., Chang, A.X., Yi, L., Tripathi, S., Guibas, L.J., Su, H.: PartNet: A Large-Scale Benchmark for Fine-Grained and Hierarchical Part-Level 3D Object Understanding. In: IEEE CVPR (2019).</w:t>
      </w:r>
    </w:p>
    <w:p>
      <w:pPr>
        <w:spacing w:after="40"/>
        <w:ind w:left="340" w:hanging="340"/>
        <w:jc w:val="both"/>
      </w:pPr>
      <w:bookmarkStart w:name="ref12" w:id="12"/>
      <w:r>
        <w:rPr>
          <w:rFonts w:ascii="Times New Roman" w:cs="Times New Roman" w:eastAsia="Times New Roman" w:hAnsi="Times New Roman"/>
          <w:sz w:val="18"/>
          <w:szCs w:val="18"/>
        </w:rPr>
        <w:t xml:space="preserve">[12]</w:t>
      </w:r>
      <w:bookmarkEnd w:id="12"/>
      <w:r>
        <w:rPr>
          <w:rFonts w:ascii="Times New Roman" w:cs="Times New Roman" w:eastAsia="Times New Roman" w:hAnsi="Times New Roman"/>
          <w:sz w:val="18"/>
          <w:szCs w:val="18"/>
        </w:rPr>
        <w:t xml:space="preserve"> Ying, R., Bourgeois, D., You, J., Zitnik, M., Leskovec, J.: GNNExplainer: Generating Explanations for Graph Neural Networks. In: Advances in Neural Information Processing Systems (2019).</w:t>
      </w:r>
    </w:p>
    <w:p>
      <w:pPr>
        <w:spacing w:after="40"/>
        <w:ind w:left="340" w:hanging="340"/>
        <w:jc w:val="both"/>
      </w:pPr>
      <w:bookmarkStart w:name="ref13" w:id="13"/>
      <w:r>
        <w:rPr>
          <w:rFonts w:ascii="Times New Roman" w:cs="Times New Roman" w:eastAsia="Times New Roman" w:hAnsi="Times New Roman"/>
          <w:sz w:val="18"/>
          <w:szCs w:val="18"/>
        </w:rPr>
        <w:t xml:space="preserve">[13]</w:t>
      </w:r>
      <w:bookmarkEnd w:id="13"/>
      <w:r>
        <w:rPr>
          <w:rFonts w:ascii="Times New Roman" w:cs="Times New Roman" w:eastAsia="Times New Roman" w:hAnsi="Times New Roman"/>
          <w:sz w:val="18"/>
          <w:szCs w:val="18"/>
        </w:rPr>
        <w:t xml:space="preserve"> Fey, M., Lenssen, J.E.: Fast Graph Representation Learning with PyTorch Geometric. arXiv:1903.02428 (2019).</w:t>
      </w:r>
    </w:p>
    <w:p>
      <w:pPr>
        <w:spacing w:after="40"/>
        <w:ind w:left="340" w:hanging="340"/>
        <w:jc w:val="both"/>
      </w:pPr>
      <w:bookmarkStart w:name="ref14" w:id="14"/>
      <w:r>
        <w:rPr>
          <w:rFonts w:ascii="Times New Roman" w:cs="Times New Roman" w:eastAsia="Times New Roman" w:hAnsi="Times New Roman"/>
          <w:sz w:val="18"/>
          <w:szCs w:val="18"/>
        </w:rPr>
        <w:t xml:space="preserve">[14]</w:t>
      </w:r>
      <w:bookmarkEnd w:id="14"/>
      <w:r>
        <w:rPr>
          <w:rFonts w:ascii="Times New Roman" w:cs="Times New Roman" w:eastAsia="Times New Roman" w:hAnsi="Times New Roman"/>
          <w:sz w:val="18"/>
          <w:szCs w:val="18"/>
        </w:rPr>
        <w:t xml:space="preserve"> Rendle, S., Freudenthaler, C., Gantner, Z., Schmidt-Thieme, L.: BPR: Bayesian Personalized Ranking from Implicit Feedback. In: Conference on Uncertainty in Artificial Intelligence (2009).</w:t>
      </w:r>
    </w:p>
    <w:p>
      <w:pPr>
        <w:spacing w:after="40"/>
        <w:ind w:left="340" w:hanging="340"/>
        <w:jc w:val="both"/>
      </w:pPr>
      <w:bookmarkStart w:name="ref15" w:id="15"/>
      <w:r>
        <w:rPr>
          <w:rFonts w:ascii="Times New Roman" w:cs="Times New Roman" w:eastAsia="Times New Roman" w:hAnsi="Times New Roman"/>
          <w:sz w:val="18"/>
          <w:szCs w:val="18"/>
        </w:rPr>
        <w:t xml:space="preserve">[15]</w:t>
      </w:r>
      <w:bookmarkEnd w:id="15"/>
      <w:r>
        <w:rPr>
          <w:rFonts w:ascii="Times New Roman" w:cs="Times New Roman" w:eastAsia="Times New Roman" w:hAnsi="Times New Roman"/>
          <w:sz w:val="18"/>
          <w:szCs w:val="18"/>
        </w:rPr>
        <w:t xml:space="preserve"> Borah, S., Borah, B.: Predictive Error Expansion Based Reversible Data Hiding Scheme for Three-Dimensional Mesh Models. Multimedia Tools and Applications (2020).</w:t>
      </w:r>
    </w:p>
    <w:p>
      <w:pPr>
        <w:spacing w:after="40"/>
        <w:ind w:left="340" w:hanging="340"/>
        <w:jc w:val="both"/>
      </w:pPr>
      <w:bookmarkStart w:name="ref16" w:id="16"/>
      <w:r>
        <w:rPr>
          <w:rFonts w:ascii="Times New Roman" w:cs="Times New Roman" w:eastAsia="Times New Roman" w:hAnsi="Times New Roman"/>
          <w:sz w:val="18"/>
          <w:szCs w:val="18"/>
        </w:rPr>
        <w:t xml:space="preserve">[16]</w:t>
      </w:r>
      <w:bookmarkEnd w:id="16"/>
      <w:r>
        <w:rPr>
          <w:rFonts w:ascii="Times New Roman" w:cs="Times New Roman" w:eastAsia="Times New Roman" w:hAnsi="Times New Roman"/>
          <w:sz w:val="18"/>
          <w:szCs w:val="18"/>
        </w:rPr>
        <w:t xml:space="preserve"> Kingma, D.P., Welling, M.: Auto-Encoding Variational Bayes. In: International Conference on Learning Representations (2014).</w:t>
      </w:r>
    </w:p>
    <w:p>
      <w:pPr>
        <w:spacing w:after="40"/>
        <w:ind w:left="340" w:hanging="340"/>
        <w:jc w:val="both"/>
      </w:pPr>
      <w:bookmarkStart w:name="ref17" w:id="17"/>
      <w:r>
        <w:rPr>
          <w:rFonts w:ascii="Times New Roman" w:cs="Times New Roman" w:eastAsia="Times New Roman" w:hAnsi="Times New Roman"/>
          <w:sz w:val="18"/>
          <w:szCs w:val="18"/>
        </w:rPr>
        <w:t xml:space="preserve">[17]</w:t>
      </w:r>
      <w:bookmarkEnd w:id="17"/>
      <w:r>
        <w:rPr>
          <w:rFonts w:ascii="Times New Roman" w:cs="Times New Roman" w:eastAsia="Times New Roman" w:hAnsi="Times New Roman"/>
          <w:sz w:val="18"/>
          <w:szCs w:val="18"/>
        </w:rPr>
        <w:t xml:space="preserve"> Choy, C.B., Xu, D., Gwak, J., Chen, K., Savarese, S.: 3D-R2N2: A Unified Approach for Single and Multi-view 3D Object Reconstruction. In: European Conference on Computer Vision (2016).</w:t>
      </w:r>
    </w:p>
    <w:p>
      <w:pPr>
        <w:spacing w:after="40"/>
        <w:ind w:left="340" w:hanging="340"/>
        <w:jc w:val="both"/>
      </w:pPr>
      <w:bookmarkStart w:name="ref18" w:id="18"/>
      <w:r>
        <w:rPr>
          <w:rFonts w:ascii="Times New Roman" w:cs="Times New Roman" w:eastAsia="Times New Roman" w:hAnsi="Times New Roman"/>
          <w:sz w:val="18"/>
          <w:szCs w:val="18"/>
        </w:rPr>
        <w:t xml:space="preserve">[18]</w:t>
      </w:r>
      <w:bookmarkEnd w:id="18"/>
      <w:r>
        <w:rPr>
          <w:rFonts w:ascii="Times New Roman" w:cs="Times New Roman" w:eastAsia="Times New Roman" w:hAnsi="Times New Roman"/>
          <w:sz w:val="18"/>
          <w:szCs w:val="18"/>
        </w:rPr>
        <w:t xml:space="preserve">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88sqpgkaly2fwfpj7c0l" Type="http://schemas.openxmlformats.org/officeDocument/2006/relationships/hyperlink" Target="mailto:parthasarathy.perumal@gmail.com" TargetMode="External"/><Relationship Id="rId7" Type="http://schemas.openxmlformats.org/officeDocument/2006/relationships/image" Target="media/d8322b8f3ac7dd4efe224649151d118c622b0c6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2026-09-05T09:14:55.678Z</dcterms:created>
  <dcterms:modified xsi:type="dcterms:W3CDTF">2026-09-05T09:14:55.679Z</dcterms:modified>
</cp:coreProperties>
</file>

<file path=docProps/custom.xml><?xml version="1.0" encoding="utf-8"?>
<Properties xmlns="http://schemas.openxmlformats.org/officeDocument/2006/custom-properties" xmlns:vt="http://schemas.openxmlformats.org/officeDocument/2006/docPropsVTypes"/>
</file>