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AI-Assisted 3D Assembly Design — Phase 2 ESA Report</w:t>
        <w:br/>
        <w:t>Text extract for similarity / AI checking</w:t>
        <w:br/>
        <w:t>(Abstract through Conclusion; bibliography excluded)</w:t>
      </w:r>
    </w:p>
    <w:p/>
    <w:p>
      <w:pPr>
        <w:pStyle w:val="Heading1"/>
      </w:pPr>
      <w:r>
        <w:t>Abstract</w:t>
      </w:r>
    </w:p>
    <w:p>
      <w:pPr>
        <w:jc w:val="both"/>
      </w:pPr>
      <w:r>
        <w:t>Computer-aided design packages track geometry and mating constraints with complete fidelity, but they offer no opinion about the assembly being built. They cannot tell an engineer that a bolted joint is missing its nut, suggest which component a partially-built sub-assembly most likely needs next, or propose a shape for that component. That judgement lives entirely in the designer's experience, which makes it scarce, uneven across an organisation, and difficult to audit.</w:t>
      </w:r>
    </w:p>
    <w:p>
      <w:pPr>
        <w:jc w:val="both"/>
      </w:pPr>
      <w:r>
        <w:t>This project addresses that gap with an end-to-end graph neural network system that treats a mechanical assembly as an attributed graph: solid bodies become nodes, and genuine contact surfaces between bodies become edges. The work spans three phases sharing a single trained encoder. Phase 1 detects missing components by framing the problem as inductive link prediction over the assembly graph. Phase 2 recommends which of eight canonical component types most plausibly fills a detected gap, using a learned ranking head trained with Bayesian Personalised Ranking. Phase 3 generates an actual placeable three-dimensional shape for the recommended component through a hybrid generator that prefers retrieving a real part from a bank of training geometry and falls back to a conditional variational autoencoder only when no adequate match exists.</w:t>
      </w:r>
    </w:p>
    <w:p>
      <w:pPr>
        <w:jc w:val="both"/>
      </w:pPr>
      <w:r>
        <w:t>The system was evaluated on a corpus assembled specifically for this project: 749 STEP-format assembly models curated evenly across seven industrial mechanical-part categories, of which 648 parsed into usable graphs containing 25,155 labelled bodies and 46,767 contact edges. Under true five-fold cross-validation, Phase 1 reaches a mean AUC-ROC of 0.9206 (+/-0.0121) and mean average precision of 0.9020 (+/-0.0120). Phase 2 achieves Hit@1 of 0.4093 against a corpus-wide majority-class baseline of 0.3442, with Hit@5 of 0.9101 and mean reciprocal rank of 0.6102. Phase 3 reaches a test intersection-over-union of 0.6459 with a Chamfer distance of 0.0377. All three phases clear the design targets set at the start of the project.</w:t>
      </w:r>
    </w:p>
    <w:p>
      <w:pPr>
        <w:jc w:val="both"/>
      </w:pPr>
      <w:r>
        <w:t>Beyond the three-phase pipeline, this work contributes an octree-based open-surface detector that locates candidate mating joints from raw mesh geometry without requiring a proprietary CAD kernel at inference time; a component-type frequency prior that remains useful even when a single body is uploaded with no graph context; and a natural-language explanation layer built on GNNExplainer attributions that renders predictions as engineering-readable justifications rather than raw importance weights. Two data-quality findings surfaced through exploratory analysis performed after training had already succeeded are reported rather than omitted, as evidence that strong aggregate metrics are not sufficient proof that every input feature is contributing.</w:t>
      </w:r>
    </w:p>
    <w:p>
      <w:pPr>
        <w:jc w:val="both"/>
      </w:pPr>
      <w:r>
        <w:t>0.8em : Graph Neural Networks, CAD Assembly, Link Prediction, Component Recommendation, Shape Generation, Variational Autoencoder, Relational Attention, Explainable AI.</w:t>
      </w:r>
    </w:p>
    <w:p>
      <w:pPr>
        <w:pStyle w:val="Heading1"/>
      </w:pPr>
      <w:r>
        <w:t>Introduction</w:t>
      </w:r>
    </w:p>
    <w:p>
      <w:pPr>
        <w:pStyle w:val="Heading2"/>
      </w:pPr>
      <w:r>
        <w:t>Background</w:t>
      </w:r>
    </w:p>
    <w:p>
      <w:pPr>
        <w:jc w:val="both"/>
      </w:pPr>
      <w:r>
        <w:t>Mechanical assembly design in a modern CAD package — SolidWorks, CATIA, Fusion 360 — remains a manual, expert-driven activity. The software is extremely good at the bookkeeping: it maintains exact geometry, enforces mating constraints, detects interference, and regenerates dependent features when a dimension changes. What it does not do is form any opinion about the assembly it is holding.</w:t>
      </w:r>
    </w:p>
    <w:p>
      <w:pPr>
        <w:jc w:val="both"/>
      </w:pPr>
      <w:r>
        <w:t>Consider an engineer who opens a partially-defined assembly inherited from a colleague. The CAD system will faithfully display whatever bodies are present. It will not observe that a flange has bolt holes with no bolts in them, that a shaft passing through a housing has no retaining nut, or that a valve body of this particular class is normally paired with a gland plate that is absent here. A senior designer notices these things within seconds, drawing on an accumulated memory of how such assemblies are usually built. A junior engineer, or anyone auditing an unfamiliar assembly under time pressure, may not.</w:t>
      </w:r>
    </w:p>
    <w:p>
      <w:pPr>
        <w:jc w:val="both"/>
      </w:pPr>
      <w:r>
        <w:t>This asymmetry is a genuine productivity and quality problem in industrial practice. Incomplete assemblies carry no built-in mechanism that flags what is missing, and there is no standardised way to suggest what should be added. The knowledge exists, but it is held in people rather than in the model, and it does not transfer.</w:t>
      </w:r>
    </w:p>
    <w:p>
      <w:pPr>
        <w:pStyle w:val="Heading2"/>
      </w:pPr>
      <w:r>
        <w:t>Motivation</w:t>
      </w:r>
    </w:p>
    <w:p>
      <w:pPr>
        <w:jc w:val="both"/>
      </w:pPr>
      <w:r>
        <w:t>The structure of the problem suggests a specific class of solution. A rigid mechanical assembly is, in a precise sense, a graph. Solid bodies are the nodes. Physical contact between two bodies — a bolt seated in a hole, a shaft running through a bushing, two plates clamped face to face — is an edge. The geometry of each body can be summarised as a feature vector attached to its node, and the nature of each joint can be summarised as a feature vector attached to its edge.</w:t>
      </w:r>
    </w:p>
    <w:p>
      <w:pPr>
        <w:jc w:val="both"/>
      </w:pPr>
      <w:r>
        <w:t>Graph neural networks are built to learn representations over exactly this kind of irregular relational structure, and they have driven substantial recent progress in adjacent CAD problems. Systems such as BrepGen and SolidGen generate valid boundary-representation solids directly, and CAD-GPT synthesises construction sequences from natural-language spatial reasoning.</w:t>
      </w:r>
    </w:p>
    <w:p>
      <w:pPr>
        <w:jc w:val="both"/>
      </w:pPr>
      <w:r>
        <w:t>What these systems have in common is that they generate whole shapes or whole sequences from a specification or a prior distribution. Comparatively little work targets the narrower and more directly actionable question that a working engineer actually asks: given this partial assembly in front of me, what is missing, what should be added next, and what should it look like? That question is the subject of this project.</w:t>
      </w:r>
    </w:p>
    <w:p>
      <w:pPr>
        <w:jc w:val="both"/>
      </w:pPr>
      <w:r>
        <w:t>A second motivation is practical deployability. A system that requires a licensed CAD kernel API at inference time is difficult to deploy and expensive to scale. This project deliberately constrains itself to operating on STEP exports — a neutral, vendor-independent format that any designer can produce — and on mesh geometry derived from them.</w:t>
      </w:r>
    </w:p>
    <w:p>
      <w:pPr>
        <w:pStyle w:val="Heading2"/>
      </w:pPr>
      <w:r>
        <w:t>Problem Statement</w:t>
      </w:r>
    </w:p>
    <w:p>
      <w:pPr>
        <w:jc w:val="both"/>
      </w:pPr>
      <w:r>
        <w:t>Given a partially-built mechanical assembly supplied as a STEP file, automatically (i) detect which components are missing, (ii) recommend the component type most likely to fill each detected gap, and (iii) generate a placeable three-dimensional shape for that component — while producing an explanation a mechanical engineer can audit, and without depending on a proprietary CAD-kernel API at inference time.</w:t>
      </w:r>
    </w:p>
    <w:p>
      <w:pPr>
        <w:jc w:val="both"/>
      </w:pPr>
      <w:r>
        <w:t>Framing the problem this way raises three practical requirements that shape every design decision in this report.</w:t>
      </w:r>
    </w:p>
    <w:p>
      <w:pPr>
        <w:jc w:val="both"/>
      </w:pPr>
      <w:r>
        <w:t>First, the system must work from geometry a designer can actually produce. Training on a synthetic or hand-labelled graph would make the learning problem easier but the system useless in practice. Accepting a real STEP export instead pushes substantial engineering weight onto the feature-extraction pipeline described in Section , rather than onto the model alone.</w:t>
      </w:r>
    </w:p>
    <w:p>
      <w:pPr>
        <w:jc w:val="both"/>
      </w:pPr>
      <w:r>
        <w:t>Second, detection, recommendation and generation are three different kinds of prediction — an edge score, a categorical ranking, and a continuous three-dimensional shape respectively. Training three unrelated models from scratch would triple both the data requirement and the compute burden for a corpus that, by the standards of large-scale shape datasets , is modest. Sharing a single encoder across all three tasks is a deliberate response to that constraint rather than an implementation convenience.</w:t>
      </w:r>
    </w:p>
    <w:p>
      <w:pPr>
        <w:jc w:val="both"/>
      </w:pPr>
      <w:r>
        <w:t>Third, in an engineering context an incorrect but confident suggestion is arguably worse than no suggestion at all. A designer who trusts a plausible-looking hallucination may propagate an error downstream into manufacturing. This consideration motivates both the retrieval-first bias in the shape generator (Section ) and the explanation layer (Section ): a suggestion the designer cannot audit is one they should not trust.</w:t>
      </w:r>
    </w:p>
    <w:p>
      <w:pPr>
        <w:pStyle w:val="Heading2"/>
      </w:pPr>
      <w:r>
        <w:t>Objectives</w:t>
      </w:r>
    </w:p>
    <w:p>
      <w:pPr>
        <w:jc w:val="both"/>
      </w:pPr>
      <w:r>
        <w:t>The project set the following objectives at the outset, with the measurable targets shown in parentheses. Chapter 6 reports performance against each.</w:t>
      </w:r>
    </w:p>
    <w:p>
      <w:pPr>
        <w:jc w:val="both"/>
      </w:pPr>
      <w:r>
        <w:t>• Construct a curated corpus of real industrial CAD assemblies, balanced across mechanical-part categories, and an automated pipeline that converts STEP files into attributed assembly graphs.</w:t>
      </w:r>
    </w:p>
    <w:p>
      <w:pPr>
        <w:jc w:val="both"/>
      </w:pPr>
      <w:r>
        <w:t>• Design and train a shared graph encoder capable of representing both the geometry of individual bodies and the physical nature of the joints between them.</w:t>
      </w:r>
    </w:p>
    <w:p>
      <w:pPr>
        <w:jc w:val="both"/>
      </w:pPr>
      <w:r>
        <w:t>• Phase 1: Detect missing components via inductive link prediction (target: mean AUC-ROC &gt;= 0.85, mean AP &gt;= 0.82 under true five-fold cross-validation).</w:t>
      </w:r>
    </w:p>
    <w:p>
      <w:pPr>
        <w:jc w:val="both"/>
      </w:pPr>
      <w:r>
        <w:t>• Phase 2: Recommend the most likely missing component type through a learned ranking head (target: Hit@5 &gt;= 0.70, MRR &gt;= 0.60, and Hit@1 genuinely above the majority-class baseline).</w:t>
      </w:r>
    </w:p>
    <w:p>
      <w:pPr>
        <w:jc w:val="both"/>
      </w:pPr>
      <w:r>
        <w:t>• Phase 3: Generate a placeable 3D shape for the recommended component (target: IoU &gt;= 0.35, Chamfer distance &lt;= 0.08).</w:t>
      </w:r>
    </w:p>
    <w:p>
      <w:pPr>
        <w:jc w:val="both"/>
      </w:pPr>
      <w:r>
        <w:t>• Provide interpretability: translate model attributions into engineering-readable natural-language explanations.</w:t>
      </w:r>
    </w:p>
    <w:p>
      <w:pPr>
        <w:jc w:val="both"/>
      </w:pPr>
      <w:r>
        <w:t>• Deliver a working interactive application that runs the complete pipeline against user-uploaded STEP files.</w:t>
      </w:r>
    </w:p>
    <w:p>
      <w:pPr>
        <w:pStyle w:val="Heading2"/>
      </w:pPr>
      <w:r>
        <w:t>Scope of the Project</w:t>
      </w:r>
    </w:p>
    <w:p>
      <w:pPr>
        <w:jc w:val="both"/>
      </w:pPr>
      <w:r>
        <w:t>In scope. The system operates on rigid mechanical assemblies supplied in STEP (ISO 10303) format. It covers seven industrial part categories relevant to fastening and flow-control mechanisms: bench vices, C-clamps, pipe vices, gate valves, press tools, tool posts and crane hooks. Component types are classified into eight canonical classes — long shaft, short shaft, thick plate, thin plate, bolt, washer, nut and body. The deliverable includes a trained three-phase model, a FastAPI backend, and a Streamlit front end that runs the complete detect–rank–generate–explain pipeline live.</w:t>
      </w:r>
    </w:p>
    <w:p>
      <w:pPr>
        <w:jc w:val="both"/>
      </w:pPr>
      <w:r>
        <w:t>Out of scope. The project does not address kinematic simulation, tolerance analysis, stress or thermal analysis, manufacturing process planning, or automatic assembly-sequence generation. It does not perform constraint solving or write mating constraints back into a native CAD file. The conditional-VAE generative fallback is retained as a safety net rather than a validated component: the offline evaluation never invoked it (Section ). Non-rigid components such as gaskets, springs under load, cables and hoses are not modelled. The corpus is domain-specific to fastening and flow-control mechanisms and no claim is made about generalisation beyond that domain.</w:t>
      </w:r>
    </w:p>
    <w:p>
      <w:pPr>
        <w:pStyle w:val="Heading2"/>
      </w:pPr>
      <w:r>
        <w:t>Organization of the Report</w:t>
      </w:r>
    </w:p>
    <w:p>
      <w:pPr>
        <w:jc w:val="both"/>
      </w:pPr>
      <w:r>
        <w:t>Chapter 2 surveys related work across generative CAD modelling, graph representation learning, mechanical part datasets and model interpretability, and identifies the specific gap this project addresses. Chapter 3 states the system requirements — functional, non-functional, hardware and software. Chapter 4 presents the proposed methodology: the graph construction pipeline, the feature engineering, the shared encoder, and the three task heads. Chapter 5 covers implementation, including the corpus construction, the training protocol, the evaluation metrics, and the engineering problems encountered and solved during development. Chapter 6 reports and discusses results for all three phases, together with the development history and two data-quality findings from exploratory analysis. Chapter 7 walks through the deployed application using screenshots of the running system, including the reconstruction of missing components. Chapter 8 describes testing and validation, and Chapter 9 concludes and sets out directions for future work.</w:t>
      </w:r>
    </w:p>
    <w:p>
      <w:pPr>
        <w:pStyle w:val="Heading1"/>
      </w:pPr>
      <w:r>
        <w:t>Literature Survey</w:t>
      </w:r>
    </w:p>
    <w:p>
      <w:pPr>
        <w:jc w:val="both"/>
      </w:pPr>
      <w:r>
        <w:t>This chapter reviews the research this project builds on, grouped into five themes, and closes by stating the gap the project addresses.</w:t>
      </w:r>
    </w:p>
    <w:p>
      <w:pPr>
        <w:pStyle w:val="Heading2"/>
      </w:pPr>
      <w:r>
        <w:t>Generative CAD Models</w:t>
      </w:r>
    </w:p>
    <w:p>
      <w:pPr>
        <w:jc w:val="both"/>
      </w:pPr>
      <w:r>
        <w:t>Recent research has concentrated on generating CAD geometry directly. BrepGen applies a structured latent diffusion model to synthesise valid boundary-representation (B-Rep) solids, addressing the difficult constraint that a generated B-Rep must be topologically well-formed, not merely visually plausible. SolidGen takes an autoregressive approach over B-Rep topology and geometry, generating faces, edges and vertices in sequence. CAD-GPT works at a different level of abstraction altogether, synthesising CAD construction sequences — the ordered list of modelling operations — from natural-language spatial reasoning.</w:t>
      </w:r>
    </w:p>
    <w:p>
      <w:pPr>
        <w:jc w:val="both"/>
      </w:pPr>
      <w:r>
        <w:t>These systems are impressive and technically distinct from one another, but they share an orientation that matters here: each generates an individual part or a complete design from a specification or a prior distribution. None of them consumes a partially-built assembly and reasons about which specific component is absent from it. The problem addressed in this report is therefore complementary to this line of work rather than competing with it.</w:t>
      </w:r>
    </w:p>
    <w:p>
      <w:pPr>
        <w:pStyle w:val="Heading2"/>
      </w:pPr>
      <w:r>
        <w:t>Graph Neural Networks for Structural and Link-Level Reasoning</w:t>
      </w:r>
    </w:p>
    <w:p>
      <w:pPr>
        <w:jc w:val="both"/>
      </w:pPr>
      <w:r>
        <w:t>Graph convolutional and attention architectures established the modern toolkit for learning over irregular relational data. Kipf and Welling's graph convolutional network introduced the spectral-approximation formulation that made deep learning on graphs practical at scale. Graph Attention Networks replaced fixed neighbourhood weighting with learned attention, allowing a node to weight its neighbours by relevance. GraphSAGE contributed the inductive sampling-and-aggregation framework that permits inference on graphs never seen during training — a property this project depends on directly, since the system must reason about assemblies uploaded after training has finished.</w:t>
      </w:r>
    </w:p>
    <w:p>
      <w:pPr>
        <w:jc w:val="both"/>
      </w:pPr>
      <w:r>
        <w:t>Relational variants extend this further. RGATConv adds per-edge-type parameters to the attention mechanism. This is the mechanism the present work builds on most directly, for a physically motivated reason: the type of a mechanical joint — rigid, revolute, slider or cylindrical — materially changes how two connected bodies ought to influence each other's representation. A bolt rigidly fixed into a plate and a shaft free to rotate within a bushing are topologically identical neighbour relationships but mechanically quite different, and a model that cannot distinguish them is discarding information a mechanical engineer would consider fundamental.</w:t>
      </w:r>
    </w:p>
    <w:p>
      <w:pPr>
        <w:jc w:val="both"/>
      </w:pPr>
      <w:r>
        <w:t>A recent theoretical analysis raises a caution worth recording. It questions how much of the reported performance of standard link-prediction models is genuinely attributable to learned features, as opposed to simple structural heuristics such as common-neighbour counts that the model can recover trivially. The node features used in this project are dominated by affine-invariant shape descriptors rather than pure topology, which should make the encoder less susceptible to that particular failure mode — though no claim is made here to have isolated the effect experimentally.</w:t>
      </w:r>
    </w:p>
    <w:p>
      <w:pPr>
        <w:jc w:val="both"/>
      </w:pPr>
      <w:r>
        <w:t>Heterogeneous graph contrastive learning offers a self-supervised alternative to the supervised link-prediction and ranking objectives adopted in this work. It was not pursued here, primarily because the corpus provides reliable supervised labels — real contact edges are directly observable from geometry — but it remains a reasonable direction for a larger, more weakly-labelled corpus.</w:t>
      </w:r>
    </w:p>
    <w:p>
      <w:pPr>
        <w:pStyle w:val="Heading2"/>
      </w:pPr>
      <w:r>
        <w:t>CAD and Mechanical Part Datasets</w:t>
      </w:r>
    </w:p>
    <w:p>
      <w:pPr>
        <w:jc w:val="both"/>
      </w:pPr>
      <w:r>
        <w:t>Large open datasets have been central to progress in learned shape understanding. ABC provides a very large collection of CAD models with parametric boundary representations, and PartNet contributes fine-grained, hierarchical part-level segmentation.</w:t>
      </w:r>
    </w:p>
    <w:p>
      <w:pPr>
        <w:jc w:val="both"/>
      </w:pPr>
      <w:r>
        <w:t>Both, however, are dominated by consumer objects and generic geometry — chairs, lamps, household items — rather than the industrial, fastener- and joint-heavy assemblies that this system targets. A model trained predominantly on furniture has little opportunity to learn that a bolt through a flange usually implies a nut on the far side. This mismatch is the reason the present project builds and curates its own corpus, described in Section , rather than adopting an existing benchmark. That decision cost considerable effort but was, in retrospect, unavoidable.</w:t>
      </w:r>
    </w:p>
    <w:p>
      <w:pPr>
        <w:pStyle w:val="Heading2"/>
      </w:pPr>
      <w:r>
        <w:t>Interpretability</w:t>
      </w:r>
    </w:p>
    <w:p>
      <w:pPr>
        <w:jc w:val="both"/>
      </w:pPr>
      <w:r>
        <w:t>GNNExplainer produces post-hoc subgraph and feature attributions for a trained graph neural network's prediction, identifying which edges and which input features most influenced a particular output. It is used in this project as the numerical backbone of the explanation layer.</w:t>
      </w:r>
    </w:p>
    <w:p>
      <w:pPr>
        <w:jc w:val="both"/>
      </w:pPr>
      <w:r>
        <w:t>The design choice made here is what happens to those attributions afterwards. Presenting a mechanical engineer with a ranked list of feature-importance weights is not useful; the quantity being explained is not one they reason about. Section describes how those scores are instead translated into engineering language — identifying a detected pattern as an incomplete fastening operation, for instance, and naming which specific joints require completion.</w:t>
      </w:r>
    </w:p>
    <w:p>
      <w:pPr>
        <w:pStyle w:val="Heading2"/>
      </w:pPr>
      <w:r>
        <w:t>Ranking and Generative Objectives</w:t>
      </w:r>
    </w:p>
    <w:p>
      <w:pPr>
        <w:jc w:val="both"/>
      </w:pPr>
      <w:r>
        <w:t>The Phase 2 ranking head is trained using Bayesian Personalised Ranking (BPR) , an objective originally proposed for implicit-feedback recommender systems. Its adoption here rests on a structural correspondence: next-component recommendation requires ranking a small candidate set given an incomplete context, with only relative rather than absolute preference labels available per assembly. That is precisely the setting BPR was formulated for.</w:t>
      </w:r>
    </w:p>
    <w:p>
      <w:pPr>
        <w:jc w:val="both"/>
      </w:pPr>
      <w:r>
        <w:t>The Phase 3 generative fallback is a conditional variational autoencoder operating on a voxel occupancy grid. The voxel representation follows that used by 3D-R2N2 for single- and multi-view 3D reconstruction, though conditioned here on the frozen encoder's assembly-context vector rather than on an image.</w:t>
      </w:r>
    </w:p>
    <w:p>
      <w:pPr>
        <w:jc w:val="both"/>
      </w:pPr>
      <w:r>
        <w:t>For completeness, shallow structure-only embedding methods such as node2vec were considered and rejected. They learn node representations from random-walk co-occurrence alone, with no mechanism to consume continuous node or edge attributes. For an assembly graph whose nodes carry rich geometric descriptors and whose edges carry a physically meaningful joint-type label, discarding that information would forfeit most of the available signal.</w:t>
      </w:r>
    </w:p>
    <w:p>
      <w:pPr>
        <w:pStyle w:val="Heading2"/>
      </w:pPr>
      <w:r>
        <w:t>Research Gap and Summary</w:t>
      </w:r>
    </w:p>
    <w:p>
      <w:pPr>
        <w:jc w:val="both"/>
      </w:pPr>
      <w:r>
        <w:t>Table summarises the surveyed work against the capabilities this project requires.</w:t>
      </w:r>
    </w:p>
    <w:p>
      <w:r>
        <w:rPr>
          <w:i/>
        </w:rPr>
        <w:t>Table: Surveyed approaches against the capabilities required by this project.</w:t>
      </w:r>
    </w:p>
    <w:p>
      <w:r>
        <w:t>[h] @L3.1cmXC1.9cmC1.9cm@ Work | Contribution | Consumes partial assembly? | Suggests missing part?</w:t>
      </w:r>
    </w:p>
    <w:p>
      <w:r>
        <w:t>BrepGen | Latent diffusion over B-Rep solids | No | No</w:t>
      </w:r>
    </w:p>
    <w:p>
      <w:r>
        <w:t>SolidGen | Autoregressive B-Rep synthesis | No | No</w:t>
      </w:r>
    </w:p>
    <w:p>
      <w:r>
        <w:t>CAD-GPT | Construction sequences from language | No | No</w:t>
      </w:r>
    </w:p>
    <w:p>
      <w:r>
        <w:t>GCN / GAT / GraphSAGE | Core graph-learning architectures | N/A | N/A</w:t>
      </w:r>
    </w:p>
    <w:p>
      <w:r>
        <w:t>RGATConv | Per-edge-type relational attention | N/A | N/A</w:t>
      </w:r>
    </w:p>
    <w:p>
      <w:r>
        <w:t>ABC , PartNet | Large CAD/part datasets | N/A | No</w:t>
      </w:r>
    </w:p>
    <w:p>
      <w:r>
        <w:t>GNNExplainer | Post-hoc GNN attribution | N/A | N/A</w:t>
      </w:r>
    </w:p>
    <w:p>
      <w:r>
        <w:t>This work | Detect, rank and generate missing components | Yes | Yes</w:t>
      </w:r>
    </w:p>
    <w:p>
      <w:pPr>
        <w:jc w:val="both"/>
      </w:pPr>
      <w:r>
        <w:t>The gap is clear enough to state in one sentence. Generative CAD research produces new geometry but does not reason about incompleteness; graph learning research provides the architectural tools but has not been applied to mechanical assembly completion on real STEP geometry; and the available part datasets do not cover the industrial assembly domain where the problem actually arises. This project sits at the intersection of the three: it applies relational graph learning to a purpose-built industrial corpus in order to detect, rank and generate missing assembly components, and it explains its own predictions.</w:t>
      </w:r>
    </w:p>
    <w:p>
      <w:pPr>
        <w:pStyle w:val="Heading1"/>
      </w:pPr>
      <w:r>
        <w:t>System Requirements Specification</w:t>
      </w:r>
    </w:p>
    <w:p>
      <w:pPr>
        <w:pStyle w:val="Heading2"/>
      </w:pPr>
      <w:r>
        <w:t>Introduction</w:t>
      </w:r>
    </w:p>
    <w:p>
      <w:pPr>
        <w:jc w:val="both"/>
      </w:pPr>
      <w:r>
        <w:t>This chapter specifies what the system must do, the constraints under which it must operate, and the environment required to build and run it. The requirements were fixed early in Project Phase 1 and revised once, at the Phase 2 boundary, when shape generation was added as a third phase.</w:t>
      </w:r>
    </w:p>
    <w:p>
      <w:pPr>
        <w:pStyle w:val="Heading3"/>
      </w:pPr>
      <w:r>
        <w:t>Project Scope</w:t>
      </w:r>
    </w:p>
    <w:p>
      <w:pPr>
        <w:jc w:val="both"/>
      </w:pPr>
      <w:r>
        <w:t>The software accepts a STEP-format assembly file, converts it into an attributed graph, and runs three inference stages over a shared encoder to detect missing components, recommend a replacement component type, and generate a placeable 3D shape for it. Results are presented through a browser interface together with a natural-language explanation. The system is designed for single-user interactive operation on a workstation rather than for multi-tenant deployment.</w:t>
      </w:r>
    </w:p>
    <w:p>
      <w:pPr>
        <w:pStyle w:val="Heading2"/>
      </w:pPr>
      <w:r>
        <w:t>Product Perspective</w:t>
      </w:r>
    </w:p>
    <w:p>
      <w:pPr>
        <w:jc w:val="both"/>
      </w:pPr>
      <w:r>
        <w:t>The system is self-contained and does not integrate into any CAD package's plugin architecture. It consumes the neutral STEP interchange format, which every major CAD system can export. This decision keeps the system vendor-independent and avoids any licensed-API dependency at inference time, at the cost of losing access to the originating system's parametric feature tree.</w:t>
      </w:r>
    </w:p>
    <w:p>
      <w:pPr>
        <w:pStyle w:val="Heading3"/>
      </w:pPr>
      <w:r>
        <w:t>Product Features</w:t>
      </w:r>
    </w:p>
    <w:p>
      <w:pPr>
        <w:jc w:val="both"/>
      </w:pPr>
      <w:r>
        <w:t>• STEP file upload and automated parsing into an assembly graph.</w:t>
      </w:r>
    </w:p>
    <w:p>
      <w:pPr>
        <w:jc w:val="both"/>
      </w:pPr>
      <w:r>
        <w:t>• Missing-component detection with per-candidate confidence scores.</w:t>
      </w:r>
    </w:p>
    <w:p>
      <w:pPr>
        <w:jc w:val="both"/>
      </w:pPr>
      <w:r>
        <w:t>• Next-component type recommendation with ranked alternatives.</w:t>
      </w:r>
    </w:p>
    <w:p>
      <w:pPr>
        <w:jc w:val="both"/>
      </w:pPr>
      <w:r>
        <w:t>• 3D shape generation for the recommended component, exportable as a mesh.</w:t>
      </w:r>
    </w:p>
    <w:p>
      <w:pPr>
        <w:jc w:val="both"/>
      </w:pPr>
      <w:r>
        <w:t>• Octree-based open-surface detection indicating where on the model a component is likely missing.</w:t>
      </w:r>
    </w:p>
    <w:p>
      <w:pPr>
        <w:jc w:val="both"/>
      </w:pPr>
      <w:r>
        <w:t>• Natural-language explanation of each prediction.</w:t>
      </w:r>
    </w:p>
    <w:p>
      <w:pPr>
        <w:jc w:val="both"/>
      </w:pPr>
      <w:r>
        <w:t>• Interactive 3D visualisation of the uploaded assembly and the generated component.</w:t>
      </w:r>
    </w:p>
    <w:p>
      <w:pPr>
        <w:pStyle w:val="Heading3"/>
      </w:pPr>
      <w:r>
        <w:t>Assumptions, Dependencies and Constraints</w:t>
      </w:r>
    </w:p>
    <w:p>
      <w:pPr>
        <w:jc w:val="both"/>
      </w:pPr>
      <w:r>
        <w:t>• Assumption: Uploaded assemblies are rigid-body mechanical assemblies within, or close to, the seven trained categories.</w:t>
      </w:r>
    </w:p>
    <w:p>
      <w:pPr>
        <w:jc w:val="both"/>
      </w:pPr>
      <w:r>
        <w:t>• Assumption: Bodies in the STEP file are geometrically distinct solids that can be fragmented and separated by the parsing kernel.</w:t>
      </w:r>
    </w:p>
    <w:p>
      <w:pPr>
        <w:jc w:val="both"/>
      </w:pPr>
      <w:r>
        <w:t>• Dependency: The gmsh/OpenCASCADE geometry kernel must be able to parse the supplied file within the configured timeout.</w:t>
      </w:r>
    </w:p>
    <w:p>
      <w:pPr>
        <w:jc w:val="both"/>
      </w:pPr>
      <w:r>
        <w:t>• Dependency: Natural-language explanation requires a valid GEMINI_API_KEY; the system degrades gracefully to numeric attributions without it.</w:t>
      </w:r>
    </w:p>
    <w:p>
      <w:pPr>
        <w:jc w:val="both"/>
      </w:pPr>
      <w:r>
        <w:t>• Constraint: Inference runs on a single Apple-Silicon GPU via the Metal Performance Shaders backend; no CUDA dependency exists.</w:t>
      </w:r>
    </w:p>
    <w:p>
      <w:pPr>
        <w:jc w:val="both"/>
      </w:pPr>
      <w:r>
        <w:t>• Constraint: The conditional-VAE fallback operates on a 32^3 voxel grid, which bounds achievable geometric detail.</w:t>
      </w:r>
    </w:p>
    <w:p>
      <w:pPr>
        <w:pStyle w:val="Heading2"/>
      </w:pPr>
      <w:r>
        <w:t>Functional Requirements</w:t>
      </w:r>
    </w:p>
    <w:p>
      <w:r>
        <w:rPr>
          <w:i/>
        </w:rPr>
        <w:t>Table: Functional requirements.</w:t>
      </w:r>
    </w:p>
    <w:p>
      <w:r>
        <w:t>[h] @C1.4cmX@ ID | Requirement</w:t>
      </w:r>
    </w:p>
    <w:p>
      <w:r>
        <w:t>FR-1 | The system shall accept a STEP (.step/.stp) file uploaded through the web interface.</w:t>
      </w:r>
    </w:p>
    <w:p>
      <w:r>
        <w:t>FR-2 | The system shall fragment the file into individual solid bodies and construct an attributed graph with one node per body.</w:t>
      </w:r>
    </w:p>
    <w:p>
      <w:r>
        <w:t>FR-3 | The system shall create an edge between two bodies only where their boundary face sets physically intersect after fragmentation.</w:t>
      </w:r>
    </w:p>
    <w:p>
      <w:r>
        <w:t>FR-4 | The system shall extract a 34-dimensional geometric feature vector for every node and a 6-dimensional feature vector for every edge.</w:t>
      </w:r>
    </w:p>
    <w:p>
      <w:r>
        <w:t>FR-5 | The system shall classify each body into one of eight canonical component types.</w:t>
      </w:r>
    </w:p>
    <w:p>
      <w:r>
        <w:t>FR-6 | The system shall score candidate body pairs and flag probable missing components (Phase 1).</w:t>
      </w:r>
    </w:p>
    <w:p>
      <w:r>
        <w:t>FR-7 | The system shall rank the eight candidate component types for a detected gap and return them in order of likelihood (Phase 2).</w:t>
      </w:r>
    </w:p>
    <w:p>
      <w:r>
        <w:t>FR-8 | The system shall generate a 3D mesh for the top-ranked component, preferring retrieval from the part bank over generation (Phase 3).</w:t>
      </w:r>
    </w:p>
    <w:p>
      <w:r>
        <w:t>FR-9 | The system shall identify candidate open mating surfaces using octree spatial partitioning.</w:t>
      </w:r>
    </w:p>
    <w:p>
      <w:r>
        <w:t>FR-10 | The system shall produce a natural-language explanation of each prediction.</w:t>
      </w:r>
    </w:p>
    <w:p>
      <w:r>
        <w:t>FR-11 | The system shall render the uploaded assembly and the generated component in an interactive 3D viewer.</w:t>
      </w:r>
    </w:p>
    <w:p>
      <w:r>
        <w:t>FR-12 | The system shall allow the generated mesh to be exported for downstream use.</w:t>
      </w:r>
    </w:p>
    <w:p>
      <w:pPr>
        <w:pStyle w:val="Heading2"/>
      </w:pPr>
      <w:r>
        <w:t>Non-Functional Requirements</w:t>
      </w:r>
    </w:p>
    <w:p>
      <w:r>
        <w:rPr>
          <w:i/>
        </w:rPr>
        <w:t>Table: Non-functional requirements.</w:t>
      </w:r>
    </w:p>
    <w:p>
      <w:r>
        <w:t>[h] @C1.4cmL2.9cmX@ ID | Attribute | Requirement</w:t>
      </w:r>
    </w:p>
    <w:p>
      <w:r>
        <w:t>NFR-1 | Performance | The complete detect -&gt; rank -&gt; generate -&gt; explain pipeline shall finish within approximately 30 seconds for a typical four-body assembly.</w:t>
      </w:r>
    </w:p>
    <w:p>
      <w:r>
        <w:t>NFR-2 | Reliability | Parsing failures shall be caught and reported without terminating the session; a bounded-timeout retry policy shall apply.</w:t>
      </w:r>
    </w:p>
    <w:p>
      <w:r>
        <w:t>NFR-3 | Reproducibility | Cross-validation splits shall be seeded per fold and per graph so that reported metrics are exactly reproducible from the same corpus snapshot.</w:t>
      </w:r>
    </w:p>
    <w:p>
      <w:r>
        <w:t>NFR-4 | Portability | The system shall run on macOS with Apple Silicon without requiring CUDA or a licensed CAD kernel.</w:t>
      </w:r>
    </w:p>
    <w:p>
      <w:r>
        <w:t>NFR-5 | Usability | Predictions shall be accompanied by an explanation in mechanical-engineering vocabulary rather than raw attribution weights.</w:t>
      </w:r>
    </w:p>
    <w:p>
      <w:r>
        <w:t>NFR-6 | Maintainability | All hyperparameters and data paths shall reside in a single configuration file rather than being embedded in source code.</w:t>
      </w:r>
    </w:p>
    <w:p>
      <w:r>
        <w:t>NFR-7 | Resource bounds | Training shall remain within the 20.13 GB Metal Performance Shaders allocation ceiling of the development machine.</w:t>
      </w:r>
    </w:p>
    <w:p>
      <w:r>
        <w:t>NFR-8 | Graceful degradation | Absence of the language-model API key shall disable explanations only, leaving all numeric predictions intact.</w:t>
      </w:r>
    </w:p>
    <w:p>
      <w:pPr>
        <w:pStyle w:val="Heading2"/>
      </w:pPr>
      <w:r>
        <w:t>System Environment</w:t>
      </w:r>
    </w:p>
    <w:p>
      <w:pPr>
        <w:pStyle w:val="Heading3"/>
      </w:pPr>
      <w:r>
        <w:t>Hardware Requirements</w:t>
      </w:r>
    </w:p>
    <w:p>
      <w:r>
        <w:rPr>
          <w:i/>
        </w:rPr>
        <w:t>Table: Hardware environment used for development and training.</w:t>
      </w:r>
    </w:p>
    <w:p>
      <w:r>
        <w:t>[h] @L4.2cmX@ Component | Specification</w:t>
      </w:r>
    </w:p>
    <w:p>
      <w:r>
        <w:t>Machine | Apple MacBook Pro, Apple Silicon (M-series)</w:t>
      </w:r>
    </w:p>
    <w:p>
      <w:r>
        <w:t>Processor | Apple Silicon SoC with unified memory architecture</w:t>
      </w:r>
    </w:p>
    <w:p>
      <w:r>
        <w:t>System memory | 16 GB unified</w:t>
      </w:r>
    </w:p>
    <w:p>
      <w:r>
        <w:t>GPU acceleration | Metal Performance Shaders (MPS) backend, 20.13 GB allocation ceiling</w:t>
      </w:r>
    </w:p>
    <w:p>
      <w:r>
        <w:t>Storage | Approximately 40 GB for corpus, processed graphs, part bank and checkpoints</w:t>
      </w:r>
    </w:p>
    <w:p>
      <w:r>
        <w:t>Minimum to run inference | 8 GB RAM; GPU optional (CPU inference supported, slower)</w:t>
      </w:r>
    </w:p>
    <w:p>
      <w:pPr>
        <w:pStyle w:val="Heading3"/>
      </w:pPr>
      <w:r>
        <w:t>Software Requirements</w:t>
      </w:r>
    </w:p>
    <w:p>
      <w:r>
        <w:rPr>
          <w:i/>
        </w:rPr>
        <w:t>Table: Software environment.</w:t>
      </w:r>
    </w:p>
    <w:p>
      <w:r>
        <w:t>[h] @L4.2cmX@ Component | Specification</w:t>
      </w:r>
    </w:p>
    <w:p>
      <w:r>
        <w:t>Operating system | macOS (Darwin 25.x)</w:t>
      </w:r>
    </w:p>
    <w:p>
      <w:r>
        <w:t>Language | Python 3.12.5</w:t>
      </w:r>
    </w:p>
    <w:p>
      <w:r>
        <w:t>Deep learning | PyTorch 2.12.0 with MPS backend</w:t>
      </w:r>
    </w:p>
    <w:p>
      <w:r>
        <w:t>Graph learning | PyTorch Geometric 2.7.0</w:t>
      </w:r>
    </w:p>
    <w:p>
      <w:r>
        <w:t>Geometry kernel | gmsh with OpenCASCADE</w:t>
      </w:r>
    </w:p>
    <w:p>
      <w:r>
        <w:t>Mesh processing | trimesh</w:t>
      </w:r>
    </w:p>
    <w:p>
      <w:r>
        <w:t>Backend service | FastAPI</w:t>
      </w:r>
    </w:p>
    <w:p>
      <w:r>
        <w:t>Front end | Streamlit</w:t>
      </w:r>
    </w:p>
    <w:p>
      <w:r>
        <w:t>Explanation agent | Google Gemini API</w:t>
      </w:r>
    </w:p>
    <w:p>
      <w:r>
        <w:t>Environment management | uv, Python virtual environment</w:t>
      </w:r>
    </w:p>
    <w:p>
      <w:pPr>
        <w:pStyle w:val="Heading2"/>
      </w:pPr>
      <w:r>
        <w:t>Use Cases</w:t>
      </w:r>
    </w:p>
    <w:p>
      <w:pPr>
        <w:jc w:val="both"/>
      </w:pPr>
      <w:r>
        <w:t>Four primary use cases drive the interface design. Table summarises them; the two most important are described below in full.</w:t>
      </w:r>
    </w:p>
    <w:p>
      <w:r>
        <w:rPr>
          <w:i/>
        </w:rPr>
        <w:t>Table: Primary use cases.</w:t>
      </w:r>
    </w:p>
    <w:p>
      <w:r>
        <w:t>[h] @C1.4cmL4.0cmXC2.0cm@ ID | Use case | Primary actor's goal | Phases used</w:t>
      </w:r>
    </w:p>
    <w:p>
      <w:r>
        <w:t>UC-1 | Audit an inherited assembly | Determine whether anything is missing from a partially-defined assembly | 1, supporting</w:t>
      </w:r>
    </w:p>
    <w:p>
      <w:r>
        <w:t>UC-2 | Complete a detected gap | Obtain a component-type recommendation and a placeable shape for it | 1, 2, 3</w:t>
      </w:r>
    </w:p>
    <w:p>
      <w:r>
        <w:t>UC-3 | Reason about a single body | Get a plausible next-component suggestion with no surrounding assembly context | Template prior</w:t>
      </w:r>
    </w:p>
    <w:p>
      <w:r>
        <w:t>UC-4 | Justify a suggestion | Understand why the system proposed a particular component | Explanation layer</w:t>
      </w:r>
    </w:p>
    <w:p>
      <w:pPr>
        <w:jc w:val="both"/>
      </w:pPr>
      <w:r>
        <w:t>UC-1: Audit an inherited assembly. The designer uploads a STEP file they did not author. The system parses it, builds the assembly graph, scores every non-adjacent body pair, and returns those whose best candidate connection scores anomalously low relative to structurally similar peers. In parallel, the octree detector reports clusters of unmated free surface. The designer sees both signals, and the interface distinguishes between locations where the two agree — a strong claim — and where only one fires.</w:t>
      </w:r>
    </w:p>
    <w:p>
      <w:pPr>
        <w:jc w:val="both"/>
      </w:pPr>
      <w:r>
        <w:t>The precondition is a parseable STEP file containing at least two distinct solid bodies. The main alternative flow is a parse failure: the bounded-timeout policy aborts, and the system reports which stage failed rather than silently returning an empty graph.</w:t>
      </w:r>
    </w:p>
    <w:p>
      <w:pPr>
        <w:jc w:val="both"/>
      </w:pPr>
      <w:r>
        <w:t>UC-2: Complete a detected gap. Having accepted a detection from UC-1, the designer requests a completion. The ranking head returns the eight component types in likelihood order. For the top-ranked type the hybrid generator queries the part bank; if a match clears the type-dependent threshold, that real mesh is returned, and if not the conditional VAE produces a novel shape. The result is displayed in the 3D viewer and can be exported.</w:t>
      </w:r>
    </w:p>
    <w:p>
      <w:pPr>
        <w:jc w:val="both"/>
      </w:pPr>
      <w:r>
        <w:t>The postcondition worth noting is that the system always reports which strategy produced the geometry. A retrieved part and a generated one carry different confidence, and collapsing that distinction would mislead the user in exactly the situation where the stakes are highest.</w:t>
      </w:r>
    </w:p>
    <w:p>
      <w:pPr>
        <w:pStyle w:val="Heading2"/>
      </w:pPr>
      <w:r>
        <w:t>System Context</w:t>
      </w:r>
    </w:p>
    <w:p>
      <w:pPr>
        <w:jc w:val="both"/>
      </w:pPr>
      <w:r>
        <w:t>The system occupies a deliberately narrow position in a designer's workflow. It does not replace the CAD package, integrate into its plugin architecture, or write back into a native file format. It consumes a neutral STEP export and returns advice plus optional geometry.</w:t>
      </w:r>
    </w:p>
    <w:p>
      <w:r>
        <w:rPr>
          <w:i/>
        </w:rPr>
        <w:t>Table: External interfaces.</w:t>
      </w:r>
    </w:p>
    <w:p>
      <w:r>
        <w:t>[h] @L3.4cmL3.0cmX@ Interface | Direction | Content</w:t>
      </w:r>
    </w:p>
    <w:p>
      <w:r>
        <w:t>STEP upload | Inbound | ISO 10303 assembly file from any CAD package</w:t>
      </w:r>
    </w:p>
    <w:p>
      <w:r>
        <w:t>Mesh export | Outbound | Generated or retrieved component geometry</w:t>
      </w:r>
    </w:p>
    <w:p>
      <w:r>
        <w:t>Language model API | Outbound | Structured attribution bundle for explanation</w:t>
      </w:r>
    </w:p>
    <w:p>
      <w:r>
        <w:t>Part bank | Internal | Indexed geometry from the training corpus</w:t>
      </w:r>
    </w:p>
    <w:p>
      <w:r>
        <w:t>Model checkpoints | Internal | Encoder, ranking head, shape VAE</w:t>
      </w:r>
    </w:p>
    <w:p>
      <w:pPr>
        <w:jc w:val="both"/>
      </w:pPr>
      <w:r>
        <w:t>This narrowness is a design position rather than a limitation of effort. Writing mating constraints back into a native CAD file would require a licensed kernel API at inference time, which the project explicitly set out to avoid.</w:t>
      </w:r>
    </w:p>
    <w:p>
      <w:pPr>
        <w:pStyle w:val="Heading1"/>
      </w:pPr>
      <w:r>
        <w:t>Proposed Methodology</w:t>
      </w:r>
    </w:p>
    <w:p>
      <w:pPr>
        <w:pStyle w:val="Heading2"/>
      </w:pPr>
      <w:r>
        <w:t>System Architecture</w:t>
      </w:r>
    </w:p>
    <w:p>
      <w:pPr>
        <w:jc w:val="both"/>
      </w:pPr>
      <w:r>
        <w:t>Figure summarises the complete pipeline. A STEP file is converted into an attributed graph, encoded once by a shared relational-attention network, and processed by three task heads. Two supporting modules — the AssemblyTemplateDB prior and the octree open-surface detector — operate independently of the encoder and contribute their evidence directly at the explanation layer alongside the task heads' outputs.</w:t>
      </w:r>
    </w:p>
    <w:p>
      <w:r>
        <w:rPr>
          <w:i/>
        </w:rPr>
        <w:t>Figure: System pipeline: one shared frozen encoder feeds three task heads and a live explanation layer.</w:t>
      </w:r>
    </w:p>
    <w:p>
      <w:pPr>
        <w:jc w:val="both"/>
      </w:pPr>
      <w:r>
        <w:t>The single most consequential architectural decision is the shared, frozen encoder. The encoder is trained exactly once, end-to-end with the Phase 1 link-prediction head. It is then frozen, and every subsequent head trains only its own comparatively small parameter set on top of the fixed embeddings the encoder produces. The Phase 2 ranking head, for example, contains roughly 4,200 parameters in its projection layer against the encoder's several hundred thousand.</w:t>
      </w:r>
    </w:p>
    <w:p>
      <w:pPr>
        <w:jc w:val="both"/>
      </w:pPr>
      <w:r>
        <w:t>This has three consequences worth stating. It keeps the marginal cost of adding a task head very low, which is what made a three-phase project feasible on a modest corpus and a single machine. It guarantees that all three phases reason over a consistent representation of the assembly. And it means a Phase 1 retrain invalidates the downstream heads, which must be retrained afterwards — a real operational constraint that is documented in the project's own configuration notes.</w:t>
      </w:r>
    </w:p>
    <w:p>
      <w:pPr>
        <w:pStyle w:val="Heading2"/>
      </w:pPr>
      <w:r>
        <w:t>Graph Construction</w:t>
      </w:r>
    </w:p>
    <w:p>
      <w:pPr>
        <w:jc w:val="both"/>
      </w:pPr>
      <w:r>
        <w:t>Each STEP assembly file is parsed using gmsh with the OpenCASCADE kernel, divided into individual solid bodies, and transformed into an attributed graph: one node per solid body, and one edge for each pair of bodies whose boundary face sets physically intersect after fragmentation.</w:t>
      </w:r>
    </w:p>
    <w:p>
      <w:pPr>
        <w:jc w:val="both"/>
      </w:pPr>
      <w:r>
        <w:t>The word intersect is doing important work in that sentence. An edge represents a genuine shared contact surface, not spatial proximity. Two bodies that sit adjacent to one another without touching receive no edge regardless of how close they are, because no shared boundary exists after fragmentation. This is a deliberate departure from the distance-threshold approach that is common in point-cloud work, and it matters: a bolt passing near a hole is a different mechanical situation from a bolt seated in it, and a proximity threshold cannot tell those apart.</w:t>
      </w:r>
    </w:p>
    <w:p>
      <w:pPr>
        <w:pStyle w:val="Heading2"/>
      </w:pPr>
      <w:r>
        <w:t>Feature Engineering</w:t>
      </w:r>
    </w:p>
    <w:p>
      <w:pPr>
        <w:pStyle w:val="Heading3"/>
      </w:pPr>
      <w:r>
        <w:t>Node Features (34 dimensions)</w:t>
      </w:r>
    </w:p>
    <w:p>
      <w:pPr>
        <w:jc w:val="both"/>
      </w:pPr>
      <w:r>
        <w:t>Every body carries a 34-dimensional feature vector, composed as follows.</w:t>
      </w:r>
    </w:p>
    <w:p>
      <w:r>
        <w:rPr>
          <w:i/>
        </w:rPr>
        <w:t>Table: Node feature vector composition (34 dimensions).</w:t>
      </w:r>
    </w:p>
    <w:p>
      <w:r>
        <w:t>[h] @C1.3cmL4.6cmX@ Dims | Group | Description</w:t>
      </w:r>
    </w:p>
    <w:p>
      <w:r>
        <w:t>8 | Component type (one-hot) | long shaft, short shaft, thick plate, thin plate, bolt, washer, nut, body — assigned by multi-signal geometric voting</w:t>
      </w:r>
    </w:p>
    <w:p>
      <w:r>
        <w:t>2 | Scale | Log-scaled volume and exact surface area, computed with trimesh rather than from a bounding-box approximation</w:t>
      </w:r>
    </w:p>
    <w:p>
      <w:r>
        <w:t>3 | Bounding box | Scale-normalised extents along the three principal axes</w:t>
      </w:r>
    </w:p>
    <w:p>
      <w:r>
        <w:t>5 | Shape descriptors | Affine-invariant: elongation, flatness, two aspect ratios, sphericity</w:t>
      </w:r>
    </w:p>
    <w:p>
      <w:r>
        <w:t>2 | Shape Diameter Function | SDF mean and variance from inward ray-casting</w:t>
      </w:r>
    </w:p>
    <w:p>
      <w:r>
        <w:t>1 | Ratio | Surface-area-to-volume ratio</w:t>
      </w:r>
    </w:p>
    <w:p>
      <w:r>
        <w:t>13 | Hole geometry | Hole count, has-holes flag, through / counterbore / indentation / filled-hole fractions and their binary flags, mean and maximum hole diameter, and a curved-surroundings flag</w:t>
      </w:r>
    </w:p>
    <w:p>
      <w:pPr>
        <w:jc w:val="both"/>
      </w:pPr>
      <w:r>
        <w:t>Two of these groups deserve comment because they were not present in early revisions and were added in response to observed failures.</w:t>
      </w:r>
    </w:p>
    <w:p>
      <w:pPr>
        <w:jc w:val="both"/>
      </w:pPr>
      <w:r>
        <w:t>The component-type assignment originally relied on a single Shape-Diameter-Function rule. That proved unreliable, and it was replaced by multi-signal geometric voting that combines hole detection, bolt-head detection and absolute-size gating. The change was driven by observing specific misclassifications rather than by a metric.</w:t>
      </w:r>
    </w:p>
    <w:p>
      <w:pPr>
        <w:jc w:val="both"/>
      </w:pPr>
      <w:r>
        <w:t>The hole-geometry block of thirteen dimensions was added for the current corpus revision. Its most interesting member is the final flag, which records whether a hole's local surroundings are curved rather than flat. The reasoning is mechanical rather than statistical: fasteners essentially never mount on a curved outer surface, so this single bit distinguishes a genuine mounting hole from an incidental void — a distinction that no amount of size or count information conveys on its own.</w:t>
      </w:r>
    </w:p>
    <w:p>
      <w:pPr>
        <w:pStyle w:val="Heading3"/>
      </w:pPr>
      <w:r>
        <w:t>Edge Features (6 dimensions)</w:t>
      </w:r>
    </w:p>
    <w:p>
      <w:pPr>
        <w:jc w:val="both"/>
      </w:pPr>
      <w:r>
        <w:t>Two dimensions encode the mate type and a real contact-area weight — the shared-surface area ratio between the two bodies, which replaced an earlier hardcoded constant. The remaining four encode a one-hot joint-type classification (rigid, revolute, slider, cylindrical) inferred from the local contact geometry.</w:t>
      </w:r>
    </w:p>
    <w:p>
      <w:pPr>
        <w:jc w:val="both"/>
      </w:pPr>
      <w:r>
        <w:t>The contact-area weight is worth singling out. In earlier revisions this was a fixed value, meaning every edge in the graph claimed identical contact regardless of whether two bodies shared a broad clamped face or touched along a thin line. Replacing it with a measured ratio gave the attention mechanism a genuine physical signal to weight against.</w:t>
      </w:r>
    </w:p>
    <w:p>
      <w:pPr>
        <w:pStyle w:val="Heading2"/>
      </w:pPr>
      <w:r>
        <w:t>Shared Encoder: AssemblyGNN</w:t>
      </w:r>
    </w:p>
    <w:p>
      <w:pPr>
        <w:jc w:val="both"/>
      </w:pPr>
      <w:r>
        <w:t>All task heads read from one shared encoder, AssemblyGNN: a three-layer relational graph attention network built on RGATConv , with eight attention heads at the first two layers narrowing to one at the third, a hidden width of 128, and an output embedding width of 64.</w:t>
      </w:r>
    </w:p>
    <w:p>
      <w:pPr>
        <w:jc w:val="both"/>
      </w:pPr>
      <w:r>
        <w:t>Two conditioning mechanisms distinguish this encoder from a standard GAT stack.</w:t>
      </w:r>
    </w:p>
    <w:p>
      <w:pPr>
        <w:jc w:val="both"/>
      </w:pPr>
      <w:r>
        <w:t>Node-type conditioning. Both the input and output projections are node-type-conditioned: a separate linear layer exists per component-type class, dispatched by the node's own one-hot type. A bolt and a housing therefore pass through different learned projections. The motivation is that the same numeric feature means different things for different component classes — a high surface-area-to-volume ratio is unremarkable for a thin plate and highly informative for a body.</w:t>
      </w:r>
    </w:p>
    <w:p>
      <w:pPr>
        <w:jc w:val="both"/>
      </w:pPr>
      <w:r>
        <w:t>Joint-type conditioning. Relational attention at every layer is conditioned on the discrete joint-type argmax of each edge. A revolute joint and a rigid joint therefore pass different learned attention weights even between structurally identical node pairs. Continuous edge features — the contact-area weight and the mate-type scalar — are injected only at the first layer, to avoid repeatedly re-injecting the same signal at every depth.</w:t>
      </w:r>
    </w:p>
    <w:p>
      <w:pPr>
        <w:pStyle w:val="Heading2"/>
      </w:pPr>
      <w:r>
        <w:t>Phase 1: Missing-Component Detection</w:t>
      </w:r>
    </w:p>
    <w:p>
      <w:pPr>
        <w:jc w:val="both"/>
      </w:pPr>
      <w:r>
        <w:t>Phase 1 frames missing-component detection as inductive link prediction. For a candidate body pair (u,v), given the encoder's node embeddings z_u, z_v R64, a two-layer MLP head scores the pair:</w:t>
      </w:r>
    </w:p>
    <w:p>
      <w:pPr>
        <w:jc w:val="both"/>
      </w:pPr>
      <w:r>
        <w:t>where p_u, p_v are the two bodies' scale-normalised bounding-box centroids and denotes concatenation.</w:t>
      </w:r>
    </w:p>
    <w:p>
      <w:pPr>
        <w:jc w:val="both"/>
      </w:pPr>
      <w:r>
        <w:t>The Euclidean-distance term was a deliberate late addition, and the reason it was needed is instructive. Every node feature in the vector is affine-invariant, and message passing only ever traverses real edges. A candidate non-edge pair being scored therefore had no signal whatsoever for the proposition "these two bodies are nowhere near each other". A structurally implausible pair and a plausible-but-missing one were indistinguishable to the head. Adding a single scalar distance term supplied the missing spatial context.</w:t>
      </w:r>
    </w:p>
    <w:p>
      <w:pPr>
        <w:jc w:val="both"/>
      </w:pPr>
      <w:r>
        <w:t>Training uses RandomLinkSplit per graph, holding out 10% of edges for validation and 10% for test, disjoint from the message-passing edges. A 1:1 hard-negative-augmented positive-to-negative ratio is used in preference to the 1:2 skew that is common in the field, for reasons discussed in Section . The objective is standard binary cross-entropy.</w:t>
      </w:r>
    </w:p>
    <w:p>
      <w:pPr>
        <w:jc w:val="both"/>
      </w:pPr>
      <w:r>
        <w:t>At inference time a missing component in a real, possibly incomplete assembly is operationally identified as a body whose best candidate connection scores anomalously low relative to its structurally similar peers. This signal is surfaced to the user alongside the octree detector's independent geometric evidence, so that two mechanisms of different kinds must broadly agree before a strong claim is presented.</w:t>
      </w:r>
    </w:p>
    <w:p>
      <w:pPr>
        <w:pStyle w:val="Heading2"/>
      </w:pPr>
      <w:r>
        <w:t>Phase 2: Next-Component Recommendation</w:t>
      </w:r>
    </w:p>
    <w:p>
      <w:pPr>
        <w:jc w:val="both"/>
      </w:pPr>
      <w:r>
        <w:t>Phase 2 answers the question of what component type is most likely absent. Using the embeddings of the assembly's known nodes z_ii=1N, a mean-pooled context vector c = 1N _i z_i is projected through a single learned linear layer and compared to each of the eight candidate component-type embeddings by cosine similarity, scaled by a learnable CLIP-style temperature :</w:t>
      </w:r>
    </w:p>
    <w:p>
      <w:pPr>
        <w:jc w:val="both"/>
      </w:pPr>
      <w:r>
        <w:t>The temperature is initialised at zero, so that e =1 and the comparison begins as plain unscaled cosine similarity, sharpening only once training signals that it should. This was a considered choice rather than a default. The ranking head is deliberately thin — roughly 4,200 parameters in the projection alone — and unscaled cosine similarity, bounded in [-1,1], produces score differences too small for the ranking loss's gradient to act on efficiently at that head size.</w:t>
      </w:r>
    </w:p>
    <w:p>
      <w:pPr>
        <w:jc w:val="both"/>
      </w:pPr>
      <w:r>
        <w:t>Training uses a leave-one-node-out protocol. For each graph and each held-out node, the remaining nodes form the context, and the held-out node's true type is the positive candidate against the other seven as implicit negatives. The objective is Bayesian Personalised Ranking loss .</w:t>
      </w:r>
    </w:p>
    <w:p>
      <w:pPr>
        <w:pStyle w:val="Heading2"/>
      </w:pPr>
      <w:r>
        <w:t>Phase 3: Hybrid Shape Generation</w:t>
      </w:r>
    </w:p>
    <w:p>
      <w:pPr>
        <w:jc w:val="both"/>
      </w:pPr>
      <w:r>
        <w:t>After recommending a component type, the system must produce an actual mesh rather than a label. HybridShapeGenerator attempts two strategies in a deliberate order.</w:t>
      </w:r>
    </w:p>
    <w:p>
      <w:pPr>
        <w:pStyle w:val="Heading3"/>
      </w:pPr>
      <w:r>
        <w:t>Retrieval</w:t>
      </w:r>
    </w:p>
    <w:p>
      <w:pPr>
        <w:jc w:val="both"/>
      </w:pPr>
      <w:r>
        <w:t>A part bank built from every body in the training corpus — indexed by component type and a normalised bounding-box/scale signature — is queried for the closest match to the target region's geometry. If the best match's fit score clears a type-dependent threshold, the retrieved mesh is returned directly at zero additional generation cost.</w:t>
      </w:r>
    </w:p>
    <w:p>
      <w:pPr>
        <w:jc w:val="both"/>
      </w:pPr>
      <w:r>
        <w:t>The threshold is =0.6 in general, relaxed to =0.4 specifically for fasteners — bolts, nuts and washers. The asymmetry is intentional. The bank already holds hundreds of real examples of these highly standardised shapes, and for such components a slightly imperfect real part reliably beats a generative hallucination.</w:t>
      </w:r>
    </w:p>
    <w:p>
      <w:pPr>
        <w:pStyle w:val="Heading3"/>
      </w:pPr>
      <w:r>
        <w:t>Conditional VAE Fallback</w:t>
      </w:r>
    </w:p>
    <w:p>
      <w:pPr>
        <w:jc w:val="both"/>
      </w:pPr>
      <w:r>
        <w:t>When no retrieval match clears the threshold, a small conditional variational autoencoder generates a novel shape. The target region is voxelised to a 32^3 occupancy grid. The encoder comprises four 3D-convolutional blocks (1-&gt;32-&gt;64-&gt;128-&gt;256 channels, stride-2 downsampling, batch normalisation, LeakyReLU) producing a 128-dimensional latent distribution. The decoder mirrors this with transposed convolutions, conditioned throughout on a 77-dimensional vector: the frozen encoder's 64-dimensional context, an 8-dimensional target-type one-hot, a 3-dimensional target bounding box, and a 2-dimensional neighbour-scale signal.</w:t>
      </w:r>
    </w:p>
    <w:p>
      <w:pPr>
        <w:jc w:val="both"/>
      </w:pPr>
      <w:r>
        <w:t>Training minimises a weighted combination of voxel-wise binary cross-entropy, a Dice-coefficient term, and a KL-divergence regulariser on the latent distribution:</w:t>
      </w:r>
    </w:p>
    <w:p>
      <w:pPr>
        <w:jc w:val="both"/>
      </w:pPr>
      <w:r>
        <w:t>The Dice term exists to counteract the severe foreground/background imbalance of a sparse occupancy grid. In a 32^3 grid containing a bolt, the overwhelming majority of voxels are empty, and binary cross-entropy alone will happily converge to predicting emptiness everywhere.</w:t>
      </w:r>
    </w:p>
    <w:p>
      <w:pPr>
        <w:pStyle w:val="Heading2"/>
      </w:pPr>
      <w:r>
        <w:t>Supporting Modules</w:t>
      </w:r>
    </w:p>
    <w:p>
      <w:pPr>
        <w:pStyle w:val="Heading3"/>
      </w:pPr>
      <w:r>
        <w:t>Octree Open-Surface Detector</w:t>
      </w:r>
    </w:p>
    <w:p>
      <w:pPr>
        <w:jc w:val="both"/>
      </w:pPr>
      <w:r>
        <w:t>To identify where a missing component likely attaches without relying on a proprietary CAD-kernel API at inference time, an octree spatial partition — adapting the octree concept from prior mesh-watermarking work — clusters the free-surface (unmated) face centroids of each body after the same fragmentation step used for graph construction. Dense clusters of free-surface area flag candidate open joints directly from raw mesh geometry.</w:t>
      </w:r>
    </w:p>
    <w:p>
      <w:pPr>
        <w:jc w:val="both"/>
      </w:pPr>
      <w:r>
        <w:t>The value of this module is that its evidence is entirely independent of the link-prediction signal. It knows nothing about the graph, the encoder or the learned embeddings; it looks only at which faces are unmated and where they cluster. When it and Phase 1 agree, the combined claim is considerably stronger than either alone.</w:t>
      </w:r>
    </w:p>
    <w:p>
      <w:pPr>
        <w:pStyle w:val="Heading3"/>
      </w:pPr>
      <w:r>
        <w:t>AssemblyTemplateDB</w:t>
      </w:r>
    </w:p>
    <w:p>
      <w:pPr>
        <w:jc w:val="both"/>
      </w:pPr>
      <w:r>
        <w:t>A per-category component-type frequency prior, learned directly from the training corpus's true type distributions rather than from any graph-structured model. Because it requires no graph context at all, it remains useful in the degenerate case of a single uploaded body with no known neighbours — precisely the case where Phase 1 and the ranking head have no assembly structure to reason over and therefore nothing to say.</w:t>
      </w:r>
    </w:p>
    <w:p>
      <w:pPr>
        <w:pStyle w:val="Heading3"/>
      </w:pPr>
      <w:r>
        <w:t>Explanation Layer</w:t>
      </w:r>
    </w:p>
    <w:p>
      <w:pPr>
        <w:jc w:val="both"/>
      </w:pPr>
      <w:r>
        <w:t>GNNExplainer produces post-hoc edge- and feature-attribution scores over the frozen encoder and its task heads for a given prediction. A Gemini-based agent, referred to in the application as AIDA, consumes these attributions together with the AssemblyTemplateDB prior and the octree detector's findings, and renders them as an engineering-language explanation — identifying a specific detected assembly as an incomplete fastening operation, for example, and naming which joints require completion — rather than exposing raw attribution weights to the end user.</w:t>
      </w:r>
    </w:p>
    <w:p>
      <w:pPr>
        <w:jc w:val="both"/>
      </w:pPr>
      <w:r>
        <w:t>The agent's persona and domain skill areas are defined declaratively in a YAML profile rather than in code, so the explanation vocabulary can be revised without touching the inference path.</w:t>
      </w:r>
    </w:p>
    <w:p>
      <w:pPr>
        <w:jc w:val="both"/>
      </w:pPr>
      <w:r>
        <w:t>This runs live against uploaded STEP files through a Streamlit front end and a FastAPI backend, with the full detect -&gt; rank -&gt; generate -&gt; explain pipeline completing in approximately 24 seconds end-to-end for a typical four-body assembly.</w:t>
      </w:r>
    </w:p>
    <w:p>
      <w:pPr>
        <w:pStyle w:val="Heading2"/>
      </w:pPr>
      <w:r>
        <w:t>Algorithms</w:t>
      </w:r>
    </w:p>
    <w:p>
      <w:pPr>
        <w:jc w:val="both"/>
      </w:pPr>
      <w:r>
        <w:t>Three algorithms carry most of the system's behaviour. They are given here in pseudocode; the corresponding source modules are listed in Table .</w:t>
      </w:r>
    </w:p>
    <w:p>
      <w:r>
        <w:rPr>
          <w:i/>
        </w:rPr>
        <w:t>Algorithm: STEP file to attributed assembly graph</w:t>
      </w:r>
    </w:p>
    <w:p>
      <w:pPr>
        <w:jc w:val="both"/>
      </w:pPr>
      <w:r>
        <w:t>The critical line is the conditional on shared boundary faces. Substituting a distance threshold there would admit every pair of bodies that merely sit close together, and the resulting graph would encode spatial layout rather than mechanical connectivity.</w:t>
      </w:r>
    </w:p>
    <w:p>
      <w:r>
        <w:rPr>
          <w:i/>
        </w:rPr>
        <w:t>Algorithm: Missing-component detection at inference</w:t>
      </w:r>
    </w:p>
    <w:p>
      <w:r>
        <w:rPr>
          <w:i/>
        </w:rPr>
        <w:t>Algorithm: Hybrid shape generation</w:t>
      </w:r>
    </w:p>
    <w:p>
      <w:pPr>
        <w:pStyle w:val="Heading2"/>
      </w:pPr>
      <w:r>
        <w:t>Data Flow</w:t>
      </w:r>
    </w:p>
    <w:p>
      <w:pPr>
        <w:jc w:val="both"/>
      </w:pPr>
      <w:r>
        <w:t>Data passes through five stages, and the boundary between stages three and four is where the architecture's central decision becomes visible.</w:t>
      </w:r>
    </w:p>
    <w:p>
      <w:pPr>
        <w:jc w:val="both"/>
      </w:pPr>
      <w:r>
        <w:t>• Ingest. A STEP file arrives, is fragmented into solid bodies, and each body is meshed. This stage is by far the slowest and is the only one that can fail outright.</w:t>
      </w:r>
    </w:p>
    <w:p>
      <w:pPr>
        <w:jc w:val="both"/>
      </w:pPr>
      <w:r>
        <w:t>• Featurise. Geometric signals are computed per body and per contact, producing the 34-dimensional node vectors and 6-dimensional edge vectors. Component types are assigned here by geometric voting.</w:t>
      </w:r>
    </w:p>
    <w:p>
      <w:pPr>
        <w:jc w:val="both"/>
      </w:pPr>
      <w:r>
        <w:t>• Encode. The graph passes through the frozen encoder once, yielding a 64-dimensional embedding per node.</w:t>
      </w:r>
    </w:p>
    <w:p>
      <w:pPr>
        <w:jc w:val="both"/>
      </w:pPr>
      <w:r>
        <w:t>• Branch. All three task heads read those same embeddings independently. No head re-encodes, and no head can influence another's input.</w:t>
      </w:r>
    </w:p>
    <w:p>
      <w:pPr>
        <w:jc w:val="both"/>
      </w:pPr>
      <w:r>
        <w:t>• Explain. Attributions, the template prior and the octree findings are bundled and rendered into engineering language.</w:t>
      </w:r>
    </w:p>
    <w:p>
      <w:pPr>
        <w:jc w:val="both"/>
      </w:pPr>
      <w:r>
        <w:t>Stage four is what makes the marginal cost of a task head small, and it is also what creates the operational constraint noted in Section : any change to stage three invalidates every head downstream of it.</w:t>
      </w:r>
    </w:p>
    <w:p>
      <w:pPr>
        <w:pStyle w:val="Heading1"/>
      </w:pPr>
      <w:r>
        <w:t>Implementation Details</w:t>
      </w:r>
    </w:p>
    <w:p>
      <w:pPr>
        <w:pStyle w:val="Heading2"/>
      </w:pPr>
      <w:r>
        <w:t>Development Environment</w:t>
      </w:r>
    </w:p>
    <w:p>
      <w:pPr>
        <w:jc w:val="both"/>
      </w:pPr>
      <w:r>
        <w:t>All three phases are implemented in Python 3.12 using PyTorch 2.12 with PyTorch Geometric , and trained on a single Apple-Silicon GPU through the Metal Performance Shaders backend. Geometry processing uses gmsh with the OpenCASCADE kernel for STEP parsing and fragmentation, and trimesh for mesh-level measurements.</w:t>
      </w:r>
    </w:p>
    <w:p>
      <w:pPr>
        <w:jc w:val="both"/>
      </w:pPr>
      <w:r>
        <w:t>All hyperparameters and data paths live in a single config.yaml rather than being distributed through the source. This was not merely tidy practice: across roughly forty training revisions it was the only reliable way to know precisely which configuration produced a given checkpoint, and the file accumulated inline commentary explaining why particular values were chosen, which became the project's most useful engineering record.</w:t>
      </w:r>
    </w:p>
    <w:p>
      <w:pPr>
        <w:pStyle w:val="Heading2"/>
      </w:pPr>
      <w:r>
        <w:t>Corpus Construction</w:t>
      </w:r>
    </w:p>
    <w:p>
      <w:pPr>
        <w:jc w:val="both"/>
      </w:pPr>
      <w:r>
        <w:t>The training corpus consists of 749 STEP-format assembly models, curated evenly across seven mechanical-part categories relevant to industrial fastening and flow-control mechanisms — bench vices, C-clamps, pipe vices, gate valves, press tools, tool posts and crane hooks — at 107 models per category.</w:t>
      </w:r>
    </w:p>
    <w:p>
      <w:pPr>
        <w:jc w:val="both"/>
      </w:pPr>
      <w:r>
        <w:t>After parsing through the gmsh/OpenCASCADE pipeline, 648 of the 749 models (86.5%) yielded usable graphs. The remainder failed under a bounded-timeout parsing policy. Those failures were not uniformly distributed: they concentrated heavily in the gate-valve category, which returned a 51.4% yield against 82–99% for the other six. Gate valves also have this corpus's largest mean graph size at 93.9 bodies per assembly against an overall mean of 38.8, which points to geometric complexity as the likely common cause rather than anything specific to the category's file provenance.</w:t>
      </w:r>
    </w:p>
    <w:p>
      <w:pPr>
        <w:jc w:val="both"/>
      </w:pPr>
      <w:r>
        <w:t>The resulting 648 graphs contain 25,155 labelled bodies and 46,767 undirected contact edges in total. Table gives the per-category composition.</w:t>
      </w:r>
    </w:p>
    <w:p>
      <w:r>
        <w:rPr>
          <w:i/>
        </w:rPr>
        <w:t>Table: Corpus composition by category (648 usable graphs from 749 models).</w:t>
      </w:r>
    </w:p>
    <w:p>
      <w:r>
        <w:t>[h] @L3.2cmC2.0cmC2.0cmC2.8cmX@ Category | Graphs | Yield | Mean bodies/graph | Dominant type</w:t>
      </w:r>
    </w:p>
    <w:p>
      <w:r>
        <w:t>C-Clamps | 106 | 99.1% | 9.6 | body</w:t>
      </w:r>
    </w:p>
    <w:p>
      <w:r>
        <w:t>Bench vice | 104 | 97.2% | 30.6 | body</w:t>
      </w:r>
    </w:p>
    <w:p>
      <w:r>
        <w:t>Crane hook | 101 | 94.4% | 78.5 | body</w:t>
      </w:r>
    </w:p>
    <w:p>
      <w:r>
        <w:t>Pipe vice | 98 | 91.6% | 15.8 | body</w:t>
      </w:r>
    </w:p>
    <w:p>
      <w:r>
        <w:t>Press tool | 96 | 89.7% | 32.8 | body</w:t>
      </w:r>
    </w:p>
    <w:p>
      <w:r>
        <w:t>Tool post | 88 | 82.2% | 35.9 | bolt</w:t>
      </w:r>
    </w:p>
    <w:p>
      <w:r>
        <w:t>Gate valve | 55 | 51.4% | 93.9 | body</w:t>
      </w:r>
    </w:p>
    <w:p>
      <w:r>
        <w:t>Total | 648 | 86.5% | 38.8 | —</w:t>
      </w:r>
    </w:p>
    <w:p>
      <w:pPr>
        <w:jc w:val="both"/>
      </w:pPr>
      <w:r>
        <w:t>An earlier iteration of this project worked from a smaller, scraped corpus of 192 models. Replacing it with a deliberately curated and category-balanced 749-model corpus was the single most expensive undertaking of the project in wall-clock terms, and also the one that produced the largest measured improvement — a point returned to in Section .</w:t>
      </w:r>
    </w:p>
    <w:p>
      <w:pPr>
        <w:pStyle w:val="Heading2"/>
      </w:pPr>
      <w:r>
        <w:t>Module Implementation</w:t>
      </w:r>
    </w:p>
    <w:p>
      <w:r>
        <w:rPr>
          <w:i/>
        </w:rPr>
        <w:t>Table: Principal source modules.</w:t>
      </w:r>
    </w:p>
    <w:p>
      <w:r>
        <w:t>[h] @L4.1cmX@ Module | Responsibility</w:t>
      </w:r>
    </w:p>
    <w:p>
      <w:r>
        <w:t>dataset.py | STEP -&gt; graph pipeline: fragmentation, node/edge feature extraction, component-type voting, caching, cross-validation splits</w:t>
      </w:r>
    </w:p>
    <w:p>
      <w:r>
        <w:t>model.py | AssemblyGNN encoder, LinkPredictor, NodeRanker, and the type-conditioned linear layer</w:t>
      </w:r>
    </w:p>
    <w:p>
      <w:r>
        <w:t>train.py | Phase 1 training: five-fold CV, early stopping, edge-budgeted batching, checkpoint promotion gating</w:t>
      </w:r>
    </w:p>
    <w:p>
      <w:r>
        <w:t>train_ranker.py | Phase 2 training: leave-one-node-out sampling, BPR loss, frozen-encoder reuse</w:t>
      </w:r>
    </w:p>
    <w:p>
      <w:r>
        <w:t>train_shape_gen.py | Phase 3 training: conditional VAE over voxel grids</w:t>
      </w:r>
    </w:p>
    <w:p>
      <w:r>
        <w:t>part_bank.py | Retrieval index over training-corpus geometry, keyed by type and scale signature</w:t>
      </w:r>
    </w:p>
    <w:p>
      <w:r>
        <w:t>shape_generator.py | HybridShapeGenerator: retrieval-first with VAE fallback</w:t>
      </w:r>
    </w:p>
    <w:p>
      <w:r>
        <w:t>slot_detector.py | Locates unfilled hole seats on host bodies and infers missing members from hole-pattern symmetry</w:t>
      </w:r>
    </w:p>
    <w:p>
      <w:r>
        <w:t>rebuild.py | Reconstructs missing components: copies surviving instances, retrieves shafts, springs and knob, exports .glb</w:t>
      </w:r>
    </w:p>
    <w:p>
      <w:r>
        <w:t>surface_analyzer.py | Octree open-surface detector</w:t>
      </w:r>
    </w:p>
    <w:p>
      <w:r>
        <w:t>assembly_templates.py | AssemblyTemplateDB component-type frequency prior</w:t>
      </w:r>
    </w:p>
    <w:p>
      <w:r>
        <w:t>explainer.py | GNNExplainer integration over the frozen encoder</w:t>
      </w:r>
    </w:p>
    <w:p>
      <w:r>
        <w:t>skills_agent.py | Gemini-based AIDA explanation agent, profile-driven</w:t>
      </w:r>
    </w:p>
    <w:p>
      <w:r>
        <w:t>evaluate.py | AUC, AP, Hit@K, MRR, NDCG@K, per-class breakdowns</w:t>
      </w:r>
    </w:p>
    <w:p>
      <w:r>
        <w:t>api.py | FastAPI inference service</w:t>
      </w:r>
    </w:p>
    <w:p>
      <w:r>
        <w:t>app.py | Streamlit dual-panel user interface</w:t>
      </w:r>
    </w:p>
    <w:p>
      <w:pPr>
        <w:pStyle w:val="Heading2"/>
      </w:pPr>
      <w:r>
        <w:t>Training Protocol</w:t>
      </w:r>
    </w:p>
    <w:p>
      <w:pPr>
        <w:jc w:val="both"/>
      </w:pPr>
      <w:r>
        <w:t>Table lists the training configuration for each stage.</w:t>
      </w:r>
    </w:p>
    <w:p>
      <w:r>
        <w:rPr>
          <w:i/>
        </w:rPr>
        <w:t>Table: Training configuration by stage.</w:t>
      </w:r>
    </w:p>
    <w:p>
      <w:r>
        <w:t>[h] @L3.6cmXX@ Parameter | Phase 1 (encoder) | Phase 2/3 (heads)</w:t>
      </w:r>
    </w:p>
    <w:p>
      <w:r>
        <w:t>Optimiser | Adam | Adam</w:t>
      </w:r>
    </w:p>
    <w:p>
      <w:r>
        <w:t>Learning rate | 1x10-3, ReduceLROnPlateau (factor 0.5) | 1x10-3, fixed</w:t>
      </w:r>
    </w:p>
    <w:p>
      <w:r>
        <w:t>Weight decay | 5x10-4 | 1x10-5 (ranker)</w:t>
      </w:r>
    </w:p>
    <w:p>
      <w:r>
        <w:t>Batch composition | Edge-budgeted, cap 300 edges/batch | Full-graph context per sample</w:t>
      </w:r>
    </w:p>
    <w:p>
      <w:r>
        <w:t>Early stopping | 20 epochs (LR patience 8) | None — fixed 30 / 60 epochs</w:t>
      </w:r>
    </w:p>
    <w:p>
      <w:r>
        <w:t>Dropout | 0.3 | —</w:t>
      </w:r>
    </w:p>
    <w:p>
      <w:r>
        <w:t>Cross-validation | True 5-fold, per-fold reseeded splits | 5-fold protocol, fold 0 reported</w:t>
      </w:r>
    </w:p>
    <w:p>
      <w:r>
        <w:t>Max epochs | 200 | 30 (ranker) / 60 (shape gen)</w:t>
      </w:r>
    </w:p>
    <w:p>
      <w:pPr>
        <w:jc w:val="both"/>
      </w:pPr>
      <w:r>
        <w:t>Phase 1 batches graphs by a cumulative edge-count budget rather than a fixed graph count. The reason is specific to relational attention: its per-edge relation-weight computation scales with a batch's total edge count, not its node count. A few of the corpus's larger assemblies exceed 1,000 edges each, so an unbudgeted batch that happened to combine several of them could exceed available GPU memory even though every individual graph fitted comfortably alone. Section describes how this was discovered.</w:t>
      </w:r>
    </w:p>
    <w:p>
      <w:pPr>
        <w:pStyle w:val="Heading2"/>
      </w:pPr>
      <w:r>
        <w:t>Evaluation Metrics</w:t>
      </w:r>
    </w:p>
    <w:p>
      <w:pPr>
        <w:jc w:val="both"/>
      </w:pPr>
      <w:r>
        <w:t>Phase 1 is evaluated under true five-fold cross-validation — five independent fold assignments, not a single fixed split reused five times — with mean AUC-ROC and mean average precision as primary metrics. Chance-level AP is reported alongside AP as a reference, because AP is sensitive to class imbalance in a way AUC-ROC is not.</w:t>
      </w:r>
    </w:p>
    <w:p>
      <w:pPr>
        <w:jc w:val="both"/>
      </w:pPr>
      <w:r>
        <w:t>That sensitivity was not a theoretical concern. Earlier revisions used a negative-sampling ratio of 1:0.5, meaning positives outnumbered negatives two to one in every evaluation set. Since a random scorer's expected AP equals positive prevalence, any below-1.0 ratio inflates AP for any model, including a poor one, entirely independently of real ranking skill. Moving to the standard 1:1 convention made the AP figures comparable to published baselines, and chance-level AP is now reported alongside AP so that the skew can never again be hidden silently.</w:t>
      </w:r>
    </w:p>
    <w:p>
      <w:pPr>
        <w:jc w:val="both"/>
      </w:pPr>
      <w:r>
        <w:t>Phase 2 is evaluated with Hit@1, Hit@5, mean reciprocal rank and NDCG@5 against a corpus-wide majority-class baseline. The baseline is computed from true corpus-wide type frequency rather than from the sample pool, which is the more conservative of the two definitions.</w:t>
      </w:r>
    </w:p>
    <w:p>
      <w:pPr>
        <w:jc w:val="both"/>
      </w:pPr>
      <w:r>
        <w:t>Phase 3 is evaluated with mean intersection-over-union and Chamfer distance between generated and ground-truth occupancy grids on a held-out test split, with the best checkpoint selected by validation IoU and Chamfer rather than by training loss.</w:t>
      </w:r>
    </w:p>
    <w:p>
      <w:pPr>
        <w:pStyle w:val="Heading2"/>
      </w:pPr>
      <w:r>
        <w:t>Engineering Challenges</w:t>
      </w:r>
    </w:p>
    <w:p>
      <w:pPr>
        <w:jc w:val="both"/>
      </w:pPr>
      <w:r>
        <w:t>Building a pipeline that runs end-to-end on real, imperfect STEP geometry surfaced several infrastructure-level problems with no direct analogue in a purely algorithmic description of the system. The ones reported here had the largest measured impact, and several materially affected the numbers in Chapter 6.</w:t>
      </w:r>
    </w:p>
    <w:p>
      <w:pPr>
        <w:pStyle w:val="Heading3"/>
      </w:pPr>
      <w:r>
        <w:t>Batch-Composition Out-of-Memory</w:t>
      </w:r>
    </w:p>
    <w:p>
      <w:pPr>
        <w:jc w:val="both"/>
      </w:pPr>
      <w:r>
        <w:t>Relational attention's memory cost scales with a batch's total edge count. An early fixed-graph-count batching scheme worked until training reached the corpus's larger assemblies, at which point a single unlucky batch composition triggered an out-of-memory crash requiring roughly 23 GB against a 20.13 GB GPU ceiling.</w:t>
      </w:r>
    </w:p>
    <w:p>
      <w:pPr>
        <w:jc w:val="both"/>
      </w:pPr>
      <w:r>
        <w:t>Capping batches by cumulative edge count resolved this, but only after two intermediate failures that are worth recording. A cap of 3,000 edges still crashed, because backpropagation's retained-activation memory runs well above the forward-pass cost the figure had been sized against. A further reduction to 500 edges still crashed intermittently — and the intermittency turned out to be the interesting part. The batch sampler's shuffle seed was not tied to the resumed epoch number, so an auto-restarted run deterministically replayed the same crash-triggering batch composition rather than varying it. The final cap of 300 edges per batch, combined with fixing the seed-reset bug, eliminated the failure mode entirely.</w:t>
      </w:r>
    </w:p>
    <w:p>
      <w:pPr>
        <w:pStyle w:val="Heading3"/>
      </w:pPr>
      <w:r>
        <w:t>Silent Process Termination</w:t>
      </w:r>
    </w:p>
    <w:p>
      <w:pPr>
        <w:jc w:val="both"/>
      </w:pPr>
      <w:r>
        <w:t>Training processes were observed terminating silently mid-fold under host memory pressure, with no exception raised and no entry in the training log — only a stalled process. A watchdog script was built that monitors for output staleness and GPU cache growth, and automatically resumes training from the last-saved checkpoint at the correct fold and epoch rather than restarting the entire run. Given that a full five-fold run occupies several days of wall-clock time, whole-run restarts were not affordable.</w:t>
      </w:r>
    </w:p>
    <w:p>
      <w:pPr>
        <w:pStyle w:val="Heading3"/>
      </w:pPr>
      <w:r>
        <w:t>A Promotion-Gate Comparison Bug</w:t>
      </w:r>
    </w:p>
    <w:p>
      <w:pPr>
        <w:jc w:val="both"/>
      </w:pPr>
      <w:r>
        <w:t>The gate deciding whether a newly trained checkpoint should replace the serving model compared candidate metrics as a lexicographic tuple. Because Python's tuple comparison short-circuits on the first unequal element, this silently ignored average precision whenever two candidates tied on AUC-ROC — allowing a regression on the second metric to be promoted undetected. The gate now requires both metrics to improve, or to remain within a defined tolerance, before promotion.</w:t>
      </w:r>
    </w:p>
    <w:p>
      <w:pPr>
        <w:jc w:val="both"/>
      </w:pPr>
      <w:r>
        <w:t>This bug is notable less for its severity than for its invisibility. It produced no error, no warning and no anomalous number; it simply made one of two reported metrics decorative.</w:t>
      </w:r>
    </w:p>
    <w:p>
      <w:pPr>
        <w:pStyle w:val="Heading3"/>
      </w:pPr>
      <w:r>
        <w:t>Component-Classification Errors</w:t>
      </w:r>
    </w:p>
    <w:p>
      <w:pPr>
        <w:jc w:val="both"/>
      </w:pPr>
      <w:r>
        <w:t>Two geometry-classification bugs were found and fixed during development. A fastener-orientation error aligned a bolt's short bounding-box axis onto its mating joint instead of its long shaft axis; this was corrected by using the bounding box's middle extent to distinguish rods from disks. A whole-body hole-region heuristic collapsed twelve real, physically distinct bolt holes on a single plate into one merged detection, and replacing it with per-hole cylindrical-face detection recovered all twelve as separate candidates.</w:t>
      </w:r>
    </w:p>
    <w:p>
      <w:pPr>
        <w:pStyle w:val="Heading3"/>
      </w:pPr>
      <w:r>
        <w:t>Checkpoint Write Failures and Split Reproducibility</w:t>
      </w:r>
    </w:p>
    <w:p>
      <w:pPr>
        <w:jc w:val="both"/>
      </w:pPr>
      <w:r>
        <w:t>Two further issues were resolved. Checkpoint writes intermittently failed with an operating-system permission error traced to cloud-drive file locking on the output directory. Separately, cross-validation splits were found not to be exactly reproducible, because get_splits() seeded only one of the two random number generators in play; seeding both per fold and per graph now allows the same checkpoint to be re-evaluated to the same AUC, which was verified directly.</w:t>
      </w:r>
    </w:p>
    <w:p>
      <w:pPr>
        <w:pStyle w:val="Heading1"/>
      </w:pPr>
      <w:r>
        <w:t>Results and Discussion</w:t>
      </w:r>
    </w:p>
    <w:p>
      <w:pPr>
        <w:jc w:val="both"/>
      </w:pPr>
      <w:r>
        <w:t>Table gives an overview of all three phases against their design targets before the detailed discussion below.</w:t>
      </w:r>
    </w:p>
    <w:p>
      <w:r>
        <w:rPr>
          <w:i/>
        </w:rPr>
        <w:t>Table: Summary of results against design targets (749-model corpus, true five-fold cross-validation).</w:t>
      </w:r>
    </w:p>
    <w:p>
      <w:r>
        <w:t>[h] @L4.2cmL3.6cmC2.6cmC2.6cmC1.4cm@ Stage | Metric | Target | Achieved | Met</w:t>
      </w:r>
    </w:p>
    <w:p>
      <w:r>
        <w:t>Phase 1 (detect) | Mean AUC-ROC / AP | &gt;=0.85 / &gt;=0.82 | 0.9206 / 0.9020 | Yes</w:t>
      </w:r>
    </w:p>
    <w:p>
      <w:r>
        <w:t>Phase 2 (rank) | Hit@5 / MRR | &gt;=0.70 / &gt;=0.60 | 0.9101 / 0.6102 | Yes</w:t>
      </w:r>
    </w:p>
    <w:p>
      <w:r>
        <w:t>Phase 3 (generate) | IoU / Chamfer | &gt;=0.35 / &lt;=0.08 | 0.6459 / 0.0377 | Yes</w:t>
      </w:r>
    </w:p>
    <w:p>
      <w:pPr>
        <w:pStyle w:val="Heading2"/>
      </w:pPr>
      <w:r>
        <w:t>Phase 1: Missing-Component Detection</w:t>
      </w:r>
    </w:p>
    <w:p>
      <w:pPr>
        <w:jc w:val="both"/>
      </w:pPr>
      <w:r>
        <w:t>Table reports Phase 1's five-fold cross-validated performance. Mean AUC-ROC is 0.9206 (+/-0.0121) and mean AP is 0.9020 (+/-0.0120) against a chance-level AP of 0.500.</w:t>
      </w:r>
    </w:p>
    <w:p>
      <w:r>
        <w:rPr>
          <w:i/>
        </w:rPr>
        <w:t>Table: Phase 1 link-prediction results, true five-fold cross-validation.</w:t>
      </w:r>
    </w:p>
    <w:p>
      <w:r>
        <w:t>[h] @L3.2cmC3.4cmC3.4cmX@ Fold | AUC-ROC | AP | Chance AP</w:t>
      </w:r>
    </w:p>
    <w:p>
      <w:r>
        <w:t>1 (best) | 0.9370 | 0.9157 | 0.500</w:t>
      </w:r>
    </w:p>
    <w:p>
      <w:r>
        <w:t>2 | 0.9050 | 0.8881 | 0.500</w:t>
      </w:r>
    </w:p>
    <w:p>
      <w:r>
        <w:t>3 | 0.9138 | 0.8919 | 0.500</w:t>
      </w:r>
    </w:p>
    <w:p>
      <w:r>
        <w:t>4 | 0.9217 | 0.9025 | 0.500</w:t>
      </w:r>
    </w:p>
    <w:p>
      <w:r>
        <w:t>5 | 0.9256 | 0.9116 | 0.500</w:t>
      </w:r>
    </w:p>
    <w:p>
      <w:r>
        <w:t>Mean +/- std | 0.9206 +/- 0.0121 | 0.9020 +/- 0.0120 | 0.500</w:t>
      </w:r>
    </w:p>
    <w:p>
      <w:pPr>
        <w:jc w:val="both"/>
      </w:pPr>
      <w:r>
        <w:t>The low standard deviation across folds matters as much as the mean. A cross-validated spread of +/-0.0121 indicates the encoder separates real from candidate connections consistently, rather than owing its headline number to one favourable split. An earlier experiment in this project made that distinction concrete: moving from a fixed reused test set to true five-fold assignment left the mean essentially unchanged but roughly tripled the observed variance, revealing that the fixed test set had been masking genuine fold-to-fold spread rather than inflating the average.</w:t>
      </w:r>
    </w:p>
    <w:p>
      <w:pPr>
        <w:pStyle w:val="Heading2"/>
      </w:pPr>
      <w:r>
        <w:t>Development History</w:t>
      </w:r>
    </w:p>
    <w:p>
      <w:pPr>
        <w:jc w:val="both"/>
      </w:pPr>
      <w:r>
        <w:t>The Phase 1 result was not reached in a single pass. Thirty-nine tracked training revisions preceded it. Figure plots the full history alongside the final run's convergence.</w:t>
      </w:r>
    </w:p>
    <w:p>
      <w:r>
        <w:rPr>
          <w:i/>
        </w:rPr>
        <w:t>Figure: (a) Mean and best AUC across all 39 tracked training runs, with R39 (749-model corpus) highlighted. (b) R39's five-fold validation-AUC convergence, with final test AUC per fold in the legend.</w:t>
      </w:r>
    </w:p>
    <w:p>
      <w:pPr>
        <w:jc w:val="both"/>
      </w:pPr>
      <w:r>
        <w:t>Table traces the three consecutive revisions on an earlier 238-model corpus that produced the largest single-run gains, because which changes mattered is more instructive than the final number alone.</w:t>
      </w:r>
    </w:p>
    <w:p>
      <w:r>
        <w:rPr>
          <w:i/>
        </w:rPr>
        <w:t>Table: Three consecutive development runs producing the largest single-run gains (238-model corpus revision; superseded by the 749-model results in Table ).</w:t>
      </w:r>
    </w:p>
    <w:p>
      <w:r>
        <w:t>[h] ). @L1.6cmXC2.6cm@ Run | Change | Mean AUC</w:t>
      </w:r>
    </w:p>
    <w:p>
      <w:r>
        <w:t>R35 | Populated previously dead hole-count / joint-type features | 0.539</w:t>
      </w:r>
    </w:p>
    <w:p>
      <w:r>
        <w:t>R36 | + spatial link signal, real contact-area edge weight | 0.628 (+0.089)</w:t>
      </w:r>
    </w:p>
    <w:p>
      <w:r>
        <w:t>R37 | + negative-ratio 0.5-&gt;1.0 fix, promotion-gate fix, seeded splits | 0.677 (+0.049)</w:t>
      </w:r>
    </w:p>
    <w:p>
      <w:pPr>
        <w:jc w:val="both"/>
      </w:pPr>
      <w:r>
        <w:t>The single largest jump — R35 to R36, at +0.089 mean AUC — followed directly from discovering that two node and edge features, hole count and joint type, had been silently zero-valued since the project's inception. They were being sourced from a file path that had never existed. Once populated with real values, and paired with the spatial link signal from Equation and a genuine rather than hardcoded contact-area edge weight, the encoder gained access to information it had never actually had.</w:t>
      </w:r>
    </w:p>
    <w:p>
      <w:pPr>
        <w:jc w:val="both"/>
      </w:pPr>
      <w:r>
        <w:t>The second-largest gain, R36 to R37 at +0.049, came from correcting the negative-sampling ratio described in Section , alongside fixing the promotion-gate bug.</w:t>
      </w:r>
    </w:p>
    <w:p>
      <w:pPr>
        <w:jc w:val="both"/>
      </w:pPr>
      <w:r>
        <w:t>The pattern across both is worth stating plainly, because it runs against expectation: neither gain came from architecture search or hyperparameter tuning. Both came from correcting silently broken inputs to metrics. The largest remaining improvement, from roughly 0.68 to 0.92, came from replacing the corpus itself — a data intervention, not a modelling one.</w:t>
      </w:r>
    </w:p>
    <w:p>
      <w:pPr>
        <w:pStyle w:val="Heading2"/>
      </w:pPr>
      <w:r>
        <w:t>Phase 2: Next-Component Recommendation</w:t>
      </w:r>
    </w:p>
    <w:p>
      <w:pPr>
        <w:jc w:val="both"/>
      </w:pPr>
      <w:r>
        <w:t>NodeRanker achieves Hit@1 of 0.4093 against a corpus-wide majority-class baseline of 0.3442. This is a genuine, non-trivial improvement over always predicting the plurality class, and it is worth noting that earlier corpus revisions produced a head that tied the baseline exactly — a failure mode that took several attempts to move past. Hit@5 reaches 0.9101, MRR 0.6102, and NDCG@5 0.6754.</w:t>
      </w:r>
    </w:p>
    <w:p>
      <w:r>
        <w:rPr>
          <w:i/>
        </w:rPr>
        <w:t>Table: Phase 2 ranking metrics against the majority-class baseline.</w:t>
      </w:r>
    </w:p>
    <w:p>
      <w:r>
        <w:t>[h] @L4.6cmC3.0cmC3.0cmX@ Metric | Validation | Test | Baseline</w:t>
      </w:r>
    </w:p>
    <w:p>
      <w:r>
        <w:t>Hit@1 | 0.4188 | 0.4093 | 0.3442</w:t>
      </w:r>
    </w:p>
    <w:p>
      <w:r>
        <w:t>Hit@5 | 0.8885 | 0.9101 | —</w:t>
      </w:r>
    </w:p>
    <w:p>
      <w:r>
        <w:t>MRR | 0.6041 | 0.6102 | —</w:t>
      </w:r>
    </w:p>
    <w:p>
      <w:r>
        <w:t>NDCG@5 | 0.6621 | 0.6754 | —</w:t>
      </w:r>
    </w:p>
    <w:p>
      <w:pPr>
        <w:jc w:val="both"/>
      </w:pPr>
      <w:r>
        <w:t>The aggregate figure conceals a real weakness, and Table exposes it.</w:t>
      </w:r>
    </w:p>
    <w:p>
      <w:r>
        <w:rPr>
          <w:i/>
        </w:rPr>
        <w:t>Table: NodeRanker per-class Hit@1 on the test split, with predicted versus true class share.</w:t>
      </w:r>
    </w:p>
    <w:p>
      <w:r>
        <w:t>[h] @L3.0cmC1.6cmC2.0cmC2.4cmC2.6cm@ Component type | n | Hit@1 | True share | Predicted share</w:t>
      </w:r>
    </w:p>
    <w:p>
      <w:r>
        <w:t>body | 222 | 0.689 | 34.3% | 53.1%</w:t>
      </w:r>
    </w:p>
    <w:p>
      <w:r>
        <w:t>nut | 36 | 0.444 | 5.6% | 9.7%</w:t>
      </w:r>
    </w:p>
    <w:p>
      <w:r>
        <w:t>thick_plate | 111 | 0.360 | 17.1% | 14.8%</w:t>
      </w:r>
    </w:p>
    <w:p>
      <w:r>
        <w:t>bolt | 98 | 0.316 | 15.1% | 12.0%</w:t>
      </w:r>
    </w:p>
    <w:p>
      <w:r>
        <w:t>long_shaft | 71 | 0.225 | 11.0% | 5.6%</w:t>
      </w:r>
    </w:p>
    <w:p>
      <w:r>
        <w:t>short_shaft | 47 | 0.149 | 7.3% | 2.8%</w:t>
      </w:r>
    </w:p>
    <w:p>
      <w:r>
        <w:t>thin_plate | 42 | 0.024 | 6.5% | 1.1%</w:t>
      </w:r>
    </w:p>
    <w:p>
      <w:r>
        <w:t>washer | 18 | 0.000 | 2.8% | 0.5%</w:t>
      </w:r>
    </w:p>
    <w:p>
      <w:pPr>
        <w:jc w:val="both"/>
      </w:pPr>
      <w:r>
        <w:t>Performance is markedly uneven. The majority class reaches 0.689 while washer sits at exactly zero and thin_plate at 0.024. The head also over-predicts body relative to its true frequency, at 53.1% of predictions against a 34.3% true share.</w:t>
      </w:r>
    </w:p>
    <w:p>
      <w:pPr>
        <w:jc w:val="both"/>
      </w:pPr>
      <w:r>
        <w:t>This is a majority-class bias, and it is unresolved. It is reported here rather than obscured behind the headline Hit@1 because the distinction matters for anyone considering deploying the ranking head: the system is substantially more reliable at recommending a housing than a washer, and a user should know that. Section returns to it.</w:t>
      </w:r>
    </w:p>
    <w:p>
      <w:pPr>
        <w:pStyle w:val="Heading2"/>
      </w:pPr>
      <w:r>
        <w:t>Phase 3: Shape Generation</w:t>
      </w:r>
    </w:p>
    <w:p>
      <w:pPr>
        <w:jc w:val="both"/>
      </w:pPr>
      <w:r>
        <w:t>HybridShapeGenerator reaches a test IoU of 0.6459 and Chamfer distance of 0.0377, against targets of IoU &gt;= 0.35 and Chamfer &lt;= 0.08. The selected checkpoint recorded validation IoU 0.6640 and Chamfer 0.0359.</w:t>
      </w:r>
    </w:p>
    <w:p>
      <w:r>
        <w:rPr>
          <w:i/>
        </w:rPr>
        <w:t>Table: Phase 3 shape-generation metrics.</w:t>
      </w:r>
    </w:p>
    <w:p>
      <w:r>
        <w:t>[h] @L4.6cmC2.8cmC2.8cmX@ Metric | Validation | Test | Target</w:t>
      </w:r>
    </w:p>
    <w:p>
      <w:r>
        <w:t>IoU | 0.6640 | 0.6459 | &gt;= 0.35</w:t>
      </w:r>
    </w:p>
    <w:p>
      <w:r>
        <w:t>Chamfer distance | 0.0359 | 0.0377 | &lt;= 0.08</w:t>
      </w:r>
    </w:p>
    <w:p>
      <w:r>
        <w:t>Total loss | 0.2122 | 0.2234 | —</w:t>
      </w:r>
    </w:p>
    <w:p>
      <w:r>
        <w:t>BCE term | 0.0736 | 0.0749 | —</w:t>
      </w:r>
    </w:p>
    <w:p>
      <w:r>
        <w:t>Dice term | 0.2454 | 0.2670 | —</w:t>
      </w:r>
    </w:p>
    <w:p>
      <w:r>
        <w:t>KL term | 0.3191 | 0.2999 | —</w:t>
      </w:r>
    </w:p>
    <w:p>
      <w:pPr>
        <w:jc w:val="both"/>
      </w:pPr>
      <w:r>
        <w:t>One result requires careful interpretation. Across all 285 test samples, none fell below the retrieval confidence threshold, so the VAE fallback was never invoked during this evaluation run. It would be easy to read that as evidence that the generative component is unnecessary. It is not. It indicates that retrieval alone currently covers the test distribution at the configured threshold — a result specific to this corpus's category coverage. A corpus containing more geometrically varied or less standardised components would exercise the fallback, and the threshold analysis would need re-running.</w:t>
      </w:r>
    </w:p>
    <w:p>
      <w:pPr>
        <w:pStyle w:val="Heading2"/>
      </w:pPr>
      <w:r>
        <w:t>Ablation Studies</w:t>
      </w:r>
    </w:p>
    <w:p>
      <w:pPr>
        <w:jc w:val="both"/>
      </w:pPr>
      <w:r>
        <w:t>Four controlled experiments were run to test design decisions that would otherwise rest on assumption. Each is reported with its outcome, including the two that did not support the change being tested.</w:t>
      </w:r>
    </w:p>
    <w:p>
      <w:pPr>
        <w:pStyle w:val="Heading3"/>
      </w:pPr>
      <w:r>
        <w:t>Encoder Benchmark</w:t>
      </w:r>
    </w:p>
    <w:p>
      <w:pPr>
        <w:jc w:val="both"/>
      </w:pPr>
      <w:r>
        <w:t>RGATConv was benchmarked against GATv2, GraphSAGE and GIN. Per-stage widths were held constant across all four candidates, so the comparison isolates the aggregation mechanism rather than confounding it with layer capacity. GraphSAGE and GIN lose edge features entirely — neither accepts an edge_dim — which is a real asymmetry, and a deliberate one: part of what the benchmark was meant to surface was whether the joint-type and contact-area edge features are actually load-bearing.</w:t>
      </w:r>
    </w:p>
    <w:p>
      <w:r>
        <w:rPr>
          <w:i/>
        </w:rPr>
        <w:t>Table: Encoder benchmark. Two-fold screening against full five-fold validation.</w:t>
      </w:r>
    </w:p>
    <w:p>
      <w:r>
        <w:t>[h] @L2.6cmL4.4cmC2.6cmC2.6cm@ Encoder | Edge features used | 2-fold screen | Full 5-fold</w:t>
      </w:r>
    </w:p>
    <w:p>
      <w:r>
        <w:t>RGATConv | Joint type + contact area | lower | 0.6765</w:t>
      </w:r>
    </w:p>
    <w:p>
      <w:r>
        <w:t>GraphSAGE | None | apparently higher | 0.6717</w:t>
      </w:r>
    </w:p>
    <w:p>
      <w:r>
        <w:t>GATv2 | Contact area (layer 1) | — | —</w:t>
      </w:r>
    </w:p>
    <w:p>
      <w:r>
        <w:t>GIN | None | — | —</w:t>
      </w:r>
    </w:p>
    <w:p>
      <w:pPr>
        <w:jc w:val="both"/>
      </w:pPr>
      <w:r>
        <w:t>The result is worth recording precisely because it is a near-miss. Two-fold screening suggested GraphSAGE was ahead, and acting on that screen would have removed relational attention from the architecture. Full five-fold validation showed an essential tie — 0.6765 against 0.6717, well inside the fold-to-fold spread. RGATConv was retained.</w:t>
      </w:r>
    </w:p>
    <w:p>
      <w:pPr>
        <w:jc w:val="both"/>
      </w:pPr>
      <w:r>
        <w:t>The methodological lesson generalises: an under-powered screening protocol does not merely produce a noisy estimate, it can invert the ranking of two candidates and drive a permanent architectural decision the wrong way.</w:t>
      </w:r>
    </w:p>
    <w:p>
      <w:pPr>
        <w:pStyle w:val="Heading3"/>
      </w:pPr>
      <w:r>
        <w:t>Capacity Ablation</w:t>
      </w:r>
    </w:p>
    <w:p>
      <w:pPr>
        <w:jc w:val="both"/>
      </w:pPr>
      <w:r>
        <w:t>Two capacity parameters were varied against the then-current baseline of 0.6765 mean AUC.</w:t>
      </w:r>
    </w:p>
    <w:p>
      <w:r>
        <w:rPr>
          <w:i/>
        </w:rPr>
        <w:t>Table: Capacity ablation outcomes.</w:t>
      </w:r>
    </w:p>
    <w:p>
      <w:r>
        <w:t>[h] @L4.0cmC3.0cmX@ Change | Mean AUC | Outcome</w:t>
      </w:r>
    </w:p>
    <w:p>
      <w:r>
        <w:t>Baseline (dropout 0.2) | 0.6765 | Reference</w:t>
      </w:r>
    </w:p>
    <w:p>
      <w:r>
        <w:t>Dropout -&gt; 0.3 | 0.6875 | Promoted; retained in the final configuration</w:t>
      </w:r>
    </w:p>
    <w:p>
      <w:r>
        <w:t>Hidden dim -&gt; 256 | — | Hard MPS out-of-memory crash; not evaluable on this hardware</w:t>
      </w:r>
    </w:p>
    <w:p>
      <w:pPr>
        <w:jc w:val="both"/>
      </w:pPr>
      <w:r>
        <w:t>Raising dropout to 0.3 produced a modest but real gain at full five-fold rigour and was promoted. Widening the hidden dimension to 256 could not be assessed at all: it exceeds the Metal Performance Shaders allocation ceiling of the development machine. That is a hardware limit rather than a negative result, and it is recorded as such rather than as evidence that wider is not better.</w:t>
      </w:r>
    </w:p>
    <w:p>
      <w:pPr>
        <w:pStyle w:val="Heading3"/>
      </w:pPr>
      <w:r>
        <w:t>Learning Curve</w:t>
      </w:r>
    </w:p>
    <w:p>
      <w:pPr>
        <w:jc w:val="both"/>
      </w:pPr>
      <w:r>
        <w:t>To establish whether the system was data-limited or model-limited, Phase 1 was retrained on nested subsets of the corpus.</w:t>
      </w:r>
    </w:p>
    <w:p>
      <w:r>
        <w:rPr>
          <w:i/>
        </w:rPr>
        <w:t>Table: Phase 1 performance against training-corpus fraction.</w:t>
      </w:r>
    </w:p>
    <w:p>
      <w:r>
        <w:t>[h] @C4.0cmC4.0cmX@ Corpus fraction | Mean AUC | Trend</w:t>
      </w:r>
    </w:p>
    <w:p>
      <w:r>
        <w:t>25% | 0.5736 | —</w:t>
      </w:r>
    </w:p>
    <w:p>
      <w:r>
        <w:t>50% | intermediate | rising</w:t>
      </w:r>
    </w:p>
    <w:p>
      <w:r>
        <w:t>75% | intermediate | rising</w:t>
      </w:r>
    </w:p>
    <w:p>
      <w:r>
        <w:t>100% | 0.6627 | no plateau observed</w:t>
      </w:r>
    </w:p>
    <w:p>
      <w:pPr>
        <w:jc w:val="both"/>
      </w:pPr>
      <w:r>
        <w:t>Performance scales cleanly with corpus size across the full range, with no sign of saturation at 100%. The system was therefore data-limited at that point, not architecture-limited — which directly motivated the corpus expansion from 238 to 749 models described in Section , and predicted the large gain that expansion subsequently produced.</w:t>
      </w:r>
    </w:p>
    <w:p>
      <w:pPr>
        <w:pStyle w:val="Heading3"/>
      </w:pPr>
      <w:r>
        <w:t>Cross-Validation Protocol</w:t>
      </w:r>
    </w:p>
    <w:p>
      <w:pPr>
        <w:jc w:val="both"/>
      </w:pPr>
      <w:r>
        <w:t>An early protocol used a fixed test set reused across all five folds. It was replaced with true five-fold assignment, in which each fold rotates a genuinely independent test partition.</w:t>
      </w:r>
    </w:p>
    <w:p>
      <w:r>
        <w:rPr>
          <w:i/>
        </w:rPr>
        <w:t>Table: Fixed test set versus true five-fold assignment, same corpus.</w:t>
      </w:r>
    </w:p>
    <w:p>
      <w:r>
        <w:t>[h] @L5.0cmC3.4cmX@ Protocol | Mean AUC | Std</w:t>
      </w:r>
    </w:p>
    <w:p>
      <w:r>
        <w:t>Fixed test set, reused x5 | 0.6875 | +/-0.0274</w:t>
      </w:r>
    </w:p>
    <w:p>
      <w:r>
        <w:t>True five-fold assignment | 0.6937 | +/-0.0702</w:t>
      </w:r>
    </w:p>
    <w:p>
      <w:pPr>
        <w:jc w:val="both"/>
      </w:pPr>
      <w:r>
        <w:t>The means are essentially identical; the standard deviation is roughly two and a half times larger under the honest protocol. The fixed test set had not been inflating the reported mean — it had been masking genuine fold-to-fold variance. Every Phase 1 number reported in this chapter uses the true five-fold protocol.</w:t>
      </w:r>
    </w:p>
    <w:p>
      <w:pPr>
        <w:pStyle w:val="Heading3"/>
      </w:pPr>
      <w:r>
        <w:t>Part Bank Quality Gate</w:t>
      </w:r>
    </w:p>
    <w:p>
      <w:pPr>
        <w:jc w:val="both"/>
      </w:pPr>
      <w:r>
        <w:t>The retrieval bank was rebuilt with a geometric quality gate applied at indexing time, rejecting degenerate and malformed bodies.</w:t>
      </w:r>
    </w:p>
    <w:p>
      <w:r>
        <w:rPr>
          <w:i/>
        </w:rPr>
        <w:t>Table: Part bank composition before and after the quality gate.</w:t>
      </w:r>
    </w:p>
    <w:p>
      <w:r>
        <w:t>[h] @L4.6cmC3.0cmC3.0cmX@ Bank version | Parts | Assemblies</w:t>
      </w:r>
    </w:p>
    <w:p>
      <w:r>
        <w:t>No gate | 4,500 | 187</w:t>
      </w:r>
    </w:p>
    <w:p>
      <w:r>
        <w:t>With quality gate | 3,843 | 193</w:t>
      </w:r>
    </w:p>
    <w:p>
      <w:pPr>
        <w:jc w:val="both"/>
      </w:pPr>
      <w:r>
        <w:t>The gate removed roughly 15% of indexed parts while increasing the number of contributing assemblies, which is the expected signature of eliminating many degenerate fragments drawn from a few pathological files. Comparing the two rebuilds also surfaced a signed-versus-absolute volume bug that had been silently admitting inverted-normal bodies into the bank.</w:t>
      </w:r>
    </w:p>
    <w:p>
      <w:pPr>
        <w:pStyle w:val="Heading2"/>
      </w:pPr>
      <w:r>
        <w:t>Findings from Exploratory Data Analysis</w:t>
      </w:r>
    </w:p>
    <w:p>
      <w:pPr>
        <w:jc w:val="both"/>
      </w:pPr>
      <w:r>
        <w:t>A full exploratory pass over the final 648-graph corpus, run after model training had already completed successfully, surfaced a data-quality issue invisible to the training metrics themselves.</w:t>
      </w:r>
    </w:p>
    <w:p>
      <w:pPr>
        <w:jc w:val="both"/>
      </w:pPr>
      <w:r>
        <w:t>The SDF-mean node feature is exactly zero for 25,142 of 25,155 bodies — 99.95% of the entire corpus. Only 13 bodies carry a non-zero value, and the paired SDF-variance feature moves in near-perfect lockstep with it (Pearson r &gt; 0.999), which is consistent with a feature that is silently constant rather than genuinely near-zero for physically flat geometry.</w:t>
      </w:r>
    </w:p>
    <w:p>
      <w:pPr>
        <w:jc w:val="both"/>
      </w:pPr>
      <w:r>
        <w:t>This mirrors the earlier instance described in Section , where hole-count and joint-type features were found to have been dead since the project's inception. That earlier discovery produced the single largest one-run performance gain of the entire project.</w:t>
      </w:r>
    </w:p>
    <w:p>
      <w:pPr>
        <w:jc w:val="both"/>
      </w:pPr>
      <w:r>
        <w:t>The finding is reported here unresolved, rather than omitted, because it demonstrates something worth stating: a model reaching strong aggregate metrics is not sufficient evidence that every input feature is contributing. A 34-dimensional feature vector of which one pair is constant still trained to 0.92 AUC. Targeted exploratory analysis of the corpus remains necessary even after training succeeds, and is recommended here as standard practice for any comparable pipeline.</w:t>
      </w:r>
    </w:p>
    <w:p>
      <w:pPr>
        <w:jc w:val="both"/>
      </w:pPr>
      <w:r>
        <w:t>A second, related finding emerged from the same analysis. Some 72.1% of bolts and 83.5% of washers in the corpus are flagged by the geometric hole detector as having holes — a higher rate than thick_plate bodies at 47.8%, which structurally host the through-holes that fasteners actually sit in. A washer's own bore is a genuine hole, so a high rate there is expected; a solid bolt normally is not. The elevated rate plausibly reflects the detector picking up thread-groove or head-recess geometry as false positives on a meaningful fraction of bolts. This is flagged as a candidate data-quality issue for future correction rather than a confirmed bug, since it has not yet been manually verified against individual STEP files at scale.</w:t>
      </w:r>
    </w:p>
    <w:p>
      <w:pPr>
        <w:pStyle w:val="Heading2"/>
      </w:pPr>
      <w:r>
        <w:t>Discussion</w:t>
      </w:r>
    </w:p>
    <w:p>
      <w:pPr>
        <w:jc w:val="both"/>
      </w:pPr>
      <w:r>
        <w:t>Three observations stand out from the results as a whole.</w:t>
      </w:r>
    </w:p>
    <w:p>
      <w:pPr>
        <w:jc w:val="both"/>
      </w:pPr>
      <w:r>
        <w:t>Data quality dominated architecture. The two largest single-run gains in a thirty-nine-revision history both came from repairing silently broken inputs, and the largest improvement overall came from replacing the corpus. No architecture search or hyperparameter sweep in this project produced a comparable effect. For a project of this scale on a modest corpus, effort spent auditing inputs returned considerably more than effort spent searching model space.</w:t>
      </w:r>
    </w:p>
    <w:p>
      <w:pPr>
        <w:jc w:val="both"/>
      </w:pPr>
      <w:r>
        <w:t>Aggregate metrics conceal structure. Phase 2's Hit@1 of 0.4093 genuinely exceeds baseline, and simultaneously conceals a head that cannot identify a washer at all. Reporting per-class breakdowns alongside aggregates is not a courtesy; without Table the Phase 2 result would be actively misleading.</w:t>
      </w:r>
    </w:p>
    <w:p>
      <w:pPr>
        <w:jc w:val="both"/>
      </w:pPr>
      <w:r>
        <w:t>Retrieval-first was the right default for this domain. Industrial fasteners are highly standardised, and a part bank holding hundreds of real examples will usually contain something closer to correct than a 32^3-resolution generative sample. The architecture reflects a judgement about the domain rather than about model capability.</w:t>
      </w:r>
    </w:p>
    <w:p>
      <w:pPr>
        <w:pStyle w:val="Heading1"/>
      </w:pPr>
      <w:r>
        <w:t>Application Interface and Demonstration</w:t>
      </w:r>
    </w:p>
    <w:p>
      <w:pPr>
        <w:jc w:val="both"/>
      </w:pPr>
      <w:r>
        <w:t>This chapter documents the deployed application through screenshots of the running system, captured on 18 September 2026. The application is the Streamlit front end described in Section : a single page with a control sidebar and a dual-panel workspace, in which a user uploads a STEP file and receives the detected, ranked, generated and explained results without leaving the page. The demonstration asset is a tool-post assembly, derived from the corpus model Tool_Post_10, from which fasteners, springs, shafts and the knob were deliberately removed so that the correct answer is known (Section ).</w:t>
      </w:r>
    </w:p>
    <w:p>
      <w:pPr>
        <w:pStyle w:val="Heading2"/>
      </w:pPr>
      <w:r>
        <w:t>Application Overview</w:t>
      </w:r>
    </w:p>
    <w:p>
      <w:pPr>
        <w:jc w:val="both"/>
      </w:pPr>
      <w:r>
        <w:t>Figure shows the application in its initial state, before any file is loaded. The window has three regions. The sidebar on the left carries the viewer settings, the trained-model information and the activity log. The workspace occupies the centre and is divided into an Input panel and a Results panel. The AIDA panel below the workspace stays empty until inference finishes, and then holds the engineering-language explanation of the predictions.</w:t>
      </w:r>
    </w:p>
    <w:p>
      <w:r>
        <w:rPr>
          <w:i/>
        </w:rPr>
        <w:t>Figure: Full application window in its initial state: sidebar (left), Input and Results panels (centre) and the AIDA explanation panel (bottom).</w:t>
      </w:r>
    </w:p>
    <w:p>
      <w:pPr>
        <w:pStyle w:val="Heading2"/>
      </w:pPr>
      <w:r>
        <w:t>Sidebar Controls</w:t>
      </w:r>
    </w:p>
    <w:p>
      <w:pPr>
        <w:pStyle w:val="Heading3"/>
      </w:pPr>
      <w:r>
        <w:t>Viewer Settings</w:t>
      </w:r>
    </w:p>
    <w:p>
      <w:pPr>
        <w:jc w:val="both"/>
      </w:pPr>
      <w:r>
        <w:t>The viewer settings, shown in Figure , control how the 3D model is drawn and do not affect any prediction. Colour sets the base colour of the assembled parts, Opacity ranges from 0.10 to 1.00 so that internal components such as balls and springs can be seen through their housings, Background sets the scene background (white in the figure), and Camera selects the viewing preset (isometric in the figure).</w:t>
      </w:r>
    </w:p>
    <w:p>
      <w:r>
        <w:rPr>
          <w:i/>
        </w:rPr>
        <w:t>Figure: Viewer Settings: part colour, opacity, background and camera preset.</w:t>
      </w:r>
    </w:p>
    <w:p>
      <w:pPr>
        <w:pStyle w:val="Heading3"/>
      </w:pPr>
      <w:r>
        <w:t>Trained-Model Information</w:t>
      </w:r>
    </w:p>
    <w:p>
      <w:pPr>
        <w:jc w:val="both"/>
      </w:pPr>
      <w:r>
        <w:t>The sidebar reports which model is currently serving predictions (Figure ). Three badges give the validation AUC-ROC (0.941), the test AUC-ROC (0.905) and the test average precision (0.888) recorded for the promoted checkpoint; a badge is green when its AUC is at least 0.70. These are single-checkpoint figures and differ from the five-fold means of Table , which are the results this project reports. Beneath the badges the application shows the date and commit of the code it is running, whether uncommitted changes are present, and the repository and branch it was served from, so that any screenshot can be traced to a specific code state.</w:t>
      </w:r>
    </w:p>
    <w:p>
      <w:r>
        <w:rPr>
          <w:i/>
        </w:rPr>
        <w:t>Figure: Trained-model information: metrics of the promoted serving checkpoint and the code version the application is running.</w:t>
      </w:r>
    </w:p>
    <w:p>
      <w:pPr>
        <w:pStyle w:val="Heading3"/>
      </w:pPr>
      <w:r>
        <w:t>Activity Log</w:t>
      </w:r>
    </w:p>
    <w:p>
      <w:pPr>
        <w:jc w:val="both"/>
      </w:pPr>
      <w:r>
        <w:t>The activity log (Figure ) records each pipeline stage with a timestamp as it runs: STEP files being parsed, the assembly graphs built and saved, the split summary, and the stage markers of the inference run, for example [2/4] Building model. It makes the multi-second processing time visible to the user and is the first place to look when a stage fails. A Reset All &amp; Log control (Figure ) clears it.</w:t>
      </w:r>
    </w:p>
    <w:p>
      <w:r>
        <w:rPr>
          <w:i/>
        </w:rPr>
        <w:t>Figure: Activity Log: timestamped pipeline stages.</w:t>
      </w:r>
    </w:p>
    <w:p>
      <w:pPr>
        <w:pStyle w:val="Heading2"/>
      </w:pPr>
      <w:r>
        <w:t>Input and Results Panels</w:t>
      </w:r>
    </w:p>
    <w:p>
      <w:pPr>
        <w:pStyle w:val="Heading3"/>
      </w:pPr>
      <w:r>
        <w:t>Model Upload</w:t>
      </w:r>
    </w:p>
    <w:p>
      <w:pPr>
        <w:jc w:val="both"/>
      </w:pPr>
      <w:r>
        <w:t>The Input panel accepts a single STEP or STP file of up to 50 MB through the upload control shown in Figure (a). Until a file is loaded, the Results panel displays a prompt asking for one (Figure (b)).</w:t>
      </w:r>
    </w:p>
    <w:p>
      <w:r>
        <w:rPr>
          <w:i/>
        </w:rPr>
        <w:t>Figure: (a) Input panel with the STEP/STP upload control. (b) Results panel before a file is loaded.</w:t>
      </w:r>
    </w:p>
    <w:p>
      <w:pPr>
        <w:pStyle w:val="Heading3"/>
      </w:pPr>
      <w:r>
        <w:t>Inspecting the Uploaded Assembly</w:t>
      </w:r>
    </w:p>
    <w:p>
      <w:pPr>
        <w:jc w:val="both"/>
      </w:pPr>
      <w:r>
        <w:t>Once a file is parsed, the Results panel shows the model in an interactive 3D viewer (Figure ). A Original/Result toggle switches between the uploaded geometry and the prediction overlay, and Highlight toggles emphasis on the selected component. Each body appears as a separately switchable entry in the legend (Part 1 to Part 4 here), and the toolbar provides screenshot capture, zoom, pan, orbit, turntable rotation, home view, camera reset and full-screen mode. The model can be inspected from any angle before any prediction is run, which is how a user confirms that the file loaded as intended.</w:t>
      </w:r>
    </w:p>
    <w:p>
      <w:r>
        <w:rPr>
          <w:i/>
        </w:rPr>
        <w:t>Figure: Original view of the uploaded partial tool-post assembly, before prediction.</w:t>
      </w:r>
    </w:p>
    <w:p>
      <w:pPr>
        <w:pStyle w:val="Heading2"/>
      </w:pPr>
      <w:r>
        <w:t>Prediction Results</w:t>
      </w:r>
    </w:p>
    <w:p>
      <w:pPr>
        <w:pStyle w:val="Heading3"/>
      </w:pPr>
      <w:r>
        <w:t>Result View</w:t>
      </w:r>
    </w:p>
    <w:p>
      <w:pPr>
        <w:jc w:val="both"/>
      </w:pPr>
      <w:r>
        <w:t>Selecting Result overlays the predictions on the uploaded model (Figure ). Components are grouped in the legend by their status. Parts (blue) are components with their expected contacts. Not Assembled (orange, marked with a warning symbol) are components flagged either because they touch nothing or because they have fewer contacts than other instances of the same part. Suggested Shapes (pink) are the geometries proposed for the missing components. Each group can be shown or hidden individually, and the row of buttons beneath the viewer switches whole groups on or off at once. The caption line under the viewer reports the file name and the mesh size that was processed (here 76,996 points and 154,008 faces).</w:t>
      </w:r>
    </w:p>
    <w:p>
      <w:r>
        <w:rPr>
          <w:i/>
        </w:rPr>
        <w:t>Figure: Result view of the partial tool post: Parts (blue), Not Assembled (orange) and the Suggested Shapes group (pink).</w:t>
      </w:r>
    </w:p>
    <w:p>
      <w:pPr>
        <w:jc w:val="both"/>
      </w:pPr>
      <w:r>
        <w:t>The same components appear again in the Reconstructed group, coloured by category, in Figure ; how that group is produced is described in Section .</w:t>
      </w:r>
    </w:p>
    <w:p>
      <w:r>
        <w:rPr>
          <w:i/>
        </w:rPr>
        <w:t>Figure: The same components in the Reconstructed group, coloured by component category.</w:t>
      </w:r>
    </w:p>
    <w:p>
      <w:pPr>
        <w:pStyle w:val="Heading3"/>
      </w:pPr>
      <w:r>
        <w:t>Reconstructed Components</w:t>
      </w:r>
    </w:p>
    <w:p>
      <w:pPr>
        <w:jc w:val="both"/>
      </w:pPr>
      <w:r>
        <w:t>For tool-post assemblies the application additionally reconstructs the missing components and draws them in a separate Reconstructed group, coloured by component category so that fasteners, springs, shafts and the knob can be told apart (Figure ). The step is implemented in slot_detector.py and rebuild.py, and works in three stages. First, it locates open seats: cylindrical holes on the host bodies with nothing seated in them, plus positions implied by the rotational symmetry of a hole pattern that has surviving members. Second, it assigns each seat a component family from the seat geometry and the parts around it. Third, it obtains the geometry. Where an identical part survives elsewhere in the upload, its mesh is copied and translated to the empty seat. Otherwise the part is retrieved from the part bank or from a small library of springs, which the bank's watertightness gate cannot hold, using the corpus assemblies most similar to the upload to choose between candidates. The components in Figure , shown above, are in the same positions as the suggested shapes of Figure , drawn under the category colouring instead.</w:t>
      </w:r>
    </w:p>
    <w:p>
      <w:pPr>
        <w:jc w:val="both"/>
      </w:pPr>
      <w:r>
        <w:t>The reconstruction was scored against the withheld original. Table reports, for each component family, the distance between the rebuilt part's centroid and the matching part in the original assembly (position), and the mean surface distance between the two meshes after centring both (shape and orientation). Across the 17 rebuilt components the mean position error is 0.27 mm and the mean shape error is 0.39 mm. Re-running with the original model's own parts excluded from retrieval gives the same figures. Two independent tessellations of the same solid differ by roughly 0.2–0.6 mm, so shape errors inside that band are indistinguishable from an exact match. The central shaft (0.83 mm) is the only family above it, and the knob has the largest position error (2.93 mm).</w:t>
      </w:r>
    </w:p>
    <w:p>
      <w:r>
        <w:rPr>
          <w:i/>
        </w:rPr>
        <w:t>Table: Reconstruction accuracy against the original Tool_Post_10</w:t>
      </w:r>
    </w:p>
    <w:p>
      <w:r>
        <w:t>[H] (17 components; mean per family, in mm). @L3.3cmC0.9cmL5.5cmC1.9cmC1.9cm@ Family | n | Geometry source | Position | Shape</w:t>
      </w:r>
    </w:p>
    <w:p>
      <w:r>
        <w:t>Machine screw | 4 | Copied from surviving instance | 0.00 | 0.41</w:t>
      </w:r>
    </w:p>
    <w:p>
      <w:r>
        <w:t>BS 4183 screw | 2 | Copied from surviving instance | 0.00 | 0.49</w:t>
      </w:r>
    </w:p>
    <w:p>
      <w:r>
        <w:t>DIN washer | 2 | Copied from surviving instance | 0.00 | 0.29</w:t>
      </w:r>
    </w:p>
    <w:p>
      <w:r>
        <w:t>Ball | 2 | Copied from surviving instance | 0.00 | 0.10</w:t>
      </w:r>
    </w:p>
    <w:p>
      <w:r>
        <w:t>Compression spring | 4 | Retrieved (spring library) | 0.07 | 0.36</w:t>
      </w:r>
    </w:p>
    <w:p>
      <w:r>
        <w:t>Central shaft | 1 | Retrieved (part bank) | 0.32 | 0.83</w:t>
      </w:r>
    </w:p>
    <w:p>
      <w:r>
        <w:t>Side shaft | 1 | Retrieved (part bank) | 1.14 | 0.45</w:t>
      </w:r>
    </w:p>
    <w:p>
      <w:r>
        <w:t>Knob | 1 | Retrieved (part bank) | 2.93 | 0.54</w:t>
      </w:r>
    </w:p>
    <w:p>
      <w:r>
        <w:t>All | 17 | 0.27 | 0.39</w:t>
      </w:r>
    </w:p>
    <w:p>
      <w:pPr>
        <w:jc w:val="both"/>
      </w:pPr>
      <w:r>
        <w:t>This result should be read narrowly. It is one assembly. The family rules and the mount-hole rule for the side shaft are calibrated for the tool-post category, and that same model was used to tune them, so the table demonstrates that the mechanism can recover a known answer rather than establishing how it generalises to unseen assemblies or other categories. The exclusion test removes the original's parts from retrieval but does not remove the model from the calibration. A held-out evaluation on further partial tool posts, and an equivalent calibration for the other six categories, remain to be done.</w:t>
      </w:r>
    </w:p>
    <w:p>
      <w:pPr>
        <w:pStyle w:val="Heading3"/>
      </w:pPr>
      <w:r>
        <w:t>Prediction Details Panel</w:t>
      </w:r>
    </w:p>
    <w:p>
      <w:pPr>
        <w:jc w:val="both"/>
      </w:pPr>
      <w:r>
        <w:t>When inference completes, a green banner reports how many missing components were reconstructed and placed (Figure ). The reconstructed components can be expanded into a table giving each component's position, how its seat was found, where its shape came from, and the part used, and the result can be downloaded as a .glb file for use in other 3D tools. Below the reconstruction sits a summary line (here four components and six known connections) and six collapsible sections: Assembly Type Identified, Expected Components Missing (the AssemblyTemplateDB prior), AI-Ranked Next Component (the NodeRanker output), Why This Next Component? (the GNNExplainer attributions), Open Assembly Joints Detected (the octree open-surface findings) and Suggested Missing-Part Shapes. Predict another loads a new file, and Reset All &amp; Log clears the session.</w:t>
      </w:r>
    </w:p>
    <w:p>
      <w:r>
        <w:rPr>
          <w:i/>
        </w:rPr>
        <w:t>Figure: Prediction details panel with the reconstruction banner and the six result sections.</w:t>
      </w:r>
    </w:p>
    <w:p>
      <w:pPr>
        <w:pStyle w:val="Heading2"/>
      </w:pPr>
      <w:r>
        <w:t>AIDA Engineering Interpretation</w:t>
      </w:r>
    </w:p>
    <w:p>
      <w:pPr>
        <w:jc w:val="both"/>
      </w:pPr>
      <w:r>
        <w:t>The AIDA panel (Figure ) turns the model outputs into an engineering-language report with fixed sections. Section 1 lists components that touch nothing, or that have fewer contacts than sibling instances of the same part; in this run none met either condition. Section 2 lists the links the GNN predicts between existing parts. Here every one carries a confidence of 0.001, and AIDA reports them as very low confidence rather than presenting them as findings. Section 3 reports the octree detector's open-surface fractions (34%, 30% and 29% for Bodies 2, 3 and 4). Section 4 lists the suggested missing-part shapes together with a location fit and a shape confidence for each: the washer, nut and bolt are retrieved from the part bank at 99–100% on both scores, while the long shaft is generated by the conditional VAE with a 97% shape confidence but only 34% location fit. The last item is worth noting. It shows the VAE fallback being used for a non-fastener type in the live application, and it shows that for the generated part the weak point is the placement, not the shape. A closing recommendation summarises the findings.</w:t>
      </w:r>
    </w:p>
    <w:p>
      <w:r>
        <w:rPr>
          <w:i/>
        </w:rPr>
        <w:t>Figure: AIDA panel: Gemini-generated engineering interpretation of the GNN predictions, open-surface findings and suggested shapes.</w:t>
      </w:r>
    </w:p>
    <w:p>
      <w:pPr>
        <w:pStyle w:val="Heading1"/>
      </w:pPr>
      <w:r>
        <w:t>Testing and Validation</w:t>
      </w:r>
    </w:p>
    <w:p>
      <w:pPr>
        <w:jc w:val="both"/>
      </w:pPr>
      <w:r>
        <w:t>This chapter describes how the system's correctness was established, separately from how its performance was measured. The distinction matters: a model can post a strong AUC while a defect upstream of it quietly corrupts the inputs, as Section demonstrates.</w:t>
      </w:r>
    </w:p>
    <w:p>
      <w:pPr>
        <w:pStyle w:val="Heading2"/>
      </w:pPr>
      <w:r>
        <w:t>Reproducibility Protocol</w:t>
      </w:r>
    </w:p>
    <w:p>
      <w:pPr>
        <w:jc w:val="both"/>
      </w:pPr>
      <w:r>
        <w:t>Every reported metric must be reproducible from the same corpus snapshot. This was not true early in the project, and making it true required fixing a real defect.</w:t>
      </w:r>
    </w:p>
    <w:p>
      <w:pPr>
        <w:jc w:val="both"/>
      </w:pPr>
      <w:r>
        <w:t>get_splits() seeds the per-graph edge split, but it originally seeded only the PyTorch generator and not Python's own. Because RandomLinkSplit draws on both, re-evaluating an identical checkpoint on an identical fold produced a slightly different AUC on each run. The fix seeds both generators per (fold, graph) pair. Verification was direct: the same checkpoint, re-evaluated on the same fold, now returns a bit-identical AUC.</w:t>
      </w:r>
    </w:p>
    <w:p>
      <w:r>
        <w:rPr>
          <w:i/>
        </w:rPr>
        <w:t>Table: Reproducibility controls.</w:t>
      </w:r>
    </w:p>
    <w:p>
      <w:r>
        <w:t>[h] @L4.4cmX@ Control | Mechanism</w:t>
      </w:r>
    </w:p>
    <w:p>
      <w:r>
        <w:t>Split determinism | Both RNGs seeded per (fold, graph) in get_splits()</w:t>
      </w:r>
    </w:p>
    <w:p>
      <w:r>
        <w:t>Feature-set versioning | Cache invalidated whenever the node-vector width changes</w:t>
      </w:r>
    </w:p>
    <w:p>
      <w:r>
        <w:t>Configuration capture | Every checkpoint stores the config.yaml it trained under</w:t>
      </w:r>
    </w:p>
    <w:p>
      <w:r>
        <w:t>Metric provenance | Checkpoints embed their own CV summary and test metrics</w:t>
      </w:r>
    </w:p>
    <w:p>
      <w:r>
        <w:t>Batch determinism | Sampler shuffle seeded from the resumed epoch, not a reset counter</w:t>
      </w:r>
    </w:p>
    <w:p>
      <w:pPr>
        <w:jc w:val="both"/>
      </w:pPr>
      <w:r>
        <w:t>The feature-set versioning control deserves a note, because it was added after a near-miss. The per-graph cache is keyed by filename alone. When the node vector grew from 22 to 34 dimensions, 235 graphs cached under the old width were about to be silently mixed into a dataset built under the new one, producing a corpus of inconsistent tensor widths. A version stamp on the feature set now invalidates the cache whenever the vector changes.</w:t>
      </w:r>
    </w:p>
    <w:p>
      <w:pPr>
        <w:pStyle w:val="Heading2"/>
      </w:pPr>
      <w:r>
        <w:t>Validation of the Graph Construction Pipeline</w:t>
      </w:r>
    </w:p>
    <w:p>
      <w:pPr>
        <w:jc w:val="both"/>
      </w:pPr>
      <w:r>
        <w:t>The pipeline is validated at three levels.</w:t>
      </w:r>
    </w:p>
    <w:p>
      <w:pPr>
        <w:jc w:val="both"/>
      </w:pPr>
      <w:r>
        <w:t>Structural validation. Every parsed graph is checked for node/edge count consistency, correct feature-vector width, and absence of self-loops. Graphs failing any check are rejected rather than repaired, on the principle that a silently-corrected graph is worse than a missing one.</w:t>
      </w:r>
    </w:p>
    <w:p>
      <w:pPr>
        <w:jc w:val="both"/>
      </w:pPr>
      <w:r>
        <w:t>Classification validation. Component-type assignment was audited against manual inspection, which is how both geometry-classification bugs in Section were caught — the fastener-orientation error and the merged-hole heuristic. Neither produced an exception; both were visible only by looking at what the classifier actually output for known parts.</w:t>
      </w:r>
    </w:p>
    <w:p>
      <w:pPr>
        <w:jc w:val="both"/>
      </w:pPr>
      <w:r>
        <w:t>Statistical validation. The exploratory pass described in Section examines the distribution of every feature across the whole corpus. This is what surfaced the dead SDF feature, and it is the only one of the three levels that could have.</w:t>
      </w:r>
    </w:p>
    <w:p>
      <w:pPr>
        <w:pStyle w:val="Heading2"/>
      </w:pPr>
      <w:r>
        <w:t>Model Validation</w:t>
      </w:r>
    </w:p>
    <w:p>
      <w:pPr>
        <w:jc w:val="both"/>
      </w:pPr>
      <w:r>
        <w:t>Phase 1 is validated under true five-fold cross-validation with chance-level AP reported alongside AP, so that dataset imbalance can never be mistaken for ranking skill. Phase 2 is validated against a corpus-wide majority-class baseline computed from true type frequency rather than from the leave-one-out sample pool — the latter makes the baseline a moving target whenever sampling parameters change, and is retained only for continuity with older logs. Phase 3 selects its checkpoint by validation IoU and Chamfer distance rather than training loss.</w:t>
      </w:r>
    </w:p>
    <w:p>
      <w:pPr>
        <w:pStyle w:val="Heading2"/>
      </w:pPr>
      <w:r>
        <w:t>Checkpoint Promotion Gating</w:t>
      </w:r>
    </w:p>
    <w:p>
      <w:pPr>
        <w:jc w:val="both"/>
      </w:pPr>
      <w:r>
        <w:t>A newly trained checkpoint does not automatically replace the serving model. A promotion gate compares candidate metrics against the incumbent and requires both AUC-ROC and average precision to improve, or to remain within a defined tolerance.</w:t>
      </w:r>
    </w:p>
    <w:p>
      <w:pPr>
        <w:jc w:val="both"/>
      </w:pPr>
      <w:r>
        <w:t>The gate itself contained a defect for part of the project's history, described in Section : comparing metrics as a lexicographic tuple meant Python's short-circuiting silently ignored AP whenever AUC differed. A checkpoint that improved AUC while regressing AP would be promoted with no warning. The corrected gate evaluates both metrics explicitly.</w:t>
      </w:r>
    </w:p>
    <w:p>
      <w:pPr>
        <w:jc w:val="both"/>
      </w:pPr>
      <w:r>
        <w:t>This class of defect — one that produces no error, no warning and no anomalous number, and merely makes a reported quantity decorative — is the hardest to find, and is the reason the ablation protocol in Section reports negative and inconclusive results rather than only successful ones.</w:t>
      </w:r>
    </w:p>
    <w:p>
      <w:pPr>
        <w:pStyle w:val="Heading2"/>
      </w:pPr>
      <w:r>
        <w:t>System Testing</w:t>
      </w:r>
    </w:p>
    <w:p>
      <w:pPr>
        <w:jc w:val="both"/>
      </w:pPr>
      <w:r>
        <w:t>End-to-end testing runs real STEP files through the deployed application. A representative test asset is a tool-post assembly with its bolts deliberately removed, which exercises the full detect -&gt; rank -&gt; generate -&gt; explain path and has a known correct answer.</w:t>
      </w:r>
    </w:p>
    <w:p>
      <w:r>
        <w:rPr>
          <w:i/>
        </w:rPr>
        <w:t>Table: End-to-end pipeline timing, typical four-body assembly.</w:t>
      </w:r>
    </w:p>
    <w:p>
      <w:r>
        <w:t>[h] @L4.6cmC3.0cmX@ Stage | Share of latency | Notes</w:t>
      </w:r>
    </w:p>
    <w:p>
      <w:r>
        <w:t>STEP parse and meshing | Dominant | Bounded by the parse-timeout policy</w:t>
      </w:r>
    </w:p>
    <w:p>
      <w:r>
        <w:t>Feature extraction | Moderate | Hole analysis is the costliest component</w:t>
      </w:r>
    </w:p>
    <w:p>
      <w:r>
        <w:t>Encoder forward pass | Negligible | One pass, shared by all heads</w:t>
      </w:r>
    </w:p>
    <w:p>
      <w:r>
        <w:t>Task heads | Negligible | Small parameter counts</w:t>
      </w:r>
    </w:p>
    <w:p>
      <w:r>
        <w:t>Explanation generation | Moderate | External API round-trip</w:t>
      </w:r>
    </w:p>
    <w:p>
      <w:r>
        <w:t>Total | 24 s | Against a &lt;30 s requirement (NFR-1)</w:t>
      </w:r>
    </w:p>
    <w:p>
      <w:pPr>
        <w:jc w:val="both"/>
      </w:pPr>
      <w:r>
        <w:t>The distribution is itself informative: geometry processing dominates, and the neural components are effectively free by comparison. Any future latency work belongs in the parser, not the model.</w:t>
      </w:r>
    </w:p>
    <w:p>
      <w:pPr>
        <w:pStyle w:val="Heading1"/>
      </w:pPr>
      <w:r>
        <w:t>Conclusion and Future Work</w:t>
      </w:r>
    </w:p>
    <w:p>
      <w:pPr>
        <w:pStyle w:val="Heading2"/>
      </w:pPr>
      <w:r>
        <w:t>Conclusion</w:t>
      </w:r>
    </w:p>
    <w:p>
      <w:pPr>
        <w:jc w:val="both"/>
      </w:pPr>
      <w:r>
        <w:t>This project set out to close a specific gap: CAD systems track geometry faithfully but offer no judgement about whether an assembly is complete. The result is an end-to-end graph neural network system that treats a mechanical assembly as an attributed graph and addresses assembly completion in three phases sharing a single frozen encoder.</w:t>
      </w:r>
    </w:p>
    <w:p>
      <w:pPr>
        <w:jc w:val="both"/>
      </w:pPr>
      <w:r>
        <w:t>All objectives stated in Chapter 1 were met. Phase 1 detects missing components at a mean AUC-ROC of 0.9206 (+/-0.0121) and mean AP of 0.9020 under true five-fold cross-validation, against targets of 0.85 and 0.82. Phase 2 recommends the next component type at Hit@5 0.9101 and MRR 0.6102 against targets of 0.70 and 0.60, with Hit@1 of 0.4093 genuinely above the 0.3442 majority-class baseline. Phase 3 generates placeable geometry at IoU 0.6459 and Chamfer distance 0.0377, comfortably clearing targets of 0.35 and 0.08.</w:t>
      </w:r>
    </w:p>
    <w:p>
      <w:pPr>
        <w:jc w:val="both"/>
      </w:pPr>
      <w:r>
        <w:t>Beyond the headline metrics, the project delivers four contributions with no direct analogue in the surveyed CAD-generation literature: an octree-based open-surface detector that locates candidate mating joints from raw mesh geometry without a CAD kernel; a component-type frequency prior that remains useful when a single body is uploaded with no graph context; a GNNExplainer-based explanation layer that renders predictions in engineering language; and a working interactive application running the complete pipeline against user-uploaded STEP files in approximately 24 seconds.</w:t>
      </w:r>
    </w:p>
    <w:p>
      <w:pPr>
        <w:jc w:val="both"/>
      </w:pPr>
      <w:r>
        <w:t>The project also delivers a curated corpus of 749 industrial CAD assemblies balanced across seven categories, together with the parsing pipeline that converts them into attributed graphs — an artefact that outlives this particular model.</w:t>
      </w:r>
    </w:p>
    <w:p>
      <w:pPr>
        <w:jc w:val="both"/>
      </w:pPr>
      <w:r>
        <w:t>If one lesson generalises beyond this specific system, it is the one in Section : across thirty-nine tracked revisions, the improvements that mattered came from correcting broken data and broken metrics, not from searching model space.</w:t>
      </w:r>
    </w:p>
    <w:p>
      <w:pPr>
        <w:pStyle w:val="Heading2"/>
      </w:pPr>
      <w:r>
        <w:t>Limitations</w:t>
      </w:r>
    </w:p>
    <w:p>
      <w:pPr>
        <w:jc w:val="both"/>
      </w:pPr>
      <w:r>
        <w:t>Three limitations are worth stating plainly.</w:t>
      </w:r>
    </w:p>
    <w:p>
      <w:pPr>
        <w:jc w:val="both"/>
      </w:pPr>
      <w:r>
        <w:t>First, NodeRanker's majority-class bias means Hit@1 performance, while a genuine improvement over baseline, is not evenly distributed across component types. washer sits at zero and thin_plate at 0.024. Class-balanced sampling or loss re-weighting is the natural next step; an earlier attempt at class-balanced BPR sampling weakly reduced the over-prediction of body without resolving the underlying collapse.</w:t>
      </w:r>
    </w:p>
    <w:p>
      <w:pPr>
        <w:jc w:val="both"/>
      </w:pPr>
      <w:r>
        <w:t>Second, HybridShapeGenerator's conditional-VAE fallback is available for every component type, but only the fastener types — bolt, washer, nut — receive the relaxed retrieval threshold, and the fallback was never invoked in the offline evaluation. Its output quality is therefore not covered by the reported IoU and Chamfer figures, even though the live application does call it for non-fastener types: the long shaft in Figure was generated this way, with a low location fit (34%). Measuring the fallback on those types, and re-running the retrieval-threshold analysis with them included, is future work.</w:t>
      </w:r>
    </w:p>
    <w:p>
      <w:pPr>
        <w:jc w:val="both"/>
      </w:pPr>
      <w:r>
        <w:t>Third, the SDF and hole-detection findings in Section are open engineering issues rather than fixed ones. Confirming and repairing the SDF ray-cast, and manually auditing the bolt/washer hole-detection false-positive rate against ground-truth STEP geometry, are concrete near-term priorities before the next full corpus retrain.</w:t>
      </w:r>
    </w:p>
    <w:p>
      <w:pPr>
        <w:jc w:val="both"/>
      </w:pPr>
      <w:r>
        <w:t>More broadly, the corpus — while curated across seven realistic industrial categories — is domain-specific to fastening and flow-control mechanisms. No claim is made about generalisation beyond that domain.</w:t>
      </w:r>
    </w:p>
    <w:p>
      <w:pPr>
        <w:pStyle w:val="Heading2"/>
      </w:pPr>
      <w:r>
        <w:t>Future Work</w:t>
      </w:r>
    </w:p>
    <w:p>
      <w:pPr>
        <w:jc w:val="both"/>
      </w:pPr>
      <w:r>
        <w:t>• Address the ranking-head class bias through class-balanced sampling, focal or re-weighted ranking loss, or a richer context representation. The mean-pooled context vector of Equation is a prime suspect: averaging over all known nodes may simply wash out the signal that distinguishes a washer-shaped gap from a body-shaped one.</w:t>
      </w:r>
    </w:p>
    <w:p>
      <w:pPr>
        <w:jc w:val="both"/>
      </w:pPr>
      <w:r>
        <w:t>• Repair the dead SDF feature and re-run the full corpus pipeline, then measure whether restoring two genuinely informative dimensions produces a gain comparable to the earlier hole-count/joint-type repair.</w:t>
      </w:r>
    </w:p>
    <w:p>
      <w:pPr>
        <w:jc w:val="both"/>
      </w:pPr>
      <w:r>
        <w:t>• Validate the generative fallback on the non-fastener types the live application already calls it for, and raise voxel resolution above 32^3, which currently bounds achievable detail.</w:t>
      </w:r>
    </w:p>
    <w:p>
      <w:pPr>
        <w:jc w:val="both"/>
      </w:pPr>
      <w:r>
        <w:t>• Extend corpus coverage to a wider range of mechanical assembly types — gearboxes, linkages, weldments — to test whether the approach generalises past fastening and flow-control mechanisms.</w:t>
      </w:r>
    </w:p>
    <w:p>
      <w:pPr>
        <w:jc w:val="both"/>
      </w:pPr>
      <w:r>
        <w:t>• Predict joint constraints, not only components, so that a suggested part arrives with its mating constraints already proposed and can be written back into a native CAD file.</w:t>
      </w:r>
    </w:p>
    <w:p>
      <w:pPr>
        <w:jc w:val="both"/>
      </w:pPr>
      <w:r>
        <w:t>• Conduct a user study with practising mechanical designers to measure whether the explanation layer actually improves trust calibration, which this project asserts but has not empirically tested.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