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w:t>
      </w:r>
      <w:r>
        <w:rPr>
          <w:rFonts w:ascii="Times New Roman" w:cs="Times New Roman" w:eastAsia="Times New Roman" w:hAnsi="Times New Roman"/>
          <w:sz w:val="20"/>
          <w:szCs w:val="20"/>
          <w:vertAlign w:val="superscript"/>
        </w:rPr>
        <w:t xml:space="preserve">1*</w:t>
      </w:r>
    </w:p>
    <w:p>
      <w:pPr>
        <w:spacing w:after="40"/>
        <w:jc w:val="center"/>
      </w:pPr>
      <w:r>
        <w:rPr>
          <w:rFonts w:ascii="Times New Roman" w:cs="Times New Roman" w:eastAsia="Times New Roman" w:hAnsi="Times New Roman"/>
          <w:sz w:val="18"/>
          <w:szCs w:val="18"/>
        </w:rPr>
        <w:t xml:space="preserve">1*Student – M.Tech Data Science and AI, PES University, Hosur Rd, Konappana Agrahara, Bangalore, 560100, Karnataka, India</w:t>
      </w:r>
    </w:p>
    <w:p>
      <w:r>
        <w:rPr>
          <w:rFonts w:ascii="Times New Roman" w:cs="Times New Roman" w:eastAsia="Times New Roman" w:hAnsi="Times New Roman"/>
          <w:sz w:val="18"/>
          <w:szCs w:val="18"/>
        </w:rPr>
        <w:t xml:space="preserve"/>
      </w:r>
    </w:p>
    <w:p>
      <w:pPr>
        <w:spacing w:after="240"/>
        <w:jc w:val="center"/>
      </w:pPr>
      <w:r>
        <w:rPr>
          <w:rFonts w:ascii="Times New Roman" w:cs="Times New Roman" w:eastAsia="Times New Roman" w:hAnsi="Times New Roman"/>
          <w:sz w:val="18"/>
          <w:szCs w:val="18"/>
        </w:rPr>
        <w:t xml:space="preserve">Corresponding author(s). E-mail(s): </w:t>
      </w:r>
      <w:hyperlink w:history="1" r:id="rIdwdawfj82hhph_2g2avcsr">
        <w:r>
          <w:rPr>
            <w:rStyle w:val="Hyperlink"/>
            <w:rFonts w:ascii="Times New Roman" w:cs="Times New Roman" w:eastAsia="Times New Roman" w:hAnsi="Times New Roman"/>
            <w:color w:val="1155CC"/>
            <w:sz w:val="18"/>
            <w:szCs w:val="18"/>
            <w:u w:val="single"/>
          </w:rPr>
          <w:t xml:space="preserve">parthasarathy.perumal@gmail.com</w:t>
        </w:r>
      </w:hyperlink>
      <w:r>
        <w:rPr>
          <w:rFonts w:ascii="Times New Roman" w:cs="Times New Roman" w:eastAsia="Times New Roman" w:hAnsi="Times New Roman"/>
          <w:sz w:val="18"/>
          <w:szCs w:val="18"/>
        </w:rPr>
        <w:t xml:space="preserve">;</w:t>
      </w:r>
    </w:p>
    <w:p>
      <w:pPr>
        <w:spacing w:after="100"/>
        <w:ind w:firstLine="227"/>
        <w:jc w:val="both"/>
      </w:pPr>
      <w:r>
        <w:rPr>
          <w:rFonts w:ascii="Times New Roman" w:cs="Times New Roman" w:eastAsia="Times New Roman" w:hAnsi="Times New Roman"/>
          <w:b/>
          <w:bCs/>
          <w:i/>
          <w:iCs/>
          <w:sz w:val="20"/>
          <w:szCs w:val="20"/>
        </w:rPr>
        <w:t xml:space="preserve">Abstract. </w:t>
      </w: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it offers no judgement about the assembly itself: it cannot tell a designer that a bolted joint is missing its nut, that a valve housing typically pairs with a particular gland-plate variant, or what shape a plausible replacement part should take. That judgement lives entirely in the designer's experience. For junior engineers, or for anyone auditing a partially-defined assembly inherited from someone else, this is a real productivity and quality gap: incomplete assemblies have no built-in mechanism to flag what is missing, and no standardised way to suggest what should be added.</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 a bolt seated in a hole, a shaft running through a bushing — is an edge. Graph neural networks (GNNs) are designed to learn representations over exactly this kind of relational structure, and have driven substantial recent progress in adjacent CAD-generation tasks such as boundary-representation (B-Rep) synthesis [1,2] and construction-sequence generation from language [3].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[10,11],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[1] uses a structured latent diffusion model to synthesise valid B-Rep solids; SolidGen [2] is an autoregressive model over B-Rep topology and geometry; CAD-GPT [3]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[6,7,8] established the modern toolkit for learning over irregular relational data, and relational-attention variants such as RGATConv [9] extend attention with per-edge-type parameters — the mechanism this work builds on directly, since a mechanical joint's type materially changes how two connected bodies should influence each other's representation. A recent theoretical analysis questions how much link-prediction performance is attributable to simple structural heuristics rather than learned features [4]; our node features are dominated by affine-invariant shape descriptors rather than pure topology, which should reduce that risk, though we do not claim to have isolated the effect. Heterogeneous graph contrastive learning [5]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[10] and PartNet [11]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[12]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[17]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plus a live explanation layer, with two supporting geometric modules feeding candidate-location evidence back into the encoder's input.</w:t>
      </w:r>
    </w:p>
    <w:p>
      <w:pPr>
        <w:spacing w:after="40"/>
        <w:jc w:val="center"/>
      </w:pPr>
      <w:r>
        <w:drawing>
          <wp:inline distT="0" distB="0" distL="0" distR="0">
            <wp:extent cx="4381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13620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[13]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3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3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[14].</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downsampling, batch normalisation, LeakyReLU) producing a 128-dimensional latent distribution; the decoder mirrors this with transposed convolutions, conditioned throughout on a 77-dimensional vector (the frozen encoder's 64-dim context, an 8-dim target-type one-hot, a 3-dim target bounding box, and a 2-dim neighbour-scale signal). Training minimises a weighted combination of voxel-wise binary cross-entropy, a Dice-coefficient term to counteract the severe foreground/background imbalance of a sparse occupancy grid, and a KL-divergence regulariser on the latent distribution:</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mesh-watermarking work [15]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[12]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several infrastructure-level problems with no direct analogue in a purely algorithmic description of the system. We report the ones with the largest measured impact, both because they were non-obvious in advance and because several of them materially affected reported results.</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a batch's total edge count, not node count (Section 3.3). An early fixed-graph-count batching scheme crashed on the corpus's larger assemblies (roughly 23 GB required against a 20.13 GB GPU ceiling). Capping batches by cumulative edge count instead resolved this, but only after two intermediate caps (3,000, then 500 edges) still crashed — the second because the batch sampler's shuffle seed was not tied to the resumed epoch number, so an auto-restarted run deterministically replayed the crash. A final cap of 300 edges/batch plus the seed fix eliminated the failure entirely.</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Python's short-circuit comparison silently ignored average precision whenever two candidates tied on AUC-ROC, letting a regression on the second metric through undetected.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the gate-valve category (51.4% yield versus 82–99% for the other six), which also has this corpus's largest mean graph size (93.9 bodies per assembly against an overall mean of 38.8), suggesting geometric complexity as the likely common cause. The resulting 648 graphs contain 25,155 labelled bodies and 46,767 undirected contact edges in total. Table 2 summarises the per-category composition.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2400"/>
        <w:gridCol w:w="1900"/>
      </w:tblGrid>
      <w:tr>
        <w:tc>
          <w:tcPr>
            <w:tcW w:type="dxa" w:w="20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5400"/>
        <w:gridCol w:w="1800"/>
      </w:tblGrid>
      <w:tr>
        <w:tc>
          <w:tcPr>
            <w:tcW w:type="dxa" w:w="1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5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800"/>
        <w:gridCol w:w="19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5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themselves: the SDF-mean node feature (Section 3.1) is exactly zero for 25,142 of 25,155 bodies (99.95%); only 13 bodies carry a non-zero value, and the paired SDF-variance feature moves in near-perfect lockstep (r &gt; 0.999) — consistent with a silently constant feature rather than genuinely near-zero geometry. This mirrors an earlier instance where hole-count and joint-type features were found silently zero-valued since the project's inception; fixing that produced the largest single-run gain of the project (Table 4). We report the SDF finding unresolved rather than omit it: strong aggregate metrics are not sufficient evidence every input feature is contributing, and targeted corpus auditing remains necessary even after training succeeds.</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over baseline, is unevenly distributed across types; class-balanced sampling or loss re-weighting is the natural next step. Second, the conditional-VAE fallback is currently scoped to fasteners only; broadening it to plates and shafts is future work, alongside re-running the retrieval-threshold analysis, since the current zero-fallback result (Section 9.2) may not hold once non-fastener types are added. Third, the SDF and hole-detection findings (Section 9.3) are open issues: repairing the SDF ray-cast and auditing the bolt/washer false-positive rate against ground-truth geometry are near-term priorities before the next retrain. More broadly, the corpus is domain-specific to fastening and flow-control mechanisms; extending coverage to a wider range of assembly types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60"/>
        <w:ind w:left="340" w:hanging="340"/>
        <w:jc w:val="both"/>
      </w:pPr>
      <w:r>
        <w:rPr>
          <w:rFonts w:ascii="Times New Roman" w:cs="Times New Roman" w:eastAsia="Times New Roman" w:hAnsi="Times New Roman"/>
          <w:sz w:val="18"/>
          <w:szCs w:val="18"/>
        </w:rPr>
        <w:t xml:space="preserve">[1] Xu, X., Willis, K.D.D., Lambourne, J.G., Cheng, C.-Y., Jayaraman, P.K., Furukawa, Y.: BrepGen: A B-Rep Generative Diffusion Model with Structured Latent Geometry. In: ACM SIGGRAPH 2024 Conference Proceedings (2024).</w:t>
      </w:r>
    </w:p>
    <w:p>
      <w:pPr>
        <w:spacing w:after="60"/>
        <w:ind w:left="340" w:hanging="340"/>
        <w:jc w:val="both"/>
      </w:pPr>
      <w:r>
        <w:rPr>
          <w:rFonts w:ascii="Times New Roman" w:cs="Times New Roman" w:eastAsia="Times New Roman" w:hAnsi="Times New Roman"/>
          <w:sz w:val="18"/>
          <w:szCs w:val="18"/>
        </w:rPr>
        <w:t xml:space="preserve">[2] Jayaraman, P.K., Lambourne, J.G., Desai, N., Willis, K.D.D., Sanghi, A., Morris, N.J.W.: SolidGen: An Autoregressive Model for Direct B-Rep Synthesis and Editing. ACM Transactions on Graphics 43 (2024).</w:t>
      </w:r>
    </w:p>
    <w:p>
      <w:pPr>
        <w:spacing w:after="60"/>
        <w:ind w:left="340" w:hanging="340"/>
        <w:jc w:val="both"/>
      </w:pPr>
      <w:r>
        <w:rPr>
          <w:rFonts w:ascii="Times New Roman" w:cs="Times New Roman" w:eastAsia="Times New Roman" w:hAnsi="Times New Roman"/>
          <w:sz w:val="18"/>
          <w:szCs w:val="18"/>
        </w:rPr>
        <w:t xml:space="preserve">[3] Wang, X., Guo, R., Fu, R.: CAD-GPT: Synthesising CAD Construction Sequences with Spatial-Reasoning Language Models. arXiv:2501.09803 (2025).</w:t>
      </w:r>
    </w:p>
    <w:p>
      <w:pPr>
        <w:spacing w:after="60"/>
        <w:ind w:left="340" w:hanging="340"/>
        <w:jc w:val="both"/>
      </w:pPr>
      <w:r>
        <w:rPr>
          <w:rFonts w:ascii="Times New Roman" w:cs="Times New Roman" w:eastAsia="Times New Roman" w:hAnsi="Times New Roman"/>
          <w:sz w:val="18"/>
          <w:szCs w:val="18"/>
        </w:rPr>
        <w:t xml:space="preserve">[4] Can Graph Neural Networks Learn Link Heuristics? arXiv:2411.14711 (2024).</w:t>
      </w:r>
    </w:p>
    <w:p>
      <w:pPr>
        <w:spacing w:after="60"/>
        <w:ind w:left="340" w:hanging="340"/>
        <w:jc w:val="both"/>
      </w:pPr>
      <w:r>
        <w:rPr>
          <w:rFonts w:ascii="Times New Roman" w:cs="Times New Roman" w:eastAsia="Times New Roman" w:hAnsi="Times New Roman"/>
          <w:sz w:val="18"/>
          <w:szCs w:val="18"/>
        </w:rPr>
        <w:t xml:space="preserve">[5] Heterogeneous Graph Contrastive Learning. arXiv:2303.00995 (2023).</w:t>
      </w:r>
    </w:p>
    <w:p>
      <w:pPr>
        <w:spacing w:after="60"/>
        <w:ind w:left="340" w:hanging="340"/>
        <w:jc w:val="both"/>
      </w:pPr>
      <w:r>
        <w:rPr>
          <w:rFonts w:ascii="Times New Roman" w:cs="Times New Roman" w:eastAsia="Times New Roman" w:hAnsi="Times New Roman"/>
          <w:sz w:val="18"/>
          <w:szCs w:val="18"/>
        </w:rPr>
        <w:t xml:space="preserve">[6] Kipf, T.N., Welling, M.: Semi-Supervised Classification with Graph Convolutional Networks. In: International Conference on Learning Representations (2017).</w:t>
      </w:r>
    </w:p>
    <w:p>
      <w:pPr>
        <w:spacing w:after="60"/>
        <w:ind w:left="340" w:hanging="340"/>
        <w:jc w:val="both"/>
      </w:pPr>
      <w:r>
        <w:rPr>
          <w:rFonts w:ascii="Times New Roman" w:cs="Times New Roman" w:eastAsia="Times New Roman" w:hAnsi="Times New Roman"/>
          <w:sz w:val="18"/>
          <w:szCs w:val="18"/>
        </w:rPr>
        <w:t xml:space="preserve">[7] Veličković, P., Cucurull, G., Casanova, A., Romero, A., Liò, P., Bengio, Y.: Graph Attention Networks. In: International Conference on Learning Representations (2018).</w:t>
      </w:r>
    </w:p>
    <w:p>
      <w:pPr>
        <w:spacing w:after="60"/>
        <w:ind w:left="340" w:hanging="340"/>
        <w:jc w:val="both"/>
      </w:pPr>
      <w:r>
        <w:rPr>
          <w:rFonts w:ascii="Times New Roman" w:cs="Times New Roman" w:eastAsia="Times New Roman" w:hAnsi="Times New Roman"/>
          <w:sz w:val="18"/>
          <w:szCs w:val="18"/>
        </w:rPr>
        <w:t xml:space="preserve">[8] Hamilton, W.L., Ying, R., Leskovec, J.: Inductive Representation Learning on Large Graphs. In: Advances in Neural Information Processing Systems (2017).</w:t>
      </w:r>
    </w:p>
    <w:p>
      <w:pPr>
        <w:spacing w:after="60"/>
        <w:ind w:left="340" w:hanging="340"/>
        <w:jc w:val="both"/>
      </w:pPr>
      <w:r>
        <w:rPr>
          <w:rFonts w:ascii="Times New Roman" w:cs="Times New Roman" w:eastAsia="Times New Roman" w:hAnsi="Times New Roman"/>
          <w:sz w:val="18"/>
          <w:szCs w:val="18"/>
        </w:rPr>
        <w:t xml:space="preserve">[9] Busbridge, D., Sherburn, D., Cavallo, P., Hammerla, N.Y.: Relational Graph Attention Networks. arXiv:1904.05811 (2019).</w:t>
      </w:r>
    </w:p>
    <w:p>
      <w:pPr>
        <w:spacing w:after="60"/>
        <w:ind w:left="340" w:hanging="340"/>
        <w:jc w:val="both"/>
      </w:pPr>
      <w:r>
        <w:rPr>
          <w:rFonts w:ascii="Times New Roman" w:cs="Times New Roman" w:eastAsia="Times New Roman" w:hAnsi="Times New Roman"/>
          <w:sz w:val="18"/>
          <w:szCs w:val="18"/>
        </w:rPr>
        <w:t xml:space="preserve">[10] Koch, S., Matveev, A., Jiang, Z., Williams, F., Artemov, A., Burnaev, E., Alexa, M., Zorin, D., Panozzo, D.: ABC: A Big CAD Model Dataset for Geometric Deep Learning. In: IEEE CVPR (2019).</w:t>
      </w:r>
    </w:p>
    <w:p>
      <w:pPr>
        <w:spacing w:after="60"/>
        <w:ind w:left="340" w:hanging="340"/>
        <w:jc w:val="both"/>
      </w:pPr>
      <w:r>
        <w:rPr>
          <w:rFonts w:ascii="Times New Roman" w:cs="Times New Roman" w:eastAsia="Times New Roman" w:hAnsi="Times New Roman"/>
          <w:sz w:val="18"/>
          <w:szCs w:val="18"/>
        </w:rPr>
        <w:t xml:space="preserve">[11] Mo, K., Zhu, S., Chang, A.X., Yi, L., Tripathi, S., Guibas, L.J., Su, H.: PartNet: A Large-Scale Benchmark for Fine-Grained and Hierarchical Part-Level 3D Object Understanding. In: IEEE CVPR (2019).</w:t>
      </w:r>
    </w:p>
    <w:p>
      <w:pPr>
        <w:spacing w:after="60"/>
        <w:ind w:left="340" w:hanging="340"/>
        <w:jc w:val="both"/>
      </w:pPr>
      <w:r>
        <w:rPr>
          <w:rFonts w:ascii="Times New Roman" w:cs="Times New Roman" w:eastAsia="Times New Roman" w:hAnsi="Times New Roman"/>
          <w:sz w:val="18"/>
          <w:szCs w:val="18"/>
        </w:rPr>
        <w:t xml:space="preserve">[12] Ying, R., Bourgeois, D., You, J., Zitnik, M., Leskovec, J.: GNNExplainer: Generating Explanations for Graph Neural Networks. In: Advances in Neural Information Processing Systems (2019).</w:t>
      </w:r>
    </w:p>
    <w:p>
      <w:pPr>
        <w:spacing w:after="60"/>
        <w:ind w:left="340" w:hanging="340"/>
        <w:jc w:val="both"/>
      </w:pPr>
      <w:r>
        <w:rPr>
          <w:rFonts w:ascii="Times New Roman" w:cs="Times New Roman" w:eastAsia="Times New Roman" w:hAnsi="Times New Roman"/>
          <w:sz w:val="18"/>
          <w:szCs w:val="18"/>
        </w:rPr>
        <w:t xml:space="preserve">[13] Fey, M., Lenssen, J.E.: Fast Graph Representation Learning with PyTorch Geometric. arXiv:1903.02428 (2019).</w:t>
      </w:r>
    </w:p>
    <w:p>
      <w:pPr>
        <w:spacing w:after="60"/>
        <w:ind w:left="340" w:hanging="340"/>
        <w:jc w:val="both"/>
      </w:pPr>
      <w:r>
        <w:rPr>
          <w:rFonts w:ascii="Times New Roman" w:cs="Times New Roman" w:eastAsia="Times New Roman" w:hAnsi="Times New Roman"/>
          <w:sz w:val="18"/>
          <w:szCs w:val="18"/>
        </w:rPr>
        <w:t xml:space="preserve">[14] Rendle, S., Freudenthaler, C., Gantner, Z., Schmidt-Thieme, L.: BPR: Bayesian Personalized Ranking from Implicit Feedback. In: Conference on Uncertainty in Artificial Intelligence (2009).</w:t>
      </w:r>
    </w:p>
    <w:p>
      <w:pPr>
        <w:spacing w:after="60"/>
        <w:ind w:left="340" w:hanging="340"/>
        <w:jc w:val="both"/>
      </w:pPr>
      <w:r>
        <w:rPr>
          <w:rFonts w:ascii="Times New Roman" w:cs="Times New Roman" w:eastAsia="Times New Roman" w:hAnsi="Times New Roman"/>
          <w:sz w:val="18"/>
          <w:szCs w:val="18"/>
        </w:rPr>
        <w:t xml:space="preserve">[15] Borah, S., Borah, B.: Predictive Error Expansion Based Reversible Data Hiding Scheme for Three-Dimensional Mesh Models. Multimedia Tools and Applications (2020).</w:t>
      </w:r>
    </w:p>
    <w:p>
      <w:pPr>
        <w:spacing w:after="60"/>
        <w:ind w:left="340" w:hanging="340"/>
        <w:jc w:val="both"/>
      </w:pPr>
      <w:r>
        <w:rPr>
          <w:rFonts w:ascii="Times New Roman" w:cs="Times New Roman" w:eastAsia="Times New Roman" w:hAnsi="Times New Roman"/>
          <w:sz w:val="18"/>
          <w:szCs w:val="18"/>
        </w:rPr>
        <w:t xml:space="preserve">[16] Kingma, D.P., Welling, M.: Auto-Encoding Variational Bayes. In: International Conference on Learning Representations (2014).</w:t>
      </w:r>
    </w:p>
    <w:p>
      <w:pPr>
        <w:spacing w:after="60"/>
        <w:ind w:left="340" w:hanging="340"/>
        <w:jc w:val="both"/>
      </w:pPr>
      <w:r>
        <w:rPr>
          <w:rFonts w:ascii="Times New Roman" w:cs="Times New Roman" w:eastAsia="Times New Roman" w:hAnsi="Times New Roman"/>
          <w:sz w:val="18"/>
          <w:szCs w:val="18"/>
        </w:rPr>
        <w:t xml:space="preserve">[17] Choy, C.B., Xu, D., Gwak, J., Chen, K., Savarese, S.: 3D-R2N2: A Unified Approach for Single and Multi-view 3D Object Reconstruction. In: European Conference on Computer Vision (2016).</w:t>
      </w:r>
    </w:p>
    <w:p>
      <w:pPr>
        <w:spacing w:after="60"/>
        <w:ind w:left="340" w:hanging="340"/>
        <w:jc w:val="both"/>
      </w:pPr>
      <w:r>
        <w:rPr>
          <w:rFonts w:ascii="Times New Roman" w:cs="Times New Roman" w:eastAsia="Times New Roman" w:hAnsi="Times New Roman"/>
          <w:sz w:val="18"/>
          <w:szCs w:val="18"/>
        </w:rPr>
        <w:t xml:space="preserve">[18]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dawfj82hhph_2g2avcsr" Type="http://schemas.openxmlformats.org/officeDocument/2006/relationships/hyperlink" Target="mailto:parthasarathy.perumal@gmail.com" TargetMode="External"/><Relationship Id="rId7" Type="http://schemas.openxmlformats.org/officeDocument/2006/relationships/image" Target="media/d8322b8f3ac7dd4efe224649151d118c622b0c6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2026-09-05T08:54:01.296Z</dcterms:created>
  <dcterms:modified xsi:type="dcterms:W3CDTF">2026-09-05T08:54:01.300Z</dcterms:modified>
</cp:coreProperties>
</file>

<file path=docProps/custom.xml><?xml version="1.0" encoding="utf-8"?>
<Properties xmlns="http://schemas.openxmlformats.org/officeDocument/2006/custom-properties" xmlns:vt="http://schemas.openxmlformats.org/officeDocument/2006/docPropsVTypes"/>
</file>