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1A3668"/>
          <w:sz w:val="48"/>
          <w:szCs w:val="48"/>
        </w:rPr>
        <w:t xml:space="preserve">Classic SPL Retention Model</w:t>
      </w:r>
    </w:p>
    <w:p>
      <w:pPr>
        <w:spacing w:after="80"/>
        <w:jc w:val="center"/>
      </w:pPr>
      <w:r>
        <w:rPr>
          <w:rFonts w:ascii="Arial" w:cs="Arial" w:eastAsia="Arial" w:hAnsi="Arial"/>
          <w:b/>
          <w:bCs/>
          <w:color w:val="2E5090"/>
          <w:sz w:val="40"/>
          <w:szCs w:val="40"/>
        </w:rPr>
        <w:t xml:space="preserve">Other Short-Term</w:t>
      </w:r>
    </w:p>
    <w:p>
      <w:pPr>
        <w:spacing w:after="400"/>
        <w:jc w:val="center"/>
      </w:pPr>
      <w:r>
        <w:rPr>
          <w:rFonts w:ascii="Arial" w:cs="Arial" w:eastAsia="Arial" w:hAnsi="Arial"/>
          <w:color w:val="555555"/>
          <w:sz w:val="32"/>
          <w:szCs w:val="32"/>
        </w:rPr>
        <w:t xml:space="preserve">PUP/Condo Line Inclusion &amp; Training Window Analysis</w:t>
      </w:r>
    </w:p>
    <w:p>
      <w:pPr>
        <w:pBdr>
          <w:top w:val="single" w:color="2E5090" w:sz="6" w:space="1"/>
        </w:pBdr>
        <w:spacing w:after="200" w:before="200"/>
        <w:jc w:val="center"/>
      </w:pPr>
    </w:p>
    <w:p>
      <w:pPr>
        <w:spacing w:after="100"/>
        <w:jc w:val="center"/>
      </w:pPr>
      <w:r>
        <w:rPr>
          <w:rFonts w:ascii="Arial" w:cs="Arial" w:eastAsia="Arial" w:hAnsi="Arial"/>
          <w:color w:val="555555"/>
          <w:sz w:val="22"/>
          <w:szCs w:val="22"/>
        </w:rPr>
        <w:t xml:space="preserve">B-2760706 (with PUP/Condo) vs. B-2779253 (without PUP/Condo)</w:t>
      </w:r>
    </w:p>
    <w:p>
      <w:pPr>
        <w:spacing w:after="100"/>
        <w:jc w:val="center"/>
      </w:pPr>
      <w:r>
        <w:rPr>
          <w:rFonts w:ascii="Arial" w:cs="Arial" w:eastAsia="Arial" w:hAnsi="Arial"/>
          <w:color w:val="555555"/>
          <w:sz w:val="22"/>
          <w:szCs w:val="22"/>
        </w:rPr>
        <w:t xml:space="preserve">May 2026</w:t>
      </w:r>
    </w:p>
    <w:p>
      <w:pPr>
        <w:jc w:val="center"/>
      </w:pPr>
      <w:r>
        <w:rPr>
          <w:rFonts w:ascii="Arial" w:cs="Arial" w:eastAsia="Arial" w:hAnsi="Arial"/>
          <w:color w:val="777777"/>
          <w:sz w:val="22"/>
          <w:szCs w:val="22"/>
        </w:rPr>
        <w:t xml:space="preserve">LTV Modeling Team — Allstate</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rPr>
        <w:t xml:space="preserve">1. Executive Summary</w:t>
      </w:r>
    </w:p>
    <w:p>
      <w:pPr>
        <w:spacing w:after="200"/>
        <w:jc w:val="left"/>
      </w:pPr>
      <w:r>
        <w:rPr>
          <w:rFonts w:ascii="Arial" w:cs="Arial" w:eastAsia="Arial" w:hAnsi="Arial"/>
          <w:sz w:val="22"/>
          <w:szCs w:val="22"/>
        </w:rPr>
        <w:t xml:space="preserve">This page summarizes our Classic SPL short-term retention model for the "other" line evaluation focused on two questions: (1) the impact of including PUP (088) and Condo (078) lines, and (2) the impact of using a 5-year rolling training window that drops pre-2020 data. Four model variants were compared:</w:t>
      </w:r>
    </w:p>
    <w:p>
      <w:pPr>
        <w:pStyle w:val="ListParagraph"/>
        <w:numPr>
          <w:ilvl w:val="0"/>
          <w:numId w:val="2"/>
        </w:numPr>
        <w:spacing w:after="120"/>
      </w:pPr>
      <w:r>
        <w:rPr>
          <w:rFonts w:ascii="Arial" w:cs="Arial" w:eastAsia="Arial" w:hAnsi="Arial"/>
          <w:b/>
          <w:bCs/>
          <w:sz w:val="22"/>
          <w:szCs w:val="22"/>
        </w:rPr>
        <w:t xml:space="preserve">New window + PUP/Condo (B-2760706): </w:t>
      </w:r>
      <w:r>
        <w:rPr>
          <w:rFonts w:ascii="Arial" w:cs="Arial" w:eastAsia="Arial" w:hAnsi="Arial"/>
          <w:sz w:val="22"/>
          <w:szCs w:val="22"/>
        </w:rPr>
        <w:t xml:space="preserve">Trained on lines 016, 032, 072, 090, 078, 088 — 9,636,692 training records, 1,922,896 scored records.</w:t>
      </w:r>
    </w:p>
    <w:p>
      <w:pPr>
        <w:pStyle w:val="ListParagraph"/>
        <w:numPr>
          <w:ilvl w:val="0"/>
          <w:numId w:val="2"/>
        </w:numPr>
        <w:spacing w:after="120"/>
      </w:pPr>
      <w:r>
        <w:rPr>
          <w:rFonts w:ascii="Arial" w:cs="Arial" w:eastAsia="Arial" w:hAnsi="Arial"/>
          <w:b/>
          <w:bCs/>
          <w:sz w:val="22"/>
          <w:szCs w:val="22"/>
        </w:rPr>
        <w:t xml:space="preserve">New window − PUP/Condo (B-2779253): </w:t>
      </w:r>
      <w:r>
        <w:rPr>
          <w:rFonts w:ascii="Arial" w:cs="Arial" w:eastAsia="Arial" w:hAnsi="Arial"/>
          <w:sz w:val="22"/>
          <w:szCs w:val="22"/>
        </w:rPr>
        <w:t xml:space="preserve">Trained on lines 016, 032, 072, 090 — 5,270,395 training records, 1,054,621 scored records.</w:t>
      </w:r>
    </w:p>
    <w:p>
      <w:pPr>
        <w:pStyle w:val="ListParagraph"/>
        <w:numPr>
          <w:ilvl w:val="0"/>
          <w:numId w:val="2"/>
        </w:numPr>
        <w:spacing w:after="120"/>
      </w:pPr>
      <w:r>
        <w:rPr>
          <w:rFonts w:ascii="Arial" w:cs="Arial" w:eastAsia="Arial" w:hAnsi="Arial"/>
          <w:b/>
          <w:bCs/>
          <w:sz w:val="22"/>
          <w:szCs w:val="22"/>
        </w:rPr>
        <w:t xml:space="preserve">Old window + PUP/Condo: </w:t>
      </w:r>
      <w:r>
        <w:rPr>
          <w:rFonts w:ascii="Arial" w:cs="Arial" w:eastAsia="Arial" w:hAnsi="Arial"/>
          <w:sz w:val="22"/>
          <w:szCs w:val="22"/>
        </w:rPr>
        <w:t xml:space="preserve">Same lines as above but trained on full history including pre-2020 data (B-2815645).</w:t>
      </w:r>
    </w:p>
    <w:p>
      <w:pPr>
        <w:pStyle w:val="ListParagraph"/>
        <w:numPr>
          <w:ilvl w:val="0"/>
          <w:numId w:val="2"/>
        </w:numPr>
        <w:spacing w:after="120"/>
      </w:pPr>
      <w:r>
        <w:rPr>
          <w:rFonts w:ascii="Arial" w:cs="Arial" w:eastAsia="Arial" w:hAnsi="Arial"/>
          <w:b/>
          <w:bCs/>
          <w:sz w:val="22"/>
          <w:szCs w:val="22"/>
        </w:rPr>
        <w:t xml:space="preserve">Old window − PUP/Condo: </w:t>
      </w:r>
      <w:r>
        <w:rPr>
          <w:rFonts w:ascii="Arial" w:cs="Arial" w:eastAsia="Arial" w:hAnsi="Arial"/>
          <w:sz w:val="22"/>
          <w:szCs w:val="22"/>
        </w:rPr>
        <w:t xml:space="preserve">Same lines, full history (B-2815645).</w:t>
      </w:r>
    </w:p>
    <w:p>
      <w:pPr>
        <w:spacing w:after="200"/>
        <w:jc w:val="left"/>
      </w:pPr>
      <w:r>
        <w:rPr>
          <w:rFonts w:ascii="Arial" w:cs="Arial" w:eastAsia="Arial" w:hAnsi="Arial"/>
          <w:b/>
          <w:bCs/>
          <w:sz w:val="22"/>
          <w:szCs w:val="22"/>
        </w:rPr>
        <w:t xml:space="preserve">Key findings:</w:t>
      </w:r>
    </w:p>
    <w:p>
      <w:pPr>
        <w:pStyle w:val="ListParagraph"/>
        <w:numPr>
          <w:ilvl w:val="0"/>
          <w:numId w:val="3"/>
        </w:numPr>
        <w:spacing w:after="120"/>
      </w:pPr>
      <w:r>
        <w:rPr>
          <w:rFonts w:ascii="Arial" w:cs="Arial" w:eastAsia="Arial" w:hAnsi="Arial"/>
          <w:sz w:val="22"/>
          <w:szCs w:val="22"/>
        </w:rPr>
        <w:t xml:space="preserve">Dropping pre-2020 data helps, not hurts. The 5-year window improves AUC (+0.008 to +0.011), avg precision, log loss, and calibration across both line variants.</w:t>
      </w:r>
    </w:p>
    <w:p>
      <w:pPr>
        <w:pStyle w:val="ListParagraph"/>
        <w:numPr>
          <w:ilvl w:val="0"/>
          <w:numId w:val="3"/>
        </w:numPr>
        <w:spacing w:after="120"/>
      </w:pPr>
      <w:r>
        <w:rPr>
          <w:rFonts w:ascii="Arial" w:cs="Arial" w:eastAsia="Arial" w:hAnsi="Arial"/>
          <w:sz w:val="22"/>
          <w:szCs w:val="22"/>
        </w:rPr>
        <w:t xml:space="preserve">High-tenure performance improves most from the window change — nt6=8/9 see the largest AUC gains (+0.02 to +0.035).</w:t>
      </w:r>
    </w:p>
    <w:p>
      <w:pPr>
        <w:pStyle w:val="ListParagraph"/>
        <w:numPr>
          <w:ilvl w:val="0"/>
          <w:numId w:val="3"/>
        </w:numPr>
        <w:spacing w:after="120"/>
      </w:pPr>
      <w:r>
        <w:rPr>
          <w:rFonts w:ascii="Arial" w:cs="Arial" w:eastAsia="Arial" w:hAnsi="Arial"/>
          <w:sz w:val="22"/>
          <w:szCs w:val="22"/>
        </w:rPr>
        <w:t xml:space="preserve">Including PUP/Condo in training has negligible effect on the shared four lines. On the same test population (211k records), AUC is identical (0.655 vs 0.655).</w:t>
      </w:r>
    </w:p>
    <w:p>
      <w:pPr>
        <w:pStyle w:val="ListParagraph"/>
        <w:numPr>
          <w:ilvl w:val="0"/>
          <w:numId w:val="3"/>
        </w:numPr>
        <w:spacing w:after="120"/>
      </w:pPr>
      <w:r>
        <w:rPr>
          <w:rFonts w:ascii="Arial" w:cs="Arial" w:eastAsia="Arial" w:hAnsi="Arial"/>
          <w:sz w:val="22"/>
          <w:szCs w:val="22"/>
        </w:rPr>
        <w:t xml:space="preserve">PUP/Condo lines have materially lower defection rates (~8.6–8.8%) than the core four lines (~9.1–14.5%).</w:t>
      </w:r>
    </w:p>
    <w:p>
      <w:pPr>
        <w:pStyle w:val="ListParagraph"/>
        <w:numPr>
          <w:ilvl w:val="0"/>
          <w:numId w:val="3"/>
        </w:numPr>
        <w:spacing w:after="120"/>
      </w:pPr>
      <w:r>
        <w:rPr>
          <w:rFonts w:ascii="Arial" w:cs="Arial" w:eastAsia="Arial" w:hAnsi="Arial"/>
          <w:sz w:val="22"/>
          <w:szCs w:val="22"/>
        </w:rPr>
        <w:t xml:space="preserve">First-renewal defection is trending upward: 11.8% (2020) → 13.8% with PUP/Condo, 16.5% without (2025 cohort).</w:t>
      </w:r>
    </w:p>
    <w:p>
      <w:pPr>
        <w:pStyle w:val="ListParagraph"/>
        <w:numPr>
          <w:ilvl w:val="0"/>
          <w:numId w:val="3"/>
        </w:numPr>
        <w:spacing w:after="120"/>
      </w:pPr>
      <w:r>
        <w:rPr>
          <w:rFonts w:ascii="Arial" w:cs="Arial" w:eastAsia="Arial" w:hAnsi="Arial"/>
          <w:sz w:val="22"/>
          <w:szCs w:val="22"/>
        </w:rPr>
        <w:t xml:space="preserve">Train/test splits are clean: zero policy or household overlap. All scored policies originate from the master training pool.</w:t>
      </w:r>
    </w:p>
    <w:p>
      <w:pPr>
        <w:pStyle w:val="ListParagraph"/>
        <w:numPr>
          <w:ilvl w:val="0"/>
          <w:numId w:val="3"/>
        </w:numPr>
        <w:spacing w:after="120"/>
      </w:pPr>
      <w:r>
        <w:rPr>
          <w:rFonts w:ascii="Arial" w:cs="Arial" w:eastAsia="Arial" w:hAnsi="Arial"/>
          <w:sz w:val="22"/>
          <w:szCs w:val="22"/>
        </w:rPr>
        <w:t xml:space="preserve">SHAP feature importance is consistent across models, with nt6 (renewal count) dominant.</w:t>
      </w:r>
    </w:p>
    <w:p>
      <w:pPr>
        <w:pStyle w:val="Heading1"/>
        <w:spacing w:after="200" w:before="300"/>
      </w:pPr>
      <w:r>
        <w:rPr>
          <w:rFonts w:ascii="Arial" w:cs="Arial" w:eastAsia="Arial" w:hAnsi="Arial"/>
        </w:rPr>
        <w:t xml:space="preserve">2. Data Overview</w:t>
      </w:r>
    </w:p>
    <w:p>
      <w:pPr>
        <w:pStyle w:val="Heading2"/>
        <w:spacing w:after="200" w:before="300"/>
      </w:pPr>
      <w:r>
        <w:rPr>
          <w:rFonts w:ascii="Arial" w:cs="Arial" w:eastAsia="Arial" w:hAnsi="Arial"/>
        </w:rPr>
        <w:t xml:space="preserve">2.1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9,636,692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5,270,395</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Features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266</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266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range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2020-11-09 to 2025-11-08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2020-11-09 to 2025-11-08</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Lines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016, 032, 072, 078, 088, 090</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016, 032, 072, 090</w:t>
            </w:r>
          </w:p>
        </w:tc>
      </w:tr>
    </w:tbl>
    <w:p>
      <w:pPr>
        <w:spacing w:after="100"/>
      </w:pPr>
    </w:p>
    <w:p>
      <w:pPr>
        <w:pStyle w:val="Heading2"/>
        <w:spacing w:after="200" w:before="300"/>
      </w:pPr>
      <w:r>
        <w:rPr>
          <w:rFonts w:ascii="Arial" w:cs="Arial" w:eastAsia="Arial" w:hAnsi="Arial"/>
        </w:rPr>
        <w:t xml:space="preserve">2.2 Scoring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1,922,896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1,054,621</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Date range</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2020-11-09 to 2025-10-24</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2020-11-09 to 2025-10-24</w:t>
            </w:r>
          </w:p>
        </w:tc>
      </w:tr>
    </w:tbl>
    <w:p>
      <w:pPr>
        <w:spacing w:after="100"/>
      </w:pPr>
    </w:p>
    <w:p>
      <w:pPr>
        <w:spacing w:after="200"/>
        <w:jc w:val="left"/>
      </w:pPr>
      <w:r>
        <w:rPr>
          <w:rFonts w:ascii="Arial" w:cs="Arial" w:eastAsia="Arial" w:hAnsi="Arial"/>
          <w:sz w:val="22"/>
          <w:szCs w:val="22"/>
        </w:rPr>
        <w:t xml:space="preserve">Scoring data was subset to the same 5-year window as training so evaluation metrics reflect the distribution the model was trained on.</w:t>
      </w:r>
    </w:p>
    <w:p>
      <w:pPr>
        <w:pStyle w:val="Heading2"/>
        <w:spacing w:after="200" w:before="300"/>
      </w:pPr>
      <w:r>
        <w:rPr>
          <w:rFonts w:ascii="Arial" w:cs="Arial" w:eastAsia="Arial" w:hAnsi="Arial"/>
        </w:rPr>
        <w:t xml:space="preserve">2.3 Train/Test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Overlap Check</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household_id</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w:t>
            </w:r>
          </w:p>
        </w:tc>
      </w:tr>
    </w:tbl>
    <w:p>
      <w:pPr>
        <w:spacing w:after="100"/>
      </w:pPr>
    </w:p>
    <w:p>
      <w:pPr>
        <w:spacing w:after="200"/>
        <w:jc w:val="left"/>
      </w:pPr>
      <w:r>
        <w:rPr>
          <w:rFonts w:ascii="Arial" w:cs="Arial" w:eastAsia="Arial" w:hAnsi="Arial"/>
          <w:sz w:val="22"/>
          <w:szCs w:val="22"/>
        </w:rPr>
        <w:t xml:space="preserve">Train/test splits are clean: zero policy or household overlap between the post-split partitions. All scored policies originate from the master training pool — no unseen policies leaked into scoring.</w:t>
      </w:r>
    </w:p>
    <w:p>
      <w:pPr>
        <w:pStyle w:val="Heading2"/>
        <w:spacing w:after="200" w:before="300"/>
      </w:pPr>
      <w:r>
        <w:rPr>
          <w:rFonts w:ascii="Arial" w:cs="Arial" w:eastAsia="Arial" w:hAnsi="Arial"/>
        </w:rPr>
        <w:t xml:space="preserve">2.4 Pre-Featurization Source Data</w:t>
      </w:r>
    </w:p>
    <w:p>
      <w:pPr>
        <w:spacing w:after="200"/>
        <w:jc w:val="left"/>
      </w:pPr>
      <w:r>
        <w:rPr>
          <w:rFonts w:ascii="Arial" w:cs="Arial" w:eastAsia="Arial" w:hAnsi="Arial"/>
          <w:sz w:val="22"/>
          <w:szCs w:val="22"/>
        </w:rPr>
        <w:t xml:space="preserve">Source data (B-2756198) spans 2013-01-01 to 2026-05-12. Unique policy counts drop in recent months — this is inherent to the source (likely ADW ingestion lag in the EWT tables), not an artifact of the featurize explode step.</w:t>
      </w:r>
    </w:p>
    <w:p>
      <w:pPr>
        <w:spacing w:after="200" w:before="200"/>
        <w:jc w:val="center"/>
      </w:pPr>
      <w:r>
        <w:rPr>
          <w:rFonts w:ascii="Arial" w:cs="Arial" w:eastAsia="Arial" w:hAnsi="Arial"/>
          <w:i/>
          <w:iCs/>
          <w:color w:val="888888"/>
          <w:sz w:val="22"/>
          <w:szCs w:val="22"/>
        </w:rPr>
        <w:t xml:space="preserve">[ Figure: Pre-featurization unique policies by effective month (full range and 2020+ zoom) ]</w:t>
      </w:r>
    </w:p>
    <w:p>
      <w:pPr>
        <w:pStyle w:val="Heading1"/>
        <w:spacing w:after="200" w:before="300"/>
      </w:pPr>
      <w:r>
        <w:rPr>
          <w:rFonts w:ascii="Arial" w:cs="Arial" w:eastAsia="Arial" w:hAnsi="Arial"/>
        </w:rPr>
        <w:t xml:space="preserve">3. Renewal Distribution (nt6)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nt6</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23.6%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26.2%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-2.6%</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20.5%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21.8%</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+0.2%</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13.2%</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12.7%</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+0.8%</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8.2%</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7.4%</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+0.9%</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+0.6%</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4.3%</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3.7%</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+0.1%</w:t>
            </w:r>
          </w:p>
        </w:tc>
      </w:tr>
    </w:tbl>
    <w:p>
      <w:pPr>
        <w:spacing w:after="100"/>
      </w:pPr>
    </w:p>
    <w:p>
      <w:pPr>
        <w:spacing w:after="200"/>
        <w:jc w:val="left"/>
      </w:pPr>
      <w:r>
        <w:rPr>
          <w:rFonts w:ascii="Arial" w:cs="Arial" w:eastAsia="Arial" w:hAnsi="Arial"/>
          <w:sz w:val="22"/>
          <w:szCs w:val="22"/>
        </w:rPr>
        <w:t xml:space="preserve">PUP/Condo policies skew longer-tenured, shifting weight from nt6=0/1 toward nt6=3+. Without them, the data leans more toward new-business churn. nt6=8/9 are extremely sparse (&lt;2.5% combined) in both variants.</w:t>
      </w:r>
    </w:p>
    <w:p>
      <w:pPr>
        <w:pStyle w:val="Heading1"/>
        <w:spacing w:after="200" w:before="300"/>
      </w:pPr>
      <w:r>
        <w:rPr>
          <w:rFonts w:ascii="Arial" w:cs="Arial" w:eastAsia="Arial" w:hAnsi="Arial"/>
        </w:rPr>
        <w:t xml:space="preserve">4. Defection Patterns Over Time</w:t>
      </w:r>
    </w:p>
    <w:p>
      <w:pPr>
        <w:pStyle w:val="Heading2"/>
        <w:spacing w:after="200" w:before="300"/>
      </w:pPr>
      <w:r>
        <w:rPr>
          <w:rFonts w:ascii="Arial" w:cs="Arial" w:eastAsia="Arial" w:hAnsi="Arial"/>
        </w:rPr>
        <w:t xml:space="preserve">4.1 With PUP/Condo (All Lines)</w:t>
      </w:r>
    </w:p>
    <w:p>
      <w:pPr>
        <w:spacing w:after="200"/>
        <w:jc w:val="left"/>
      </w:pPr>
      <w:r>
        <w:rPr>
          <w:rFonts w:ascii="Arial" w:cs="Arial" w:eastAsia="Arial" w:hAnsi="Arial"/>
          <w:sz w:val="22"/>
          <w:szCs w:val="22"/>
        </w:rPr>
        <w:t xml:space="preserve">First-renewal (nt6=0) defection has climbed from 11.8% in 2020 to 13.8% in 2025. Low-volume cohort/nt6 cells (&lt;500 records) were masked.</w:t>
      </w:r>
    </w:p>
    <w:p>
      <w:pPr>
        <w:spacing w:after="200" w:before="200"/>
        <w:jc w:val="center"/>
      </w:pPr>
      <w:r>
        <w:rPr>
          <w:rFonts w:ascii="Arial" w:cs="Arial" w:eastAsia="Arial" w:hAnsi="Arial"/>
          <w:i/>
          <w:iCs/>
          <w:color w:val="888888"/>
          <w:sz w:val="22"/>
          <w:szCs w:val="22"/>
        </w:rPr>
        <w:t xml:space="preserve">[ Figure: Defection Rate heatmap (all lines) + Record Count heatmap ]</w:t>
      </w:r>
    </w:p>
    <w:p>
      <w:pPr>
        <w:pStyle w:val="Heading2"/>
        <w:spacing w:after="200" w:before="300"/>
      </w:pPr>
      <w:r>
        <w:rPr>
          <w:rFonts w:ascii="Arial" w:cs="Arial" w:eastAsia="Arial" w:hAnsi="Arial"/>
        </w:rPr>
        <w:t xml:space="preserve">4.2 Without PUP/Condo</w:t>
      </w:r>
    </w:p>
    <w:p>
      <w:pPr>
        <w:spacing w:after="200"/>
        <w:jc w:val="left"/>
      </w:pPr>
      <w:r>
        <w:rPr>
          <w:rFonts w:ascii="Arial" w:cs="Arial" w:eastAsia="Arial" w:hAnsi="Arial"/>
          <w:sz w:val="22"/>
          <w:szCs w:val="22"/>
        </w:rPr>
        <w:t xml:space="preserve">Removing PUP/Condo amplifies first-renewal defection to 16.5% in 2025 (vs 13.8% with). This confirms PUP/Condo are among the stickiest SPL products. The rising trend holds in both views — a structural shift, not a line-specific anomaly.</w:t>
      </w:r>
    </w:p>
    <w:p>
      <w:pPr>
        <w:spacing w:after="200" w:before="200"/>
        <w:jc w:val="center"/>
      </w:pPr>
      <w:r>
        <w:rPr>
          <w:rFonts w:ascii="Arial" w:cs="Arial" w:eastAsia="Arial" w:hAnsi="Arial"/>
          <w:i/>
          <w:iCs/>
          <w:color w:val="888888"/>
          <w:sz w:val="22"/>
          <w:szCs w:val="22"/>
        </w:rPr>
        <w:t xml:space="preserve">[ Figure: Defection Rate heatmap (without PUP/Condo) + Record Count heatmap ]</w:t>
      </w:r>
    </w:p>
    <w:p>
      <w:pPr>
        <w:pStyle w:val="Heading2"/>
        <w:spacing w:after="200" w:before="300"/>
      </w:pPr>
      <w:r>
        <w:rPr>
          <w:rFonts w:ascii="Arial" w:cs="Arial" w:eastAsia="Arial" w:hAnsi="Arial"/>
        </w:rPr>
        <w:t xml:space="preserve">4.3 Volume by Effective Month</w:t>
      </w:r>
    </w:p>
    <w:p>
      <w:pPr>
        <w:spacing w:after="200"/>
        <w:jc w:val="left"/>
      </w:pPr>
      <w:r>
        <w:rPr>
          <w:rFonts w:ascii="Arial" w:cs="Arial" w:eastAsia="Arial" w:hAnsi="Arial"/>
          <w:sz w:val="22"/>
          <w:szCs w:val="22"/>
        </w:rPr>
        <w:t xml:space="preserve">Monthly volume peaked mid-2021 and has declined since. The shape is identical between variants; the "without" variant is roughly half the volume, consistent with PUP/Condo’s ~45% share.</w:t>
      </w:r>
    </w:p>
    <w:p>
      <w:pPr>
        <w:spacing w:after="200" w:before="200"/>
        <w:jc w:val="center"/>
      </w:pPr>
      <w:r>
        <w:rPr>
          <w:rFonts w:ascii="Arial" w:cs="Arial" w:eastAsia="Arial" w:hAnsi="Arial"/>
          <w:i/>
          <w:iCs/>
          <w:color w:val="888888"/>
          <w:sz w:val="22"/>
          <w:szCs w:val="22"/>
        </w:rPr>
        <w:t xml:space="preserve">[ Figure: Total rows and unique policies by effective month (with and without PUP/Condo) ]</w:t>
      </w:r>
    </w:p>
    <w:p>
      <w:pPr>
        <w:pStyle w:val="Heading1"/>
        <w:spacing w:after="200" w:before="300"/>
      </w:pPr>
      <w:r>
        <w:rPr>
          <w:rFonts w:ascii="Arial" w:cs="Arial" w:eastAsia="Arial" w:hAnsi="Arial"/>
        </w:rPr>
        <w:t xml:space="preserve">5. Model Performance Comparison</w:t>
      </w:r>
    </w:p>
    <w:p>
      <w:pPr>
        <w:pStyle w:val="Heading2"/>
        <w:spacing w:after="200" w:before="300"/>
      </w:pPr>
      <w:r>
        <w:rPr>
          <w:rFonts w:ascii="Arial" w:cs="Arial" w:eastAsia="Arial" w:hAnsi="Arial"/>
        </w:rPr>
        <w:t xml:space="preserve">5.1 Aggregate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1,922,896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1,054,621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Term Rate (actual)</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10.80%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12.55%</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+1.75 pp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Prediction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10.83%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+1.72 pp</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Log Loss</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2.150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1.956</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-0.194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ROC AUC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0.667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0.651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-0.016</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Avg Precision</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0.215</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0.228</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+0.013</w:t>
            </w:r>
          </w:p>
        </w:tc>
      </w:tr>
    </w:tbl>
    <w:p>
      <w:pPr>
        <w:spacing w:after="100"/>
      </w:pPr>
    </w:p>
    <w:p>
      <w:pPr>
        <w:spacing w:after="200"/>
        <w:jc w:val="left"/>
      </w:pPr>
      <w:r>
        <w:rPr>
          <w:rFonts w:ascii="Arial" w:cs="Arial" w:eastAsia="Arial" w:hAnsi="Arial"/>
          <w:sz w:val="22"/>
          <w:szCs w:val="22"/>
        </w:rPr>
        <w:t xml:space="preserve">Both models are well-calibrated (mean prediction ≈ actual term rate). The "with" model edges on AUC; the "without" model edges on avg precision and log loss. Neither clearly dominates.</w:t>
      </w:r>
    </w:p>
    <w:p>
      <w:pPr>
        <w:pStyle w:val="Heading2"/>
        <w:spacing w:after="200" w:before="300"/>
      </w:pPr>
      <w:r>
        <w:rPr>
          <w:rFonts w:ascii="Arial" w:cs="Arial" w:eastAsia="Arial" w:hAnsi="Arial"/>
        </w:rPr>
        <w:t xml:space="preserve">5.2 Precision-Recall &amp; ROC Curves</w:t>
      </w:r>
    </w:p>
    <w:p>
      <w:pPr>
        <w:spacing w:after="200"/>
        <w:jc w:val="left"/>
      </w:pPr>
      <w:r>
        <w:rPr>
          <w:rFonts w:ascii="Arial" w:cs="Arial" w:eastAsia="Arial" w:hAnsi="Arial"/>
          <w:sz w:val="22"/>
          <w:szCs w:val="22"/>
        </w:rPr>
        <w:t xml:space="preserve">Both curves are nearly superimposed. ROC AUC: 0.6669 (with) vs 0.6511 (without).</w:t>
      </w:r>
    </w:p>
    <w:p>
      <w:pPr>
        <w:spacing w:after="200" w:before="200"/>
        <w:jc w:val="center"/>
      </w:pPr>
      <w:r>
        <w:rPr>
          <w:rFonts w:ascii="Arial" w:cs="Arial" w:eastAsia="Arial" w:hAnsi="Arial"/>
          <w:i/>
          <w:iCs/>
          <w:color w:val="888888"/>
          <w:sz w:val="22"/>
          <w:szCs w:val="22"/>
        </w:rPr>
        <w:t xml:space="preserve">[ Figure: Precision-Recall Curve (overlaid) and ROC Curve (overlaid) ]</w:t>
      </w:r>
    </w:p>
    <w:p>
      <w:pPr>
        <w:pStyle w:val="Heading2"/>
        <w:spacing w:after="200" w:before="300"/>
      </w:pPr>
      <w:r>
        <w:rPr>
          <w:rFonts w:ascii="Arial" w:cs="Arial" w:eastAsia="Arial" w:hAnsi="Arial"/>
        </w:rPr>
        <w:t xml:space="preserve">5.3 Score Distribution</w:t>
      </w:r>
    </w:p>
    <w:p>
      <w:pPr>
        <w:spacing w:after="200"/>
        <w:jc w:val="left"/>
      </w:pPr>
      <w:r>
        <w:rPr>
          <w:rFonts w:ascii="Arial" w:cs="Arial" w:eastAsia="Arial" w:hAnsi="Arial"/>
          <w:sz w:val="22"/>
          <w:szCs w:val="22"/>
        </w:rPr>
        <w:t xml:space="preserve">The "with" model produces a tighter, more left-skewed distribution (most predictions 0.03–0.15). The "without" model is shifted right, consistent with its higher base rate.</w:t>
      </w:r>
    </w:p>
    <w:p>
      <w:pPr>
        <w:spacing w:after="200" w:before="200"/>
        <w:jc w:val="center"/>
      </w:pPr>
      <w:r>
        <w:rPr>
          <w:rFonts w:ascii="Arial" w:cs="Arial" w:eastAsia="Arial" w:hAnsi="Arial"/>
          <w:i/>
          <w:iCs/>
          <w:color w:val="888888"/>
          <w:sz w:val="22"/>
          <w:szCs w:val="22"/>
        </w:rPr>
        <w:t xml:space="preserve">[ Figure: Score Distribution Comparison (side-by-side histograms) ]</w:t>
      </w:r>
    </w:p>
    <w:p>
      <w:pPr>
        <w:pStyle w:val="Heading2"/>
        <w:spacing w:after="200" w:before="300"/>
      </w:pPr>
      <w:r>
        <w:rPr>
          <w:rFonts w:ascii="Arial" w:cs="Arial" w:eastAsia="Arial" w:hAnsi="Arial"/>
        </w:rPr>
        <w:t xml:space="preserve">5.4 Calibration</w:t>
      </w:r>
    </w:p>
    <w:p>
      <w:pPr>
        <w:spacing w:after="200"/>
        <w:jc w:val="left"/>
      </w:pPr>
      <w:r>
        <w:rPr>
          <w:rFonts w:ascii="Arial" w:cs="Arial" w:eastAsia="Arial" w:hAnsi="Arial"/>
          <w:sz w:val="22"/>
          <w:szCs w:val="22"/>
        </w:rPr>
        <w:t xml:space="preserve">Univariate plots of term_ind vs model_prediction show strong monotonic calibration in both models. The "with" model’s range extends to ~0.85; the "without" model’s to ~0.77.</w:t>
      </w:r>
    </w:p>
    <w:p>
      <w:pPr>
        <w:spacing w:after="200" w:before="200"/>
        <w:jc w:val="center"/>
      </w:pPr>
      <w:r>
        <w:rPr>
          <w:rFonts w:ascii="Arial" w:cs="Arial" w:eastAsia="Arial" w:hAnsi="Arial"/>
          <w:i/>
          <w:iCs/>
          <w:color w:val="888888"/>
          <w:sz w:val="22"/>
          <w:szCs w:val="22"/>
        </w:rPr>
        <w:t xml:space="preserve">[ Figure: Univariate of term_ind for model_prediction (with and without PUP/Condo) ]</w:t>
      </w:r>
    </w:p>
    <w:p>
      <w:pPr>
        <w:pStyle w:val="Heading1"/>
        <w:spacing w:after="200" w:before="300"/>
      </w:pPr>
      <w:r>
        <w:rPr>
          <w:rFonts w:ascii="Arial" w:cs="Arial" w:eastAsia="Arial" w:hAnsi="Arial"/>
        </w:rPr>
        <w:t xml:space="preserve">6. Term Rate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560"/>
        <w:gridCol w:w="1950"/>
        <w:gridCol w:w="1170"/>
        <w:gridCol w:w="1170"/>
      </w:tblGrid>
      <w:tr>
        <w:tc>
          <w:tcPr>
            <w:tcW w:type="dxa" w:w="117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17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Line</w:t>
            </w:r>
          </w:p>
        </w:tc>
        <w:tc>
          <w:tcPr>
            <w:tcW w:type="dxa" w:w="117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w:t>
            </w:r>
          </w:p>
        </w:tc>
        <w:tc>
          <w:tcPr>
            <w:tcW w:type="dxa" w:w="19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Predicted</w:t>
            </w:r>
          </w:p>
        </w:tc>
        <w:tc>
          <w:tcPr>
            <w:tcW w:type="dxa" w:w="117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w:t>
            </w:r>
          </w:p>
        </w:tc>
        <w:tc>
          <w:tcPr>
            <w:tcW w:type="dxa" w:w="117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474,670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14.51%</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14.54%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0.03%</w:t>
            </w:r>
          </w:p>
        </w:tc>
      </w:tr>
      <w:tr>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With</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032</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61,159</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12.70%</w:t>
            </w:r>
          </w:p>
        </w:tc>
        <w:tc>
          <w:tcPr>
            <w:tcW w:type="dxa" w:w="19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12.83%</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-0.13%</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0.13%</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072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368,189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11.37%</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11.41%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0.05%</w:t>
            </w:r>
          </w:p>
        </w:tc>
      </w:tr>
      <w:tr>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With</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078</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429,332</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8.76%</w:t>
            </w:r>
          </w:p>
        </w:tc>
        <w:tc>
          <w:tcPr>
            <w:tcW w:type="dxa" w:w="19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8.77%</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-0.01%</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0.01%</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088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441,794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8.61%</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8.66%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0.05%</w:t>
            </w:r>
          </w:p>
        </w:tc>
      </w:tr>
      <w:tr>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With</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090</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147,752</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9.11%</w:t>
            </w:r>
          </w:p>
        </w:tc>
        <w:tc>
          <w:tcPr>
            <w:tcW w:type="dxa" w:w="19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9.16%</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-0.06%</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0.06%</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475,101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14.55%</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14.48%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0.06%</w:t>
            </w:r>
          </w:p>
        </w:tc>
      </w:tr>
      <w:tr>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Without</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032</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60,595</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12.55%</w:t>
            </w:r>
          </w:p>
        </w:tc>
        <w:tc>
          <w:tcPr>
            <w:tcW w:type="dxa" w:w="19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12.89%</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-0.35%</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0.35%</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072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369,639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11.36%</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11.37%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0.00%</w:t>
            </w:r>
          </w:p>
        </w:tc>
      </w:tr>
      <w:tr>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Without</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090</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149,286</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9.12%</w:t>
            </w:r>
          </w:p>
        </w:tc>
        <w:tc>
          <w:tcPr>
            <w:tcW w:type="dxa" w:w="19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9.18%</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-0.06%</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0.06%</w:t>
            </w:r>
          </w:p>
        </w:tc>
      </w:tr>
    </w:tbl>
    <w:p>
      <w:pPr>
        <w:spacing w:after="100"/>
      </w:pPr>
    </w:p>
    <w:p>
      <w:pPr>
        <w:spacing w:after="200"/>
        <w:jc w:val="left"/>
      </w:pPr>
      <w:r>
        <w:rPr>
          <w:rFonts w:ascii="Arial" w:cs="Arial" w:eastAsia="Arial" w:hAnsi="Arial"/>
          <w:sz w:val="22"/>
          <w:szCs w:val="22"/>
        </w:rPr>
        <w:t xml:space="preserve">Both models calibrate within 0.06% on shared lines, except line 032 in the "without" model (-0.35%) — likely a small-sample effect at 60k records.</w:t>
      </w:r>
    </w:p>
    <w:p>
      <w:pPr>
        <w:pStyle w:val="Heading1"/>
        <w:spacing w:after="200" w:before="300"/>
      </w:pPr>
      <w:r>
        <w:rPr>
          <w:rFonts w:ascii="Arial" w:cs="Arial" w:eastAsia="Arial" w:hAnsi="Arial"/>
        </w:rPr>
        <w:t xml:space="preserve">7. Tenure Analysis</w:t>
      </w:r>
    </w:p>
    <w:p>
      <w:pPr>
        <w:pStyle w:val="Heading2"/>
        <w:spacing w:after="200" w:before="300"/>
      </w:pPr>
      <w:r>
        <w:rPr>
          <w:rFonts w:ascii="Arial" w:cs="Arial" w:eastAsia="Arial" w:hAnsi="Arial"/>
        </w:rPr>
        <w:t xml:space="preserve">7.1 Performance by nt6 Bucket</w:t>
      </w:r>
    </w:p>
    <w:p>
      <w:pPr>
        <w:spacing w:after="200"/>
        <w:jc w:val="left"/>
      </w:pPr>
      <w:r>
        <w:rPr>
          <w:rFonts w:ascii="Arial" w:cs="Arial" w:eastAsia="Arial" w:hAnsi="Arial"/>
          <w:sz w:val="22"/>
          <w:szCs w:val="22"/>
        </w:rPr>
        <w:t xml:space="preserve">AUC is stable in the 0.58–0.70 range across all nt6 buckets. The "with" model consistently edges the "without" model at every bucket. Actual term rate follows a U-shape — high at nt6=0/1 (new policies churn), dips at nt6=4/5/6, then rises again at nt6=8/9.</w:t>
      </w:r>
    </w:p>
    <w:p>
      <w:pPr>
        <w:spacing w:after="200" w:before="200"/>
        <w:jc w:val="center"/>
      </w:pPr>
      <w:r>
        <w:rPr>
          <w:rFonts w:ascii="Arial" w:cs="Arial" w:eastAsia="Arial" w:hAnsi="Arial"/>
          <w:i/>
          <w:iCs/>
          <w:color w:val="888888"/>
          <w:sz w:val="22"/>
          <w:szCs w:val="22"/>
        </w:rPr>
        <w:t xml:space="preserve">[ Figure: Metrics by nt6 Bucket (ROC AUC, Avg Precision, Actual Term Rate, Log Loss) ]</w:t>
      </w:r>
    </w:p>
    <w:p>
      <w:pPr>
        <w:pStyle w:val="Heading2"/>
        <w:spacing w:after="200" w:before="300"/>
      </w:pPr>
      <w:r>
        <w:rPr>
          <w:rFonts w:ascii="Arial" w:cs="Arial" w:eastAsia="Arial" w:hAnsi="Arial"/>
        </w:rPr>
        <w:t xml:space="preserve">7.2 High-Tenure Deep Dive (nt6 ≥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47,026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22,550</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Unique policies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24,330</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11,727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term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8.65%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9.32%</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Predicted term rate</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8.80%</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9.65%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 (A-P)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-0.0015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-0.0032</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ROC AUC</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0.634</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0.624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Precision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0.147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0.145</w:t>
            </w:r>
          </w:p>
        </w:tc>
      </w:tr>
    </w:tbl>
    <w:p>
      <w:pPr>
        <w:spacing w:after="100"/>
      </w:pPr>
    </w:p>
    <w:p>
      <w:pPr>
        <w:spacing w:after="200"/>
        <w:jc w:val="left"/>
      </w:pPr>
      <w:r>
        <w:rPr>
          <w:rFonts w:ascii="Arial" w:cs="Arial" w:eastAsia="Arial" w:hAnsi="Arial"/>
          <w:sz w:val="22"/>
          <w:szCs w:val="22"/>
        </w:rPr>
        <w:t xml:space="preserve">The tail is thin but functional. Both models still discriminate at high tenure (AUC 0.62–0.63), with calibration diffs under 0.003. The "with" model has better coverage (47k vs 22.5k records) due to PUP/Condo’s longer-tenured policy mix.</w:t>
      </w:r>
    </w:p>
    <w:p>
      <w:pPr>
        <w:pStyle w:val="Heading2"/>
        <w:spacing w:after="200" w:before="300"/>
      </w:pPr>
      <w:r>
        <w:rPr>
          <w:rFonts w:ascii="Arial" w:cs="Arial" w:eastAsia="Arial" w:hAnsi="Arial"/>
        </w:rPr>
        <w:t xml:space="preserve">7.3 Record Count Summary</w:t>
      </w:r>
    </w:p>
    <w:p>
      <w:pPr>
        <w:spacing w:after="200"/>
        <w:jc w:val="left"/>
      </w:pPr>
      <w:r>
        <w:rPr>
          <w:rFonts w:ascii="Arial" w:cs="Arial" w:eastAsia="Arial" w:hAnsi="Arial"/>
          <w:sz w:val="22"/>
          <w:szCs w:val="22"/>
        </w:rPr>
        <w:t xml:space="preserve">nt6=8/9 combined represent ~2.4% of "with" data and ~2.1% of "without" data. Positive counts (actual churns) at nt6=8: ~1,490 with, ~785 without. At nt6=9: ~2,578 with, ~1,317 without.</w:t>
      </w:r>
    </w:p>
    <w:p>
      <w:pPr>
        <w:spacing w:after="200" w:before="200"/>
        <w:jc w:val="center"/>
      </w:pPr>
      <w:r>
        <w:rPr>
          <w:rFonts w:ascii="Arial" w:cs="Arial" w:eastAsia="Arial" w:hAnsi="Arial"/>
          <w:i/>
          <w:iCs/>
          <w:color w:val="888888"/>
          <w:sz w:val="22"/>
          <w:szCs w:val="22"/>
        </w:rPr>
        <w:t xml:space="preserve">[ Figure: Calibration plots (by nt6 bucket, high-tenure by nt6) ]</w:t>
      </w:r>
    </w:p>
    <w:p>
      <w:pPr>
        <w:pStyle w:val="Heading1"/>
        <w:spacing w:after="200" w:before="300"/>
      </w:pPr>
      <w:r>
        <w:rPr>
          <w:rFonts w:ascii="Arial" w:cs="Arial" w:eastAsia="Arial" w:hAnsi="Arial"/>
        </w:rPr>
        <w:t xml:space="preserve">8. SHAP Feature Importance</w:t>
      </w:r>
    </w:p>
    <w:p>
      <w:pPr>
        <w:spacing w:after="200"/>
        <w:jc w:val="left"/>
      </w:pPr>
      <w:r>
        <w:rPr>
          <w:rFonts w:ascii="Arial" w:cs="Arial" w:eastAsia="Arial" w:hAnsi="Arial"/>
          <w:sz w:val="22"/>
          <w:szCs w:val="22"/>
        </w:rPr>
        <w:t xml:space="preserve">SHAP (TreeExplainer) on a 100k sample from each model’s scored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510"/>
        <w:gridCol w:w="780"/>
        <w:gridCol w:w="3510"/>
        <w:gridCol w:w="780"/>
      </w:tblGrid>
      <w:tr>
        <w:tc>
          <w:tcPr>
            <w:tcW w:type="dxa" w:w="7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5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7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5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c>
          <w:tcPr>
            <w:tcW w:type="dxa" w:w="7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nt6</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nt6</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ply_line_cd_enc</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total_policy_count</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pls_pt_state_cd_enc</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ply_line_cd_enc</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total_policy_count</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pls_pt_state_cd_enc</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drv_zip3_cd_other_enc</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drv_prins_years</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drv_prins_years</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drv_zip3_cd_other_enc</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drv_oldest_driver_increment</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drv_oldest_driver_increment</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pls_chnl_of_bnd_cd_enc</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pls_chnl_of_bnd_cd_enc</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drv_youngest_driver_increment</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ply_actve_vhcl_cnt</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ply_actve_vhcl_cnt</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drv_youngest_driver_increment</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w:t>
            </w:r>
          </w:p>
        </w:tc>
      </w:tr>
    </w:tbl>
    <w:p>
      <w:pPr>
        <w:spacing w:after="100"/>
      </w:pPr>
    </w:p>
    <w:p>
      <w:pPr>
        <w:spacing w:after="200"/>
        <w:jc w:val="left"/>
      </w:pPr>
      <w:r>
        <w:rPr>
          <w:rFonts w:ascii="Arial" w:cs="Arial" w:eastAsia="Arial" w:hAnsi="Arial"/>
          <w:sz w:val="22"/>
          <w:szCs w:val="22"/>
        </w:rPr>
        <w:t xml:space="preserve">nt6 dominates both models. ply_line_cd_enc is #2 in the "with" model (6 levels) but drops to #3 without PUP/Condo, while total_policy_count rises to #2 — the model compensates by leaning on household-level signals.</w:t>
      </w:r>
    </w:p>
    <w:p>
      <w:pPr>
        <w:spacing w:after="200" w:before="200"/>
        <w:jc w:val="center"/>
      </w:pPr>
      <w:r>
        <w:rPr>
          <w:rFonts w:ascii="Arial" w:cs="Arial" w:eastAsia="Arial" w:hAnsi="Arial"/>
          <w:i/>
          <w:iCs/>
          <w:color w:val="888888"/>
          <w:sz w:val="22"/>
          <w:szCs w:val="22"/>
        </w:rPr>
        <w:t xml:space="preserve">[ Figure: SHAP bar chart and beeswarm plot (with and without PUP/Condo) ]</w:t>
      </w:r>
    </w:p>
    <w:p>
      <w:pPr>
        <w:pStyle w:val="Heading1"/>
        <w:spacing w:after="200" w:before="300"/>
      </w:pPr>
      <w:r>
        <w:rPr>
          <w:rFonts w:ascii="Arial" w:cs="Arial" w:eastAsia="Arial" w:hAnsi="Arial"/>
        </w:rPr>
        <w:t xml:space="preserve">9. Impact of Removing Pre-2020 Data</w:t>
      </w:r>
    </w:p>
    <w:p>
      <w:pPr>
        <w:spacing w:after="200"/>
        <w:jc w:val="left"/>
      </w:pPr>
      <w:r>
        <w:rPr>
          <w:rFonts w:ascii="Arial" w:cs="Arial" w:eastAsia="Arial" w:hAnsi="Arial"/>
          <w:sz w:val="22"/>
          <w:szCs w:val="22"/>
        </w:rPr>
        <w:t xml:space="preserve">Four models were compared to isolate the training window effect from the line composition effect. Old models (B-2815645) were trained on full history including pre-2020 data; new models (B-2760706, B-2779253) used the 5-year rolling window. All four were evaluated on the same 5-year-window test data.</w:t>
      </w:r>
    </w:p>
    <w:p>
      <w:pPr>
        <w:pStyle w:val="Heading2"/>
        <w:spacing w:after="200" w:before="300"/>
      </w:pPr>
      <w:r>
        <w:rPr>
          <w:rFonts w:ascii="Arial" w:cs="Arial" w:eastAsia="Arial" w:hAnsi="Arial"/>
        </w:rPr>
        <w:t xml:space="preserve">9.1 Aggregate: All 4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32"/>
        <w:gridCol w:w="1232"/>
        <w:gridCol w:w="1232"/>
        <w:gridCol w:w="1232"/>
        <w:gridCol w:w="1232"/>
      </w:tblGrid>
      <w:tr>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23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w:t>
            </w:r>
          </w:p>
        </w:tc>
        <w:tc>
          <w:tcPr>
            <w:tcW w:type="dxa" w:w="123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Predicted</w:t>
            </w:r>
          </w:p>
        </w:tc>
        <w:tc>
          <w:tcPr>
            <w:tcW w:type="dxa" w:w="123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AUC</w:t>
            </w:r>
          </w:p>
        </w:tc>
        <w:tc>
          <w:tcPr>
            <w:tcW w:type="dxa" w:w="123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 Loss</w:t>
            </w:r>
          </w:p>
        </w:tc>
        <w:tc>
          <w:tcPr>
            <w:tcW w:type="dxa" w:w="123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Prec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 + PUP/Condo</w:t>
            </w:r>
          </w:p>
        </w:tc>
        <w:tc>
          <w:tcPr>
            <w:tcW w:type="dxa" w:w="12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10.80%</w:t>
            </w:r>
          </w:p>
        </w:tc>
        <w:tc>
          <w:tcPr>
            <w:tcW w:type="dxa" w:w="12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10.82%</w:t>
            </w:r>
          </w:p>
        </w:tc>
        <w:tc>
          <w:tcPr>
            <w:tcW w:type="dxa" w:w="12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0.656</w:t>
            </w:r>
          </w:p>
        </w:tc>
        <w:tc>
          <w:tcPr>
            <w:tcW w:type="dxa" w:w="12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0.326</w:t>
            </w:r>
          </w:p>
        </w:tc>
        <w:tc>
          <w:tcPr>
            <w:tcW w:type="dxa" w:w="12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0.201</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New (5yr) + PUP/Condo</w:t>
            </w:r>
          </w:p>
        </w:tc>
        <w:tc>
          <w:tcPr>
            <w:tcW w:type="dxa" w:w="123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10.80%</w:t>
            </w:r>
          </w:p>
        </w:tc>
        <w:tc>
          <w:tcPr>
            <w:tcW w:type="dxa" w:w="123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10.83%</w:t>
            </w:r>
          </w:p>
        </w:tc>
        <w:tc>
          <w:tcPr>
            <w:tcW w:type="dxa" w:w="123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0.667</w:t>
            </w:r>
          </w:p>
        </w:tc>
        <w:tc>
          <w:tcPr>
            <w:tcW w:type="dxa" w:w="123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0.323</w:t>
            </w:r>
          </w:p>
        </w:tc>
        <w:tc>
          <w:tcPr>
            <w:tcW w:type="dxa" w:w="123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0.215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 − PUP/Condo</w:t>
            </w:r>
          </w:p>
        </w:tc>
        <w:tc>
          <w:tcPr>
            <w:tcW w:type="dxa" w:w="12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12.55%</w:t>
            </w:r>
          </w:p>
        </w:tc>
        <w:tc>
          <w:tcPr>
            <w:tcW w:type="dxa" w:w="12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13.16%</w:t>
            </w:r>
          </w:p>
        </w:tc>
        <w:tc>
          <w:tcPr>
            <w:tcW w:type="dxa" w:w="12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0.643</w:t>
            </w:r>
          </w:p>
        </w:tc>
        <w:tc>
          <w:tcPr>
            <w:tcW w:type="dxa" w:w="12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0.363</w:t>
            </w:r>
          </w:p>
        </w:tc>
        <w:tc>
          <w:tcPr>
            <w:tcW w:type="dxa" w:w="12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0.217</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New (5yr) − PUP/Condo</w:t>
            </w:r>
          </w:p>
        </w:tc>
        <w:tc>
          <w:tcPr>
            <w:tcW w:type="dxa" w:w="123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12.55%</w:t>
            </w:r>
          </w:p>
        </w:tc>
        <w:tc>
          <w:tcPr>
            <w:tcW w:type="dxa" w:w="123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12.55%</w:t>
            </w:r>
          </w:p>
        </w:tc>
        <w:tc>
          <w:tcPr>
            <w:tcW w:type="dxa" w:w="123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0.651</w:t>
            </w:r>
          </w:p>
        </w:tc>
        <w:tc>
          <w:tcPr>
            <w:tcW w:type="dxa" w:w="123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0.360</w:t>
            </w:r>
          </w:p>
        </w:tc>
        <w:tc>
          <w:tcPr>
            <w:tcW w:type="dxa" w:w="123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0.228</w:t>
            </w:r>
          </w:p>
        </w:tc>
      </w:tr>
    </w:tbl>
    <w:p>
      <w:pPr>
        <w:spacing w:after="100"/>
      </w:pPr>
    </w:p>
    <w:p>
      <w:pPr>
        <w:pStyle w:val="Heading2"/>
        <w:spacing w:after="200" w:before="300"/>
      </w:pPr>
      <w:r>
        <w:rPr>
          <w:rFonts w:ascii="Arial" w:cs="Arial" w:eastAsia="Arial" w:hAnsi="Arial"/>
        </w:rPr>
        <w:t xml:space="preserve">9.2 Isolated Window Effect</w:t>
      </w:r>
    </w:p>
    <w:p>
      <w:pPr>
        <w:spacing w:after="200"/>
        <w:jc w:val="left"/>
      </w:pPr>
      <w:r>
        <w:rPr>
          <w:rFonts w:ascii="Arial" w:cs="Arial" w:eastAsia="Arial" w:hAnsi="Arial"/>
          <w:sz w:val="22"/>
          <w:szCs w:val="22"/>
        </w:rPr>
        <w:t xml:space="preserve">Holding lines constant, the 5-year window improves every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AUC</w:t>
            </w:r>
          </w:p>
        </w:tc>
        <w:tc>
          <w:tcPr>
            <w:tcW w:type="dxa" w:w="1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AUC</w:t>
            </w:r>
          </w:p>
        </w:tc>
        <w:tc>
          <w:tcPr>
            <w:tcW w:type="dxa" w:w="1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c>
          <w:tcPr>
            <w:tcW w:type="dxa" w:w="1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Calib Improvement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PUP/Condo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0.656</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0.667</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+0.011</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-0.0003 → -0.0004</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Without PUP/Condo</w:t>
            </w:r>
          </w:p>
        </w:tc>
        <w:tc>
          <w:tcPr>
            <w:tcW w:type="dxa" w:w="1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0.644</w:t>
            </w:r>
          </w:p>
        </w:tc>
        <w:tc>
          <w:tcPr>
            <w:tcW w:type="dxa" w:w="1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0.651</w:t>
            </w:r>
          </w:p>
        </w:tc>
        <w:tc>
          <w:tcPr>
            <w:tcW w:type="dxa" w:w="1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+0.008</w:t>
            </w:r>
          </w:p>
        </w:tc>
        <w:tc>
          <w:tcPr>
            <w:tcW w:type="dxa" w:w="1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-0.0061 → -0.0000</w:t>
            </w:r>
          </w:p>
        </w:tc>
      </w:tr>
    </w:tbl>
    <w:p>
      <w:pPr>
        <w:spacing w:after="100"/>
      </w:pPr>
    </w:p>
    <w:p>
      <w:pPr>
        <w:spacing w:after="200"/>
        <w:jc w:val="left"/>
      </w:pPr>
      <w:r>
        <w:rPr>
          <w:rFonts w:ascii="Arial" w:cs="Arial" w:eastAsia="Arial" w:hAnsi="Arial"/>
          <w:sz w:val="22"/>
          <w:szCs w:val="22"/>
        </w:rPr>
        <w:t xml:space="preserve">The old "without" model was notably miscalibrated (-0.006 diff), predicting higher defection than observed. The 5-year window corrects this completely.</w:t>
      </w:r>
    </w:p>
    <w:p>
      <w:pPr>
        <w:pStyle w:val="Heading2"/>
        <w:spacing w:after="200" w:before="300"/>
      </w:pPr>
      <w:r>
        <w:rPr>
          <w:rFonts w:ascii="Arial" w:cs="Arial" w:eastAsia="Arial" w:hAnsi="Arial"/>
        </w:rPr>
        <w:t xml:space="preserve">9.3 Isolated Line Effect</w:t>
      </w:r>
    </w:p>
    <w:p>
      <w:pPr>
        <w:spacing w:after="200"/>
        <w:jc w:val="left"/>
      </w:pPr>
      <w:r>
        <w:rPr>
          <w:rFonts w:ascii="Arial" w:cs="Arial" w:eastAsia="Arial" w:hAnsi="Arial"/>
          <w:sz w:val="22"/>
          <w:szCs w:val="22"/>
        </w:rPr>
        <w:t xml:space="preserve">To isolate the line effect, the same 211k-record population (shared 4 lines only) was scored by both the "with" and "without" models. Predictions from the "without" model were joined by policy_id + nt6 to enable apples-to-apples comparison on identical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Window</w:t>
            </w:r>
          </w:p>
        </w:tc>
        <w:tc>
          <w:tcPr>
            <w:tcW w:type="dxa" w:w="1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AUC</w:t>
            </w:r>
          </w:p>
        </w:tc>
        <w:tc>
          <w:tcPr>
            <w:tcW w:type="dxa" w:w="1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AUC</w:t>
            </w:r>
          </w:p>
        </w:tc>
        <w:tc>
          <w:tcPr>
            <w:tcW w:type="dxa" w:w="1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c>
          <w:tcPr>
            <w:tcW w:type="dxa" w:w="1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Conclusion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(5yr)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0.655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0.655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Identical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Old</w:t>
            </w:r>
          </w:p>
        </w:tc>
        <w:tc>
          <w:tcPr>
            <w:tcW w:type="dxa" w:w="1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0.649</w:t>
            </w:r>
          </w:p>
        </w:tc>
        <w:tc>
          <w:tcPr>
            <w:tcW w:type="dxa" w:w="1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0.643</w:t>
            </w:r>
          </w:p>
        </w:tc>
        <w:tc>
          <w:tcPr>
            <w:tcW w:type="dxa" w:w="1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-0.005</w:t>
            </w:r>
          </w:p>
        </w:tc>
        <w:tc>
          <w:tcPr>
            <w:tcW w:type="dxa" w:w="1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Marginal</w:t>
            </w:r>
          </w:p>
        </w:tc>
      </w:tr>
    </w:tbl>
    <w:p>
      <w:pPr>
        <w:spacing w:after="100"/>
      </w:pPr>
    </w:p>
    <w:p>
      <w:pPr>
        <w:spacing w:after="200"/>
        <w:jc w:val="left"/>
      </w:pPr>
      <w:r>
        <w:rPr>
          <w:rFonts w:ascii="Arial" w:cs="Arial" w:eastAsia="Arial" w:hAnsi="Arial"/>
          <w:sz w:val="22"/>
          <w:szCs w:val="22"/>
        </w:rPr>
        <w:t xml:space="preserve">Including PUP/Condo in training has no measurable impact on the shared four lines under the 5-year window. The models are interchangeable for those lines.</w:t>
      </w:r>
    </w:p>
    <w:p>
      <w:pPr>
        <w:pStyle w:val="Heading2"/>
        <w:spacing w:after="200" w:before="300"/>
      </w:pPr>
      <w:r>
        <w:rPr>
          <w:rFonts w:ascii="Arial" w:cs="Arial" w:eastAsia="Arial" w:hAnsi="Arial"/>
        </w:rPr>
        <w:t xml:space="preserve">9.4 Window Effect by nt6 Bucket</w:t>
      </w:r>
    </w:p>
    <w:p>
      <w:pPr>
        <w:spacing w:after="200"/>
        <w:jc w:val="left"/>
      </w:pPr>
      <w:r>
        <w:rPr>
          <w:rFonts w:ascii="Arial" w:cs="Arial" w:eastAsia="Arial" w:hAnsi="Arial"/>
          <w:sz w:val="22"/>
          <w:szCs w:val="22"/>
        </w:rPr>
        <w:t xml:space="preserve">The new model beats the old at every nt6 bucket in both variants. The improvement is largest at high tenure (nt6=8/9: +0.02 to +0.035 AUC), directly addressing the concern that dropping pre-2020 data might hurt high-tenure predictions. The old model’s calibration was worst at nt6=0 (underpredicting defection by 1–2%), which the new window corrects.</w:t>
      </w:r>
    </w:p>
    <w:p>
      <w:pPr>
        <w:spacing w:after="200" w:before="200"/>
        <w:jc w:val="center"/>
      </w:pPr>
      <w:r>
        <w:rPr>
          <w:rFonts w:ascii="Arial" w:cs="Arial" w:eastAsia="Arial" w:hAnsi="Arial"/>
          <w:i/>
          <w:iCs/>
          <w:color w:val="888888"/>
          <w:sz w:val="22"/>
          <w:szCs w:val="22"/>
        </w:rPr>
        <w:t xml:space="preserve">[ Figure: Window effect by nt6 bucket table (with and without PUP/Condo) ]</w:t>
      </w:r>
    </w:p>
    <w:p>
      <w:pPr>
        <w:pStyle w:val="Heading2"/>
        <w:spacing w:after="200" w:before="300"/>
      </w:pPr>
      <w:r>
        <w:rPr>
          <w:rFonts w:ascii="Arial" w:cs="Arial" w:eastAsia="Arial" w:hAnsi="Arial"/>
        </w:rPr>
        <w:t xml:space="preserve">9.5 Line Effect by nt6 Bucket</w:t>
      </w:r>
    </w:p>
    <w:p>
      <w:pPr>
        <w:spacing w:after="200"/>
        <w:jc w:val="left"/>
      </w:pPr>
      <w:r>
        <w:rPr>
          <w:rFonts w:ascii="Arial" w:cs="Arial" w:eastAsia="Arial" w:hAnsi="Arial"/>
          <w:sz w:val="22"/>
          <w:szCs w:val="22"/>
        </w:rPr>
        <w:t xml:space="preserve">On the shared 4-line population, the "with" model has a small AUC advantage at most nt6 buckets (delta -0.003 to -0.015), but the differences are small enough to be noise. Calibration differences are similarly negligible.</w:t>
      </w:r>
    </w:p>
    <w:p>
      <w:pPr>
        <w:spacing w:after="200" w:before="200"/>
        <w:jc w:val="center"/>
      </w:pPr>
      <w:r>
        <w:rPr>
          <w:rFonts w:ascii="Arial" w:cs="Arial" w:eastAsia="Arial" w:hAnsi="Arial"/>
          <w:i/>
          <w:iCs/>
          <w:color w:val="888888"/>
          <w:sz w:val="22"/>
          <w:szCs w:val="22"/>
        </w:rPr>
        <w:t xml:space="preserve">[ Figure: Line effect by nt6 bucket table ]</w:t>
      </w:r>
    </w:p>
    <w:p>
      <w:pPr>
        <w:pStyle w:val="Heading1"/>
        <w:spacing w:after="200" w:before="300"/>
      </w:pPr>
      <w:r>
        <w:rPr>
          <w:rFonts w:ascii="Arial" w:cs="Arial" w:eastAsia="Arial" w:hAnsi="Arial"/>
        </w:rPr>
        <w:t xml:space="preserve">10. Univariate Analysis</w:t>
      </w:r>
    </w:p>
    <w:p>
      <w:pPr>
        <w:pStyle w:val="ListParagraph"/>
        <w:numPr>
          <w:ilvl w:val="0"/>
          <w:numId w:val="4"/>
        </w:numPr>
        <w:spacing w:after="120"/>
      </w:pPr>
      <w:r>
        <w:rPr>
          <w:rFonts w:ascii="Arial" w:cs="Arial" w:eastAsia="Arial" w:hAnsi="Arial"/>
          <w:b/>
          <w:bCs/>
          <w:sz w:val="22"/>
          <w:szCs w:val="22"/>
        </w:rPr>
        <w:t xml:space="preserve">pls_pt_state_cd: </w:t>
      </w:r>
      <w:r>
        <w:rPr>
          <w:rFonts w:ascii="Arial" w:cs="Arial" w:eastAsia="Arial" w:hAnsi="Arial"/>
          <w:sz w:val="22"/>
          <w:szCs w:val="22"/>
        </w:rPr>
        <w:t xml:space="preserve">Model predictions track actual term rates across states. FL and TX dominate volume.</w:t>
      </w:r>
    </w:p>
    <w:p>
      <w:pPr>
        <w:pStyle w:val="ListParagraph"/>
        <w:numPr>
          <w:ilvl w:val="0"/>
          <w:numId w:val="4"/>
        </w:numPr>
        <w:spacing w:after="120"/>
      </w:pPr>
      <w:r>
        <w:rPr>
          <w:rFonts w:ascii="Arial" w:cs="Arial" w:eastAsia="Arial" w:hAnsi="Arial"/>
          <w:b/>
          <w:bCs/>
          <w:sz w:val="22"/>
          <w:szCs w:val="22"/>
        </w:rPr>
        <w:t xml:space="preserve">ply_line_cd: </w:t>
      </w:r>
      <w:r>
        <w:rPr>
          <w:rFonts w:ascii="Arial" w:cs="Arial" w:eastAsia="Arial" w:hAnsi="Arial"/>
          <w:sz w:val="22"/>
          <w:szCs w:val="22"/>
        </w:rPr>
        <w:t xml:space="preserve">The "with" model correctly learns 078/088 defect at lower rates. The "without" variant shows only four lines with accurate tracking.</w:t>
      </w:r>
    </w:p>
    <w:p>
      <w:pPr>
        <w:pStyle w:val="ListParagraph"/>
        <w:numPr>
          <w:ilvl w:val="0"/>
          <w:numId w:val="4"/>
        </w:numPr>
        <w:spacing w:after="120"/>
      </w:pPr>
      <w:r>
        <w:rPr>
          <w:rFonts w:ascii="Arial" w:cs="Arial" w:eastAsia="Arial" w:hAnsi="Arial"/>
          <w:b/>
          <w:bCs/>
          <w:sz w:val="22"/>
          <w:szCs w:val="22"/>
        </w:rPr>
        <w:t xml:space="preserve">pls_chnl_of_bnd_cd: </w:t>
      </w:r>
      <w:r>
        <w:rPr>
          <w:rFonts w:ascii="Arial" w:cs="Arial" w:eastAsia="Arial" w:hAnsi="Arial"/>
          <w:sz w:val="22"/>
          <w:szCs w:val="22"/>
        </w:rPr>
        <w:t xml:space="preserve">Channel 21 (dominant) has lowest defection; channel 25 highest (~23%). Both models capture this.</w:t>
      </w:r>
    </w:p>
    <w:p>
      <w:pPr>
        <w:pStyle w:val="ListParagraph"/>
        <w:numPr>
          <w:ilvl w:val="0"/>
          <w:numId w:val="4"/>
        </w:numPr>
        <w:spacing w:after="120"/>
      </w:pPr>
      <w:r>
        <w:rPr>
          <w:rFonts w:ascii="Arial" w:cs="Arial" w:eastAsia="Arial" w:hAnsi="Arial"/>
          <w:b/>
          <w:bCs/>
          <w:sz w:val="22"/>
          <w:szCs w:val="22"/>
        </w:rPr>
        <w:t xml:space="preserve">drv_zip3_cd_other: </w:t>
      </w:r>
      <w:r>
        <w:rPr>
          <w:rFonts w:ascii="Arial" w:cs="Arial" w:eastAsia="Arial" w:hAnsi="Arial"/>
          <w:sz w:val="22"/>
          <w:szCs w:val="22"/>
        </w:rPr>
        <w:t xml:space="preserve">High-cardinality, noisy term_ind. Model predictions are appropriately smooth — no overfitting to geography.</w:t>
      </w:r>
    </w:p>
    <w:p>
      <w:pPr>
        <w:pStyle w:val="ListParagraph"/>
        <w:numPr>
          <w:ilvl w:val="0"/>
          <w:numId w:val="4"/>
        </w:numPr>
        <w:spacing w:after="120"/>
      </w:pPr>
      <w:r>
        <w:rPr>
          <w:rFonts w:ascii="Arial" w:cs="Arial" w:eastAsia="Arial" w:hAnsi="Arial"/>
          <w:b/>
          <w:bCs/>
          <w:sz w:val="22"/>
          <w:szCs w:val="22"/>
        </w:rPr>
        <w:t xml:space="preserve">release_day_pol: </w:t>
      </w:r>
      <w:r>
        <w:rPr>
          <w:rFonts w:ascii="Arial" w:cs="Arial" w:eastAsia="Arial" w:hAnsi="Arial"/>
          <w:sz w:val="22"/>
          <w:szCs w:val="22"/>
        </w:rPr>
        <w:t xml:space="preserve">Counts spike at earliest dates. Model predictions are flat, which is correct — release_day_pol shouldn’t be predictive after controlling for tenure.</w:t>
      </w:r>
    </w:p>
    <w:p>
      <w:pPr>
        <w:spacing w:after="200" w:before="200"/>
        <w:jc w:val="center"/>
      </w:pPr>
      <w:r>
        <w:rPr>
          <w:rFonts w:ascii="Arial" w:cs="Arial" w:eastAsia="Arial" w:hAnsi="Arial"/>
          <w:i/>
          <w:iCs/>
          <w:color w:val="888888"/>
          <w:sz w:val="22"/>
          <w:szCs w:val="22"/>
        </w:rPr>
        <w:t xml:space="preserve">[ Figure: Univariate plots (with and without PUP/Condo) ]</w:t>
      </w:r>
    </w:p>
    <w:p>
      <w:pPr>
        <w:pStyle w:val="Heading1"/>
        <w:spacing w:after="200" w:before="300"/>
      </w:pPr>
      <w:r>
        <w:rPr>
          <w:rFonts w:ascii="Arial" w:cs="Arial" w:eastAsia="Arial" w:hAnsi="Arial"/>
        </w:rPr>
        <w:t xml:space="preserve">11. Conclusions &amp; Recommendations</w:t>
      </w:r>
    </w:p>
    <w:p>
      <w:pPr>
        <w:pStyle w:val="ListParagraph"/>
        <w:numPr>
          <w:ilvl w:val="0"/>
          <w:numId w:val="5"/>
        </w:numPr>
        <w:spacing w:after="120"/>
      </w:pPr>
      <w:r>
        <w:rPr>
          <w:rFonts w:ascii="Arial" w:cs="Arial" w:eastAsia="Arial" w:hAnsi="Arial"/>
          <w:sz w:val="22"/>
          <w:szCs w:val="22"/>
        </w:rPr>
        <w:t xml:space="preserve">Dropping pre-2020 data is a net positive. AUC improves +0.008 to +0.011, calibration improves, and the improvement is consistent at every nt6 bucket including the high-tenure tail.</w:t>
      </w:r>
    </w:p>
    <w:p>
      <w:pPr>
        <w:pStyle w:val="ListParagraph"/>
        <w:numPr>
          <w:ilvl w:val="0"/>
          <w:numId w:val="5"/>
        </w:numPr>
        <w:spacing w:after="120"/>
      </w:pPr>
      <w:r>
        <w:rPr>
          <w:rFonts w:ascii="Arial" w:cs="Arial" w:eastAsia="Arial" w:hAnsi="Arial"/>
          <w:sz w:val="22"/>
          <w:szCs w:val="22"/>
        </w:rPr>
        <w:t xml:space="preserve">High-tenure performance improves most from the window change — nt6=8/9 see the largest AUC gains. The 5-year window retains enough signal.</w:t>
      </w:r>
    </w:p>
    <w:p>
      <w:pPr>
        <w:pStyle w:val="ListParagraph"/>
        <w:numPr>
          <w:ilvl w:val="0"/>
          <w:numId w:val="5"/>
        </w:numPr>
        <w:spacing w:after="120"/>
      </w:pPr>
      <w:r>
        <w:rPr>
          <w:rFonts w:ascii="Arial" w:cs="Arial" w:eastAsia="Arial" w:hAnsi="Arial"/>
          <w:sz w:val="22"/>
          <w:szCs w:val="22"/>
        </w:rPr>
        <w:t xml:space="preserve">Including PUP/Condo in training has negligible effect on the shared four lines (AUC identical at 0.655 on same population).</w:t>
      </w:r>
    </w:p>
    <w:p>
      <w:pPr>
        <w:pStyle w:val="ListParagraph"/>
        <w:numPr>
          <w:ilvl w:val="0"/>
          <w:numId w:val="5"/>
        </w:numPr>
        <w:spacing w:after="120"/>
      </w:pPr>
      <w:r>
        <w:rPr>
          <w:rFonts w:ascii="Arial" w:cs="Arial" w:eastAsia="Arial" w:hAnsi="Arial"/>
          <w:sz w:val="22"/>
          <w:szCs w:val="22"/>
        </w:rPr>
        <w:t xml:space="preserve">PUP/Condo are the stickiest SPL lines (8.6–8.8% term rate). They dampen overall defection and shift tenure distribution toward later renewals.</w:t>
      </w:r>
    </w:p>
    <w:p>
      <w:pPr>
        <w:pStyle w:val="ListParagraph"/>
        <w:numPr>
          <w:ilvl w:val="0"/>
          <w:numId w:val="5"/>
        </w:numPr>
        <w:spacing w:after="120"/>
      </w:pPr>
      <w:r>
        <w:rPr>
          <w:rFonts w:ascii="Arial" w:cs="Arial" w:eastAsia="Arial" w:hAnsi="Arial"/>
          <w:sz w:val="22"/>
          <w:szCs w:val="22"/>
        </w:rPr>
        <w:t xml:space="preserve">First-renewal defection is trending upward (11.8% → 13.8–16.5%). Portfolio-level concern, not model-specific.</w:t>
      </w:r>
    </w:p>
    <w:p>
      <w:pPr>
        <w:pStyle w:val="ListParagraph"/>
        <w:numPr>
          <w:ilvl w:val="0"/>
          <w:numId w:val="5"/>
        </w:numPr>
        <w:spacing w:after="120"/>
      </w:pPr>
      <w:r>
        <w:rPr>
          <w:rFonts w:ascii="Arial" w:cs="Arial" w:eastAsia="Arial" w:hAnsi="Arial"/>
          <w:sz w:val="22"/>
          <w:szCs w:val="22"/>
        </w:rPr>
        <w:t xml:space="preserve">The old model was miscalibrated at nt6=0 (underpredicting defection by 1–2%). The 5-year window corrects this.</w:t>
      </w:r>
    </w:p>
    <w:p>
      <w:pPr>
        <w:pStyle w:val="Heading2"/>
        <w:spacing w:after="200" w:before="300"/>
      </w:pPr>
      <w:r>
        <w:rPr>
          <w:rFonts w:ascii="Arial" w:cs="Arial" w:eastAsia="Arial" w:hAnsi="Arial"/>
        </w:rPr>
        <w:t xml:space="preserve">Recommendation</w:t>
      </w:r>
    </w:p>
    <w:p>
      <w:pPr>
        <w:pStyle w:val="ListParagraph"/>
        <w:numPr>
          <w:ilvl w:val="0"/>
          <w:numId w:val="6"/>
        </w:numPr>
        <w:spacing w:after="120"/>
      </w:pPr>
      <w:r>
        <w:rPr>
          <w:rFonts w:ascii="Arial" w:cs="Arial" w:eastAsia="Arial" w:hAnsi="Arial"/>
          <w:sz w:val="22"/>
          <w:szCs w:val="22"/>
        </w:rPr>
        <w:t xml:space="preserve">If PUP/Condo retention predictions are needed downstream (LTV on those lines): use B-2760706 ("with"). No degradation to core four lines.</w:t>
      </w:r>
    </w:p>
    <w:p>
      <w:pPr>
        <w:pStyle w:val="ListParagraph"/>
        <w:numPr>
          <w:ilvl w:val="0"/>
          <w:numId w:val="6"/>
        </w:numPr>
        <w:spacing w:after="120"/>
      </w:pPr>
      <w:r>
        <w:rPr>
          <w:rFonts w:ascii="Arial" w:cs="Arial" w:eastAsia="Arial" w:hAnsi="Arial"/>
          <w:sz w:val="22"/>
          <w:szCs w:val="22"/>
        </w:rPr>
        <w:t xml:space="preserve">If the goal is a focused model on the original four lines only: B-2779253 ("without") is equally valid.</w:t>
      </w:r>
    </w:p>
    <w:p>
      <w:pPr>
        <w:pStyle w:val="ListParagraph"/>
        <w:numPr>
          <w:ilvl w:val="0"/>
          <w:numId w:val="6"/>
        </w:numPr>
        <w:spacing w:after="120"/>
      </w:pPr>
      <w:r>
        <w:rPr>
          <w:rFonts w:ascii="Arial" w:cs="Arial" w:eastAsia="Arial" w:hAnsi="Arial"/>
          <w:sz w:val="22"/>
          <w:szCs w:val="22"/>
        </w:rPr>
        <w:t xml:space="preserve">Either way, use the 5-year rolling window — the old full-history window is strictly worse.</w:t>
      </w:r>
    </w:p>
    <w:p>
      <w:pPr>
        <w:spacing w:after="100"/>
      </w:pPr>
    </w:p>
    <w:p>
      <w:pPr>
        <w:pStyle w:val="Heading2"/>
        <w:spacing w:after="200" w:before="300"/>
      </w:pPr>
      <w:r>
        <w:rPr>
          <w:rFonts w:ascii="Arial" w:cs="Arial" w:eastAsia="Arial" w:hAnsi="Arial"/>
        </w:rPr>
        <w:t xml:space="preserve">Open Items</w:t>
      </w:r>
    </w:p>
    <w:p>
      <w:pPr>
        <w:pStyle w:val="ListParagraph"/>
        <w:numPr>
          <w:ilvl w:val="0"/>
          <w:numId w:val="7"/>
        </w:numPr>
        <w:spacing w:after="120"/>
      </w:pPr>
      <w:r>
        <w:rPr>
          <w:rFonts w:ascii="Arial" w:cs="Arial" w:eastAsia="Arial" w:hAnsi="Arial"/>
          <w:sz w:val="22"/>
          <w:szCs w:val="22"/>
        </w:rPr>
        <w:t xml:space="preserve">Rising first-renewal defection (11.8% → 16.5%): pricing, competitive, or underwriting mix?</w:t>
      </w:r>
    </w:p>
    <w:p>
      <w:pPr>
        <w:pStyle w:val="ListParagraph"/>
        <w:numPr>
          <w:ilvl w:val="0"/>
          <w:numId w:val="7"/>
        </w:numPr>
        <w:spacing w:after="120"/>
      </w:pPr>
      <w:r>
        <w:rPr>
          <w:rFonts w:ascii="Arial" w:cs="Arial" w:eastAsia="Arial" w:hAnsi="Arial"/>
          <w:sz w:val="22"/>
          <w:szCs w:val="22"/>
        </w:rPr>
        <w:t xml:space="preserve">nt6=8/9 sparse (~2.4%). Accept reduced precision at high tenure, or consider longer window?</w:t>
      </w:r>
    </w:p>
    <w:p>
      <w:pPr>
        <w:pStyle w:val="ListParagraph"/>
        <w:numPr>
          <w:ilvl w:val="0"/>
          <w:numId w:val="7"/>
        </w:numPr>
        <w:spacing w:after="120"/>
      </w:pPr>
      <w:r>
        <w:rPr>
          <w:rFonts w:ascii="Arial" w:cs="Arial" w:eastAsia="Arial" w:hAnsi="Arial"/>
          <w:sz w:val="22"/>
          <w:szCs w:val="22"/>
        </w:rPr>
        <w:t xml:space="preserve">Line 032 calibration gap (-0.35% in "without" model) — monitor given small volume.</w:t>
      </w:r>
    </w:p>
    <w:p>
      <w:pPr>
        <w:pStyle w:val="ListParagraph"/>
        <w:numPr>
          <w:ilvl w:val="0"/>
          <w:numId w:val="7"/>
        </w:numPr>
        <w:spacing w:after="120"/>
      </w:pPr>
      <w:r>
        <w:rPr>
          <w:rFonts w:ascii="Arial" w:cs="Arial" w:eastAsia="Arial" w:hAnsi="Arial"/>
          <w:sz w:val="22"/>
          <w:szCs w:val="22"/>
        </w:rPr>
        <w:t xml:space="preserve">Training min date 2020-11-09 (not 2020-11-08) suggests minor gap in B-2756198 extract. More recent ADW extract available?</w:t>
      </w:r>
    </w:p>
    <w:p>
      <w:pPr>
        <w:pStyle w:val="ListParagraph"/>
        <w:numPr>
          <w:ilvl w:val="0"/>
          <w:numId w:val="7"/>
        </w:numPr>
        <w:spacing w:after="120"/>
      </w:pPr>
      <w:r>
        <w:rPr>
          <w:rFonts w:ascii="Arial" w:cs="Arial" w:eastAsia="Arial" w:hAnsi="Arial"/>
          <w:sz w:val="22"/>
          <w:szCs w:val="22"/>
        </w:rPr>
        <w:t xml:space="preserve">Pre-featurization volume decline in recent months — likely ADW ingestion lag in EWT tables. Confirm with data engineering.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Classic SPL Retention — PUP/Condo &amp; Window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2"/>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668"/>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3A6A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2026-05-21T01:19:48.076Z</dcterms:created>
  <dcterms:modified xsi:type="dcterms:W3CDTF">2026-05-21T01:19:48.090Z</dcterms:modified>
</cp:coreProperties>
</file>

<file path=docProps/custom.xml><?xml version="1.0" encoding="utf-8"?>
<Properties xmlns="http://schemas.openxmlformats.org/officeDocument/2006/custom-properties" xmlns:vt="http://schemas.openxmlformats.org/officeDocument/2006/docPropsVTypes"/>
</file>