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A3668"/>
          <w:sz w:val="48"/>
          <w:szCs w:val="48"/>
        </w:rPr>
        <w:t xml:space="preserve">Classic SPL Retention Model</w:t>
      </w:r>
    </w:p>
    <w:p>
      <w:pPr>
        <w:spacing w:after="80"/>
        <w:jc w:val="center"/>
      </w:pPr>
      <w:r>
        <w:rPr>
          <w:rFonts w:ascii="Arial" w:cs="Arial" w:eastAsia="Arial" w:hAnsi="Arial"/>
          <w:b/>
          <w:bCs/>
          <w:color w:val="2E5090"/>
          <w:sz w:val="40"/>
          <w:szCs w:val="40"/>
        </w:rPr>
        <w:t xml:space="preserve">Other Short-Term</w:t>
      </w:r>
    </w:p>
    <w:p>
      <w:pPr>
        <w:spacing w:after="400"/>
        <w:jc w:val="center"/>
      </w:pPr>
      <w:r>
        <w:rPr>
          <w:rFonts w:ascii="Arial" w:cs="Arial" w:eastAsia="Arial" w:hAnsi="Arial"/>
          <w:color w:val="555555"/>
          <w:sz w:val="32"/>
          <w:szCs w:val="32"/>
        </w:rPr>
        <w:t xml:space="preserve">PUP/Condo Line Inclusion Analysis</w:t>
      </w:r>
    </w:p>
    <w:p>
      <w:pPr>
        <w:pBdr>
          <w:top w:val="single" w:color="2E5090" w:sz="6" w:space="1"/>
        </w:pBdr>
        <w:spacing w:after="200" w:before="200"/>
        <w:jc w:val="center"/>
      </w:pPr>
    </w:p>
    <w:p>
      <w:pPr>
        <w:spacing w:after="100"/>
        <w:jc w:val="center"/>
      </w:pPr>
      <w:r>
        <w:rPr>
          <w:rFonts w:ascii="Arial" w:cs="Arial" w:eastAsia="Arial" w:hAnsi="Arial"/>
          <w:color w:val="555555"/>
          <w:sz w:val="22"/>
          <w:szCs w:val="22"/>
        </w:rPr>
        <w:t xml:space="preserve">Comparing B-2760706 (with PUP/Condo) vs. B-2779253 (without PUP/Condo)</w:t>
      </w:r>
    </w:p>
    <w:p>
      <w:pPr>
        <w:spacing w:after="100"/>
        <w:jc w:val="center"/>
      </w:pPr>
      <w:r>
        <w:rPr>
          <w:rFonts w:ascii="Arial" w:cs="Arial" w:eastAsia="Arial" w:hAnsi="Arial"/>
          <w:color w:val="555555"/>
          <w:sz w:val="22"/>
          <w:szCs w:val="22"/>
        </w:rPr>
        <w:t xml:space="preserve">May 2026</w:t>
      </w:r>
    </w:p>
    <w:p>
      <w:pPr>
        <w:jc w:val="center"/>
      </w:pPr>
      <w:r>
        <w:rPr>
          <w:rFonts w:ascii="Arial" w:cs="Arial" w:eastAsia="Arial" w:hAnsi="Arial"/>
          <w:color w:val="777777"/>
          <w:sz w:val="22"/>
          <w:szCs w:val="22"/>
        </w:rPr>
        <w:t xml:space="preserve">LTV Modeling Team — Allstate</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1. Executive Summary</w:t>
      </w:r>
    </w:p>
    <w:p>
      <w:pPr>
        <w:spacing w:after="200"/>
        <w:jc w:val="left"/>
      </w:pPr>
      <w:r>
        <w:rPr>
          <w:rFonts w:ascii="Arial" w:cs="Arial" w:eastAsia="Arial" w:hAnsi="Arial"/>
          <w:sz w:val="22"/>
          <w:szCs w:val="22"/>
        </w:rPr>
        <w:t xml:space="preserve">This document evaluates the impact of including PUP (Personal Umbrella Policy, line 088) and Condo (line 078) insurance lines in the Classic SPL short-term retention model for the "other" model line. Two model variants were trained and scored on the same 5-year rolling training window:</w:t>
      </w:r>
    </w:p>
    <w:p>
      <w:pPr>
        <w:pStyle w:val="ListParagraph"/>
        <w:numPr>
          <w:ilvl w:val="0"/>
          <w:numId w:val="2"/>
        </w:numPr>
        <w:spacing w:after="120"/>
      </w:pPr>
      <w:r>
        <w:rPr>
          <w:rFonts w:ascii="Arial" w:cs="Arial" w:eastAsia="Arial" w:hAnsi="Arial"/>
          <w:b/>
          <w:bCs/>
          <w:sz w:val="22"/>
          <w:szCs w:val="22"/>
        </w:rPr>
        <w:t xml:space="preserve">B-2760706 (With PUP/Condo): </w:t>
      </w:r>
      <w:r>
        <w:rPr>
          <w:rFonts w:ascii="Arial" w:cs="Arial" w:eastAsia="Arial" w:hAnsi="Arial"/>
          <w:sz w:val="22"/>
          <w:szCs w:val="22"/>
        </w:rPr>
        <w:t xml:space="preserve">Trained on six SPL lines (E16, E12, E72, Q98, 078, 088) — 9,636,692 training records, 1,922,896 scored records.</w:t>
      </w:r>
    </w:p>
    <w:p>
      <w:pPr>
        <w:pStyle w:val="ListParagraph"/>
        <w:numPr>
          <w:ilvl w:val="0"/>
          <w:numId w:val="2"/>
        </w:numPr>
        <w:spacing w:after="200"/>
      </w:pPr>
      <w:r>
        <w:rPr>
          <w:rFonts w:ascii="Arial" w:cs="Arial" w:eastAsia="Arial" w:hAnsi="Arial"/>
          <w:b/>
          <w:bCs/>
          <w:sz w:val="22"/>
          <w:szCs w:val="22"/>
        </w:rPr>
        <w:t xml:space="preserve">B-2779253 (Without PUP/Condo): </w:t>
      </w:r>
      <w:r>
        <w:rPr>
          <w:rFonts w:ascii="Arial" w:cs="Arial" w:eastAsia="Arial" w:hAnsi="Arial"/>
          <w:sz w:val="22"/>
          <w:szCs w:val="22"/>
        </w:rPr>
        <w:t xml:space="preserve">Trained on four SPL lines (E16, E12, E72, Q98) — 5,270,395 training records, 1,054,621 scored records.</w:t>
      </w:r>
    </w:p>
    <w:p>
      <w:pPr>
        <w:spacing w:after="200"/>
        <w:jc w:val="left"/>
      </w:pPr>
      <w:r>
        <w:rPr>
          <w:rFonts w:ascii="Arial" w:cs="Arial" w:eastAsia="Arial" w:hAnsi="Arial"/>
          <w:sz w:val="22"/>
          <w:szCs w:val="22"/>
        </w:rPr>
        <w:t xml:space="preserve">The core question: does adding PUP and Condo policies improve or degrade the model’s ability to predict retention for the existing four lines, and how do these newly added lines behave?</w:t>
      </w:r>
    </w:p>
    <w:p>
      <w:pPr>
        <w:spacing w:after="200"/>
        <w:jc w:val="left"/>
      </w:pPr>
      <w:r>
        <w:rPr>
          <w:rFonts w:ascii="Arial" w:cs="Arial" w:eastAsia="Arial" w:hAnsi="Arial"/>
          <w:b/>
          <w:bCs/>
          <w:sz w:val="22"/>
          <w:szCs w:val="22"/>
        </w:rPr>
        <w:t xml:space="preserve">Key findings:</w:t>
      </w:r>
    </w:p>
    <w:p>
      <w:pPr>
        <w:pStyle w:val="ListParagraph"/>
        <w:numPr>
          <w:ilvl w:val="0"/>
          <w:numId w:val="3"/>
        </w:numPr>
        <w:spacing w:after="120"/>
      </w:pPr>
      <w:r>
        <w:rPr>
          <w:rFonts w:ascii="Arial" w:cs="Arial" w:eastAsia="Arial" w:hAnsi="Arial"/>
          <w:sz w:val="22"/>
          <w:szCs w:val="22"/>
        </w:rPr>
        <w:t xml:space="preserve">Both models perform similarly on discrimination metrics (ROC AUC ~0.65–0.67, Avg Precision ~0.21–0.23).</w:t>
      </w:r>
    </w:p>
    <w:p>
      <w:pPr>
        <w:pStyle w:val="ListParagraph"/>
        <w:numPr>
          <w:ilvl w:val="0"/>
          <w:numId w:val="3"/>
        </w:numPr>
        <w:spacing w:after="120"/>
      </w:pPr>
      <w:r>
        <w:rPr>
          <w:rFonts w:ascii="Arial" w:cs="Arial" w:eastAsia="Arial" w:hAnsi="Arial"/>
          <w:sz w:val="22"/>
          <w:szCs w:val="22"/>
        </w:rPr>
        <w:t xml:space="preserve">PUP/Condo lines have materially lower defection rates (~8.6–8.8%) than the core four lines (~9.1–14.5%), making them a stabilizing addition to the training data.</w:t>
      </w:r>
    </w:p>
    <w:p>
      <w:pPr>
        <w:pStyle w:val="ListParagraph"/>
        <w:numPr>
          <w:ilvl w:val="0"/>
          <w:numId w:val="3"/>
        </w:numPr>
        <w:spacing w:after="120"/>
      </w:pPr>
      <w:r>
        <w:rPr>
          <w:rFonts w:ascii="Arial" w:cs="Arial" w:eastAsia="Arial" w:hAnsi="Arial"/>
          <w:sz w:val="22"/>
          <w:szCs w:val="22"/>
        </w:rPr>
        <w:t xml:space="preserve">Removing PUP/Condo raises first-renewal defection from 13.8% to 16.5% (2025 cohort), indicating the remaining lines have higher early churn.</w:t>
      </w:r>
    </w:p>
    <w:p>
      <w:pPr>
        <w:pStyle w:val="ListParagraph"/>
        <w:numPr>
          <w:ilvl w:val="0"/>
          <w:numId w:val="3"/>
        </w:numPr>
        <w:spacing w:after="120"/>
      </w:pPr>
      <w:r>
        <w:rPr>
          <w:rFonts w:ascii="Arial" w:cs="Arial" w:eastAsia="Arial" w:hAnsi="Arial"/>
          <w:sz w:val="22"/>
          <w:szCs w:val="22"/>
        </w:rPr>
        <w:t xml:space="preserve">Train/test splits are clean: zero policy or household overlap in both variants.</w:t>
      </w:r>
    </w:p>
    <w:p>
      <w:pPr>
        <w:pStyle w:val="ListParagraph"/>
        <w:numPr>
          <w:ilvl w:val="0"/>
          <w:numId w:val="3"/>
        </w:numPr>
        <w:spacing w:after="200"/>
      </w:pPr>
      <w:r>
        <w:rPr>
          <w:rFonts w:ascii="Arial" w:cs="Arial" w:eastAsia="Arial" w:hAnsi="Arial"/>
          <w:sz w:val="22"/>
          <w:szCs w:val="22"/>
        </w:rPr>
        <w:t xml:space="preserve">SHAP feature importance rankings are consistent across both models, with nt6 (renewal count) dominant.</w:t>
      </w:r>
    </w:p>
    <w:p>
      <w:pPr>
        <w:pStyle w:val="Heading1"/>
        <w:spacing w:after="200" w:before="300"/>
      </w:pPr>
      <w:r>
        <w:rPr>
          <w:rFonts w:ascii="Arial" w:cs="Arial" w:eastAsia="Arial" w:hAnsi="Arial"/>
        </w:rPr>
        <w:t xml:space="preserve">2. Data Overview</w:t>
      </w:r>
    </w:p>
    <w:p>
      <w:pPr>
        <w:pStyle w:val="Heading2"/>
        <w:spacing w:after="200" w:before="300"/>
      </w:pPr>
      <w:r>
        <w:rPr>
          <w:rFonts w:ascii="Arial" w:cs="Arial" w:eastAsia="Arial" w:hAnsi="Arial"/>
        </w:rPr>
        <w:t xml:space="preserve">2.1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9,636,692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5,270,395</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Features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266</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2020-11-09 to 2025-11-08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2020-11-09 to 2025-11-08</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Lines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016, 032, 072, 078, 088, 090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016, 032, 072, 090</w:t>
            </w:r>
          </w:p>
        </w:tc>
      </w:tr>
    </w:tbl>
    <w:p>
      <w:pPr>
        <w:spacing w:after="100"/>
      </w:pPr>
    </w:p>
    <w:p>
      <w:pPr>
        <w:spacing w:after="200"/>
        <w:jc w:val="left"/>
      </w:pPr>
      <w:r>
        <w:rPr>
          <w:rFonts w:ascii="Arial" w:cs="Arial" w:eastAsia="Arial" w:hAnsi="Arial"/>
          <w:sz w:val="22"/>
          <w:szCs w:val="22"/>
        </w:rPr>
        <w:t xml:space="preserve">Both models use the same 5-year rolling window and identical feature sets (266 columns). The date range in the training data starts at 2020-11-09 rather than the expected 2020-11-08 from a strict 5-year cutoff, indicating a minor gap in the source preprocessing data from B-2756198. The "with" variant is roughly 1.8x larger due to the PUP and Condo records, which together contribute about 45% of the total training volume.</w:t>
      </w:r>
    </w:p>
    <w:p>
      <w:pPr>
        <w:pStyle w:val="Heading2"/>
        <w:spacing w:after="200" w:before="300"/>
      </w:pPr>
      <w:r>
        <w:rPr>
          <w:rFonts w:ascii="Arial" w:cs="Arial" w:eastAsia="Arial" w:hAnsi="Arial"/>
        </w:rPr>
        <w:t xml:space="preserve">2.2 Scoring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1,922,896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1,054,621</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Date range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2020-11-09 to 2025-10-24</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2020-11-09 to 2025-10-24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868,275 records (45.15%)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100"/>
      </w:pPr>
    </w:p>
    <w:p>
      <w:pPr>
        <w:spacing w:after="200"/>
        <w:jc w:val="left"/>
      </w:pPr>
      <w:r>
        <w:rPr>
          <w:rFonts w:ascii="Arial" w:cs="Arial" w:eastAsia="Arial" w:hAnsi="Arial"/>
          <w:sz w:val="22"/>
          <w:szCs w:val="22"/>
        </w:rPr>
        <w:t xml:space="preserve">Scoring data was subset to the same 5-year window as training (max training date minus 5 years) to ensure evaluation metrics reflect the distribution the model was trained on. The 45% record difference corresponds almost exactly to the PUP (088) and Condo (078) lines.</w:t>
      </w:r>
    </w:p>
    <w:p>
      <w:pPr>
        <w:pStyle w:val="Heading2"/>
        <w:spacing w:after="200" w:before="300"/>
      </w:pPr>
      <w:r>
        <w:rPr>
          <w:rFonts w:ascii="Arial" w:cs="Arial" w:eastAsia="Arial" w:hAnsi="Arial"/>
        </w:rPr>
        <w:t xml:space="preserve">2.3 Train/Test Integrity</w:t>
      </w:r>
    </w:p>
    <w:p>
      <w:pPr>
        <w:spacing w:after="200"/>
        <w:jc w:val="left"/>
      </w:pPr>
      <w:r>
        <w:rPr>
          <w:rFonts w:ascii="Arial" w:cs="Arial" w:eastAsia="Arial" w:hAnsi="Arial"/>
          <w:sz w:val="22"/>
          <w:szCs w:val="22"/>
        </w:rPr>
        <w:t xml:space="preserve">Both model variants have zero overlap between training and test sets at both the policy and household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 overlap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policy_id inner join 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Household overlap</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household_id inner join count</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100"/>
      </w:pPr>
    </w:p>
    <w:p>
      <w:pPr>
        <w:spacing w:after="200"/>
        <w:jc w:val="left"/>
      </w:pPr>
      <w:r>
        <w:rPr>
          <w:rFonts w:ascii="Arial" w:cs="Arial" w:eastAsia="Arial" w:hAnsi="Arial"/>
          <w:sz w:val="22"/>
          <w:szCs w:val="22"/>
        </w:rPr>
        <w:t xml:space="preserve">Additionally, 100% of test policies appear in training (overlap as % of test = 100%), while test represents ~20% of training unique policies (2,281,402 training vs 455,513 test unique policies in the "with" variant). This confirms a proper temporal or stratified split with no data leakage.</w:t>
      </w:r>
    </w:p>
    <w:p>
      <w:pPr>
        <w:pStyle w:val="Heading2"/>
        <w:spacing w:after="200" w:before="300"/>
      </w:pPr>
      <w:r>
        <w:rPr>
          <w:rFonts w:ascii="Arial" w:cs="Arial" w:eastAsia="Arial" w:hAnsi="Arial"/>
        </w:rPr>
        <w:t xml:space="preserve">2.4 Pre-Featurization Source Data</w:t>
      </w:r>
    </w:p>
    <w:p>
      <w:pPr>
        <w:spacing w:after="200"/>
        <w:jc w:val="left"/>
      </w:pPr>
      <w:r>
        <w:rPr>
          <w:rFonts w:ascii="Arial" w:cs="Arial" w:eastAsia="Arial" w:hAnsi="Arial"/>
          <w:sz w:val="22"/>
          <w:szCs w:val="22"/>
        </w:rPr>
        <w:t xml:space="preserve">An inspection of the raw preprocessed data (from B-2756198) shows that the source data spans 2013-01-01 to 2026-05-12. However, unique policy counts drop sharply in recent months. This decline in volume is inherent to the source data and is not an artifact of the explode step in the featurization pipeline.</w:t>
      </w:r>
    </w:p>
    <w:p>
      <w:pPr>
        <w:spacing w:after="200" w:before="200"/>
        <w:jc w:val="center"/>
      </w:pPr>
      <w:r>
        <w:rPr>
          <w:rFonts w:ascii="Arial" w:cs="Arial" w:eastAsia="Arial" w:hAnsi="Arial"/>
          <w:i/>
          <w:iCs/>
          <w:color w:val="888888"/>
          <w:sz w:val="22"/>
          <w:szCs w:val="22"/>
        </w:rPr>
        <w:t xml:space="preserve">[ Figure: Pre-featurization unique policies by effective month (full range and 2020+ zoom) ]</w:t>
      </w:r>
    </w:p>
    <w:p>
      <w:pPr>
        <w:pStyle w:val="Heading1"/>
        <w:spacing w:after="200" w:before="300"/>
      </w:pPr>
      <w:r>
        <w:rPr>
          <w:rFonts w:ascii="Arial" w:cs="Arial" w:eastAsia="Arial" w:hAnsi="Arial"/>
        </w:rPr>
        <w:t xml:space="preserve">3. Renewal Distribution (nt6)</w:t>
      </w:r>
    </w:p>
    <w:p>
      <w:pPr>
        <w:spacing w:after="200"/>
        <w:jc w:val="left"/>
      </w:pPr>
      <w:r>
        <w:rPr>
          <w:rFonts w:ascii="Arial" w:cs="Arial" w:eastAsia="Arial" w:hAnsi="Arial"/>
          <w:sz w:val="22"/>
          <w:szCs w:val="22"/>
        </w:rPr>
        <w:t xml:space="preserve">The nt6 column represents the number of 6-month renewal intervals a policy has gone through. Its distribution shapes the model’s exposure to different tenure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nt6</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Difference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21.8%</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w:t>
            </w:r>
          </w:p>
        </w:tc>
      </w:tr>
    </w:tbl>
    <w:p>
      <w:pPr>
        <w:spacing w:after="100"/>
      </w:pPr>
    </w:p>
    <w:p>
      <w:pPr>
        <w:spacing w:after="200"/>
        <w:jc w:val="left"/>
      </w:pPr>
      <w:r>
        <w:rPr>
          <w:rFonts w:ascii="Arial" w:cs="Arial" w:eastAsia="Arial" w:hAnsi="Arial"/>
          <w:sz w:val="22"/>
          <w:szCs w:val="22"/>
        </w:rPr>
        <w:t xml:space="preserve">PUP and Condo policies tend to be longer-tenured: their inclusion shifts weight from nt6=0/1 (new/first-renewal) toward nt6=3+ (established). This means the "with" model sees proportionally more seasoned policies, which could help it learn retention patterns at later renewal intervals. Without these lines, the data skews slightly more toward new-business churn.</w:t>
      </w:r>
    </w:p>
    <w:p>
      <w:pPr>
        <w:pStyle w:val="Heading1"/>
        <w:spacing w:after="200" w:before="300"/>
      </w:pPr>
      <w:r>
        <w:rPr>
          <w:rFonts w:ascii="Arial" w:cs="Arial" w:eastAsia="Arial" w:hAnsi="Arial"/>
        </w:rPr>
        <w:t xml:space="preserve">4. Defection Patterns Over Time</w:t>
      </w:r>
    </w:p>
    <w:p>
      <w:pPr>
        <w:pStyle w:val="Heading2"/>
        <w:spacing w:after="200" w:before="300"/>
      </w:pPr>
      <w:r>
        <w:rPr>
          <w:rFonts w:ascii="Arial" w:cs="Arial" w:eastAsia="Arial" w:hAnsi="Arial"/>
        </w:rPr>
        <w:t xml:space="preserve">4.1 With PUP/Condo (All Lines)</w:t>
      </w:r>
    </w:p>
    <w:p>
      <w:pPr>
        <w:spacing w:after="200"/>
        <w:jc w:val="left"/>
      </w:pPr>
      <w:r>
        <w:rPr>
          <w:rFonts w:ascii="Arial" w:cs="Arial" w:eastAsia="Arial" w:hAnsi="Arial"/>
          <w:sz w:val="22"/>
          <w:szCs w:val="22"/>
        </w:rPr>
        <w:t xml:space="preserve">A cohort-year × nt6 defection heatmap reveals that first-renewal (nt6=0) defection has been climbing steadily, from 11.8% in 2020 to 13.8% in 2025. This upward trend in early churn is the dominant pattern across all SPL lines. Record counts confirm that the 2021 cohort is the largest (600k+ at nt6=0), with later cohorts naturally tapering as fewer policies have had time to reach higher renewal counts. Low-volume cohort/nt6 cells (&lt; 500 records) were masked to suppress noise.</w:t>
      </w:r>
    </w:p>
    <w:p>
      <w:pPr>
        <w:spacing w:after="200" w:before="200"/>
        <w:jc w:val="center"/>
      </w:pPr>
      <w:r>
        <w:rPr>
          <w:rFonts w:ascii="Arial" w:cs="Arial" w:eastAsia="Arial" w:hAnsi="Arial"/>
          <w:i/>
          <w:iCs/>
          <w:color w:val="888888"/>
          <w:sz w:val="22"/>
          <w:szCs w:val="22"/>
        </w:rPr>
        <w:t xml:space="preserve">[ Figure: Defection Rate heatmap (all lines) + Record Count heatmap ]</w:t>
      </w:r>
    </w:p>
    <w:p>
      <w:pPr>
        <w:pStyle w:val="Heading2"/>
        <w:spacing w:after="200" w:before="300"/>
      </w:pPr>
      <w:r>
        <w:rPr>
          <w:rFonts w:ascii="Arial" w:cs="Arial" w:eastAsia="Arial" w:hAnsi="Arial"/>
        </w:rPr>
        <w:t xml:space="preserve">4.2 Without PUP/Condo</w:t>
      </w:r>
    </w:p>
    <w:p>
      <w:pPr>
        <w:spacing w:after="200"/>
        <w:jc w:val="left"/>
      </w:pPr>
      <w:r>
        <w:rPr>
          <w:rFonts w:ascii="Arial" w:cs="Arial" w:eastAsia="Arial" w:hAnsi="Arial"/>
          <w:sz w:val="22"/>
          <w:szCs w:val="22"/>
        </w:rPr>
        <w:t xml:space="preserve">Removing PUP and Condo amplifies the first-renewal defection signal. The 2025 cohort shows 16.5% defection at nt6=0, compared to 13.8% with those lines included. This 2.7 percentage point gap confirms that PUP and Condo are among the stickiest products in the SPL book — their policyholders defect at lower rates, and removing them exposes the higher churn of the remaining lines (particularly E16 and E12).</w:t>
      </w:r>
    </w:p>
    <w:p>
      <w:pPr>
        <w:spacing w:after="200" w:before="200"/>
        <w:jc w:val="center"/>
      </w:pPr>
      <w:r>
        <w:rPr>
          <w:rFonts w:ascii="Arial" w:cs="Arial" w:eastAsia="Arial" w:hAnsi="Arial"/>
          <w:i/>
          <w:iCs/>
          <w:color w:val="888888"/>
          <w:sz w:val="22"/>
          <w:szCs w:val="22"/>
        </w:rPr>
        <w:t xml:space="preserve">[ Figure: Defection Rate heatmap (without PUP/Condo) + Record Count heatmap ]</w:t>
      </w:r>
    </w:p>
    <w:p>
      <w:pPr>
        <w:spacing w:after="200"/>
        <w:jc w:val="left"/>
      </w:pPr>
      <w:r>
        <w:rPr>
          <w:rFonts w:ascii="Arial" w:cs="Arial" w:eastAsia="Arial" w:hAnsi="Arial"/>
          <w:sz w:val="22"/>
          <w:szCs w:val="22"/>
        </w:rPr>
        <w:t xml:space="preserve">The rising first-renewal defection trend holds in both views, suggesting a structural shift in new-business retention across the SPL portfolio, not a line-specific anomaly.</w:t>
      </w:r>
    </w:p>
    <w:p>
      <w:pPr>
        <w:pStyle w:val="Heading2"/>
        <w:spacing w:after="200" w:before="300"/>
      </w:pPr>
      <w:r>
        <w:rPr>
          <w:rFonts w:ascii="Arial" w:cs="Arial" w:eastAsia="Arial" w:hAnsi="Arial"/>
        </w:rPr>
        <w:t xml:space="preserve">4.3 Volume by Effective Month</w:t>
      </w:r>
    </w:p>
    <w:p>
      <w:pPr>
        <w:spacing w:after="200"/>
        <w:jc w:val="left"/>
      </w:pPr>
      <w:r>
        <w:rPr>
          <w:rFonts w:ascii="Arial" w:cs="Arial" w:eastAsia="Arial" w:hAnsi="Arial"/>
          <w:sz w:val="22"/>
          <w:szCs w:val="22"/>
        </w:rPr>
        <w:t xml:space="preserve">Monthly volume plots for both variants show a consistent pattern: total rows and unique policies peaked around mid-2021 and have declined since. The "without" variant has roughly half the volume at each month, consistent with the ~45% share that PUP/Condo contribute. The shape of the decline is identical between variants, ruling out a line-specific data issue.</w:t>
      </w:r>
    </w:p>
    <w:p>
      <w:pPr>
        <w:spacing w:after="200" w:before="200"/>
        <w:jc w:val="center"/>
      </w:pPr>
      <w:r>
        <w:rPr>
          <w:rFonts w:ascii="Arial" w:cs="Arial" w:eastAsia="Arial" w:hAnsi="Arial"/>
          <w:i/>
          <w:iCs/>
          <w:color w:val="888888"/>
          <w:sz w:val="22"/>
          <w:szCs w:val="22"/>
        </w:rPr>
        <w:t xml:space="preserve">[ Figure: Total rows and unique policies by effective month (with and without PUP/Condo) ]</w:t>
      </w:r>
    </w:p>
    <w:p>
      <w:pPr>
        <w:pStyle w:val="Heading1"/>
        <w:spacing w:after="200" w:before="300"/>
      </w:pPr>
      <w:r>
        <w:rPr>
          <w:rFonts w:ascii="Arial" w:cs="Arial" w:eastAsia="Arial" w:hAnsi="Arial"/>
        </w:rPr>
        <w:t xml:space="preserve">5. Model Performance Comparison</w:t>
      </w:r>
    </w:p>
    <w:p>
      <w:pPr>
        <w:pStyle w:val="Heading2"/>
        <w:spacing w:after="200" w:before="300"/>
      </w:pPr>
      <w:r>
        <w:rPr>
          <w:rFonts w:ascii="Arial" w:cs="Arial" w:eastAsia="Arial" w:hAnsi="Arial"/>
        </w:rPr>
        <w:t xml:space="preserve">5.1 Aggregate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1,922,896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1,054,621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Term Rate (actual)</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10.80%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12.55%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+1.75 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+1.72 pp</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2.150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1.956</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ROC AUC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0.651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-0.016</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Avg Precision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0.215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0.228</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+0.013</w:t>
            </w:r>
          </w:p>
        </w:tc>
      </w:tr>
    </w:tbl>
    <w:p>
      <w:pPr>
        <w:spacing w:after="100"/>
      </w:pPr>
    </w:p>
    <w:p>
      <w:pPr>
        <w:spacing w:after="200"/>
        <w:jc w:val="left"/>
      </w:pPr>
      <w:r>
        <w:rPr>
          <w:rFonts w:ascii="Arial" w:cs="Arial" w:eastAsia="Arial" w:hAnsi="Arial"/>
          <w:sz w:val="22"/>
          <w:szCs w:val="22"/>
        </w:rPr>
        <w:t xml:space="preserve">Both models are reasonably well-calibrated: mean predictions closely track actual term rates. The "with" model has slightly better discrimination (AUC 0.667 vs 0.651), while the "without" model edges ahead on average precision (0.228 vs 0.215) and log loss (1.956 vs 2.150). The lower log loss for the "without" model likely reflects the more concentrated score distribution (less entropy from fewer lines). These differences are modest and neither model clearly dominates.</w:t>
      </w:r>
    </w:p>
    <w:p>
      <w:pPr>
        <w:pStyle w:val="Heading2"/>
        <w:spacing w:after="200" w:before="300"/>
      </w:pPr>
      <w:r>
        <w:rPr>
          <w:rFonts w:ascii="Arial" w:cs="Arial" w:eastAsia="Arial" w:hAnsi="Arial"/>
        </w:rPr>
        <w:t xml:space="preserve">5.2 Precision-Recall &amp; ROC Curves</w:t>
      </w:r>
    </w:p>
    <w:p>
      <w:pPr>
        <w:spacing w:after="200"/>
        <w:jc w:val="left"/>
      </w:pPr>
      <w:r>
        <w:rPr>
          <w:rFonts w:ascii="Arial" w:cs="Arial" w:eastAsia="Arial" w:hAnsi="Arial"/>
          <w:sz w:val="22"/>
          <w:szCs w:val="22"/>
        </w:rPr>
        <w:t xml:space="preserve">The precision-recall curves for both models are nearly superimposed, with both tracking well above the no-skill baseline. At any recall threshold, precision is comparable. The ROC curves likewise overlap, with the "with" variant (AUC=0.6669) marginally above the "without" variant (AUC=0.6511).</w:t>
      </w:r>
    </w:p>
    <w:p>
      <w:pPr>
        <w:spacing w:after="200" w:before="200"/>
        <w:jc w:val="center"/>
      </w:pPr>
      <w:r>
        <w:rPr>
          <w:rFonts w:ascii="Arial" w:cs="Arial" w:eastAsia="Arial" w:hAnsi="Arial"/>
          <w:i/>
          <w:iCs/>
          <w:color w:val="888888"/>
          <w:sz w:val="22"/>
          <w:szCs w:val="22"/>
        </w:rPr>
        <w:t xml:space="preserve">[ Figure: Precision-Recall Curve (overlaid) and ROC Curve (overlaid) ]</w:t>
      </w:r>
    </w:p>
    <w:p>
      <w:pPr>
        <w:pStyle w:val="Heading2"/>
        <w:spacing w:after="200" w:before="300"/>
      </w:pPr>
      <w:r>
        <w:rPr>
          <w:rFonts w:ascii="Arial" w:cs="Arial" w:eastAsia="Arial" w:hAnsi="Arial"/>
        </w:rPr>
        <w:t xml:space="preserve">5.3 Score Distribution</w:t>
      </w:r>
    </w:p>
    <w:p>
      <w:pPr>
        <w:spacing w:after="200"/>
        <w:jc w:val="left"/>
      </w:pPr>
      <w:r>
        <w:rPr>
          <w:rFonts w:ascii="Arial" w:cs="Arial" w:eastAsia="Arial" w:hAnsi="Arial"/>
          <w:sz w:val="22"/>
          <w:szCs w:val="22"/>
        </w:rPr>
        <w:t xml:space="preserve">The "with PUP/Condo" model produces a tighter, more left-skewed score distribution — most predictions cluster in the 0.03–0.15 range. The "without" variant’s distribution is shifted slightly right and more spread, consistent with its higher base defection rate (12.5% vs 10.8%). Both distributions are unimodal and smooth, with no anomalous spikes or bimodality.</w:t>
      </w:r>
    </w:p>
    <w:p>
      <w:pPr>
        <w:spacing w:after="200" w:before="200"/>
        <w:jc w:val="center"/>
      </w:pPr>
      <w:r>
        <w:rPr>
          <w:rFonts w:ascii="Arial" w:cs="Arial" w:eastAsia="Arial" w:hAnsi="Arial"/>
          <w:i/>
          <w:iCs/>
          <w:color w:val="888888"/>
          <w:sz w:val="22"/>
          <w:szCs w:val="22"/>
        </w:rPr>
        <w:t xml:space="preserve">[ Figure: Score Distribution Comparison (side-by-side histograms) ]</w:t>
      </w:r>
    </w:p>
    <w:p>
      <w:pPr>
        <w:pStyle w:val="Heading2"/>
        <w:spacing w:after="200" w:before="300"/>
      </w:pPr>
      <w:r>
        <w:rPr>
          <w:rFonts w:ascii="Arial" w:cs="Arial" w:eastAsia="Arial" w:hAnsi="Arial"/>
        </w:rPr>
        <w:t xml:space="preserve">5.4 Calibration (Univariate of model_prediction)</w:t>
      </w:r>
    </w:p>
    <w:p>
      <w:pPr>
        <w:spacing w:after="200"/>
        <w:jc w:val="left"/>
      </w:pPr>
      <w:r>
        <w:rPr>
          <w:rFonts w:ascii="Arial" w:cs="Arial" w:eastAsia="Arial" w:hAnsi="Arial"/>
          <w:sz w:val="22"/>
          <w:szCs w:val="22"/>
        </w:rPr>
        <w:t xml:space="preserve">Univariate plots of term_ind against model_prediction show strong monotonic calibration for both models. As predicted defection probability increases, actual defection rate tracks closely. The "with" model’s calibration curve is smooth from ~0.04 to ~0.85, while the "without" model’s range is slightly narrower (~0.04 to ~0.77), reflecting its more compressed score output.</w:t>
      </w:r>
    </w:p>
    <w:p>
      <w:pPr>
        <w:spacing w:after="200" w:before="200"/>
        <w:jc w:val="center"/>
      </w:pPr>
      <w:r>
        <w:rPr>
          <w:rFonts w:ascii="Arial" w:cs="Arial" w:eastAsia="Arial" w:hAnsi="Arial"/>
          <w:i/>
          <w:iCs/>
          <w:color w:val="888888"/>
          <w:sz w:val="22"/>
          <w:szCs w:val="22"/>
        </w:rPr>
        <w:t xml:space="preserve">[ Figure: Univariate of term_ind for model_prediction (with PUP/Condo) ]</w:t>
      </w:r>
    </w:p>
    <w:p>
      <w:pPr>
        <w:spacing w:after="200" w:before="200"/>
        <w:jc w:val="center"/>
      </w:pPr>
      <w:r>
        <w:rPr>
          <w:rFonts w:ascii="Arial" w:cs="Arial" w:eastAsia="Arial" w:hAnsi="Arial"/>
          <w:i/>
          <w:iCs/>
          <w:color w:val="888888"/>
          <w:sz w:val="22"/>
          <w:szCs w:val="22"/>
        </w:rPr>
        <w:t xml:space="preserve">[ Figure: Univariate of term_ind for model_prediction (without PUP/Condo) ]</w:t>
      </w:r>
    </w:p>
    <w:p>
      <w:pPr>
        <w:pStyle w:val="Heading1"/>
        <w:spacing w:after="200" w:before="300"/>
      </w:pPr>
      <w:r>
        <w:rPr>
          <w:rFonts w:ascii="Arial" w:cs="Arial" w:eastAsia="Arial" w:hAnsi="Arial"/>
        </w:rPr>
        <w:t xml:space="preserve">6. Term Rate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560"/>
        <w:gridCol w:w="1950"/>
        <w:gridCol w:w="1170"/>
        <w:gridCol w:w="1170"/>
      </w:tblGrid>
      <w:tr>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Term</w:t>
            </w:r>
          </w:p>
        </w:tc>
        <w:tc>
          <w:tcPr>
            <w:tcW w:type="dxa" w:w="19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Term</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Abs Diff</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474,670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14.51%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14.54%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0.03%</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61,159</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12.70%</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368,189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11.37%</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11.41%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429,332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8.76%</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8.77%</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441,794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147,752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9.11%</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475,101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14.55%</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14.48%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60,595</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12.55%</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12.89%</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-0.35%</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0.35%</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369,639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11.36%</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11.37%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149,286</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9.12%</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w:t>
            </w:r>
          </w:p>
        </w:tc>
      </w:tr>
    </w:tbl>
    <w:p>
      <w:pPr>
        <w:spacing w:after="100"/>
      </w:pPr>
    </w:p>
    <w:p>
      <w:pPr>
        <w:spacing w:after="200"/>
        <w:jc w:val="left"/>
      </w:pPr>
      <w:r>
        <w:rPr>
          <w:rFonts w:ascii="Arial" w:cs="Arial" w:eastAsia="Arial" w:hAnsi="Arial"/>
          <w:sz w:val="22"/>
          <w:szCs w:val="22"/>
        </w:rPr>
        <w:t xml:space="preserve">Both models are well-calibrated at the line level. For the shared lines (016, 072, 090), predicted term rates match actuals within 0.06 percentage points regardless of which model is used. Line 032 shows slightly worse calibration in the "without" model (-0.35% diff), potentially due to its small volume (60k records). PUP (088) and Condo (078) in the "with" model are calibrated within 0.05 percentage points, indicating the model handles these lines well despite their lower defection rates.</w:t>
      </w:r>
    </w:p>
    <w:p>
      <w:pPr>
        <w:pStyle w:val="Heading1"/>
        <w:spacing w:after="200" w:before="300"/>
      </w:pPr>
      <w:r>
        <w:rPr>
          <w:rFonts w:ascii="Arial" w:cs="Arial" w:eastAsia="Arial" w:hAnsi="Arial"/>
        </w:rPr>
        <w:t xml:space="preserve">7. Univariate Analysis</w:t>
      </w:r>
    </w:p>
    <w:p>
      <w:pPr>
        <w:spacing w:after="200"/>
        <w:jc w:val="left"/>
      </w:pPr>
      <w:r>
        <w:rPr>
          <w:rFonts w:ascii="Arial" w:cs="Arial" w:eastAsia="Arial" w:hAnsi="Arial"/>
          <w:sz w:val="22"/>
          <w:szCs w:val="22"/>
        </w:rPr>
        <w:t xml:space="preserve">Univariate plots were generated for all categorical features against term_ind and model_prediction for both model variants. Key observations:</w:t>
      </w:r>
    </w:p>
    <w:p>
      <w:pPr>
        <w:pStyle w:val="ListParagraph"/>
        <w:numPr>
          <w:ilvl w:val="0"/>
          <w:numId w:val="4"/>
        </w:numPr>
        <w:spacing w:after="120"/>
      </w:pPr>
      <w:r>
        <w:rPr>
          <w:rFonts w:ascii="Arial" w:cs="Arial" w:eastAsia="Arial" w:hAnsi="Arial"/>
          <w:b/>
          <w:bCs/>
          <w:sz w:val="22"/>
          <w:szCs w:val="22"/>
        </w:rPr>
        <w:t xml:space="preserve">pls_pt_state_cd: </w:t>
      </w:r>
      <w:r>
        <w:rPr>
          <w:rFonts w:ascii="Arial" w:cs="Arial" w:eastAsia="Arial" w:hAnsi="Arial"/>
          <w:sz w:val="22"/>
          <w:szCs w:val="22"/>
        </w:rPr>
        <w:t xml:space="preserve">Model predictions track actual term rates across states in both variants. Florida and Texas dominate by volume. The model captures state-level variation (e.g., higher churn in CT, IN) accurately.</w:t>
      </w:r>
    </w:p>
    <w:p>
      <w:pPr>
        <w:pStyle w:val="ListParagraph"/>
        <w:numPr>
          <w:ilvl w:val="0"/>
          <w:numId w:val="4"/>
        </w:numPr>
        <w:spacing w:after="120"/>
      </w:pPr>
      <w:r>
        <w:rPr>
          <w:rFonts w:ascii="Arial" w:cs="Arial" w:eastAsia="Arial" w:hAnsi="Arial"/>
          <w:b/>
          <w:bCs/>
          <w:sz w:val="22"/>
          <w:szCs w:val="22"/>
        </w:rPr>
        <w:t xml:space="preserve">ply_line_cd: </w:t>
      </w:r>
      <w:r>
        <w:rPr>
          <w:rFonts w:ascii="Arial" w:cs="Arial" w:eastAsia="Arial" w:hAnsi="Arial"/>
          <w:sz w:val="22"/>
          <w:szCs w:val="22"/>
        </w:rPr>
        <w:t xml:space="preserve">The "with" model correctly learns that 078/088 lines defect at lower rates. In the "without" variant, only four bars appear, and model_prediction closely follows term_ind for each.</w:t>
      </w:r>
    </w:p>
    <w:p>
      <w:pPr>
        <w:pStyle w:val="ListParagraph"/>
        <w:numPr>
          <w:ilvl w:val="0"/>
          <w:numId w:val="4"/>
        </w:numPr>
        <w:spacing w:after="120"/>
      </w:pPr>
      <w:r>
        <w:rPr>
          <w:rFonts w:ascii="Arial" w:cs="Arial" w:eastAsia="Arial" w:hAnsi="Arial"/>
          <w:b/>
          <w:bCs/>
          <w:sz w:val="22"/>
          <w:szCs w:val="22"/>
        </w:rPr>
        <w:t xml:space="preserve">pls_chnl_of_bnd_cd: </w:t>
      </w:r>
      <w:r>
        <w:rPr>
          <w:rFonts w:ascii="Arial" w:cs="Arial" w:eastAsia="Arial" w:hAnsi="Arial"/>
          <w:sz w:val="22"/>
          <w:szCs w:val="22"/>
        </w:rPr>
        <w:t xml:space="preserve">Channel 21 (dominant) has the lowest defection; channel 25 has the highest (~23%). Both models capture this pattern.</w:t>
      </w:r>
    </w:p>
    <w:p>
      <w:pPr>
        <w:pStyle w:val="ListParagraph"/>
        <w:numPr>
          <w:ilvl w:val="0"/>
          <w:numId w:val="4"/>
        </w:numPr>
        <w:spacing w:after="120"/>
      </w:pPr>
      <w:r>
        <w:rPr>
          <w:rFonts w:ascii="Arial" w:cs="Arial" w:eastAsia="Arial" w:hAnsi="Arial"/>
          <w:b/>
          <w:bCs/>
          <w:sz w:val="22"/>
          <w:szCs w:val="22"/>
        </w:rPr>
        <w:t xml:space="preserve">drv_zip3_cd_other: </w:t>
      </w:r>
      <w:r>
        <w:rPr>
          <w:rFonts w:ascii="Arial" w:cs="Arial" w:eastAsia="Arial" w:hAnsi="Arial"/>
          <w:sz w:val="22"/>
          <w:szCs w:val="22"/>
        </w:rPr>
        <w:t xml:space="preserve">High-cardinality feature with noisy term_ind across ZIP3 values. Model predictions are appropriately smooth, averaging out the noise — a sign the model is not overfitting to geography.</w:t>
      </w:r>
    </w:p>
    <w:p>
      <w:pPr>
        <w:pStyle w:val="ListParagraph"/>
        <w:numPr>
          <w:ilvl w:val="0"/>
          <w:numId w:val="4"/>
        </w:numPr>
        <w:spacing w:after="200"/>
      </w:pPr>
      <w:r>
        <w:rPr>
          <w:rFonts w:ascii="Arial" w:cs="Arial" w:eastAsia="Arial" w:hAnsi="Arial"/>
          <w:b/>
          <w:bCs/>
          <w:sz w:val="22"/>
          <w:szCs w:val="22"/>
        </w:rPr>
        <w:t xml:space="preserve">release_day_pol: </w:t>
      </w:r>
      <w:r>
        <w:rPr>
          <w:rFonts w:ascii="Arial" w:cs="Arial" w:eastAsia="Arial" w:hAnsi="Arial"/>
          <w:sz w:val="22"/>
          <w:szCs w:val="22"/>
        </w:rPr>
        <w:t xml:space="preserve">Counts spike at earliest dates (many policies with the same release_day_pol), with term_ind showing high variance early. Model predictions are stable and flat, which is appropriate given that release_day_pol should not be predictive after controlling for tenure.</w:t>
      </w:r>
    </w:p>
    <w:p>
      <w:pPr>
        <w:spacing w:after="200" w:before="200"/>
        <w:jc w:val="center"/>
      </w:pPr>
      <w:r>
        <w:rPr>
          <w:rFonts w:ascii="Arial" w:cs="Arial" w:eastAsia="Arial" w:hAnsi="Arial"/>
          <w:i/>
          <w:iCs/>
          <w:color w:val="888888"/>
          <w:sz w:val="22"/>
          <w:szCs w:val="22"/>
        </w:rPr>
        <w:t xml:space="preserve">[ Figure: Univariate plots for pls_pt_state_cd, ply_line_cd, pls_chnl_of_bnd_cd (with PUP/Condo) ]</w:t>
      </w:r>
    </w:p>
    <w:p>
      <w:pPr>
        <w:spacing w:after="200" w:before="200"/>
        <w:jc w:val="center"/>
      </w:pPr>
      <w:r>
        <w:rPr>
          <w:rFonts w:ascii="Arial" w:cs="Arial" w:eastAsia="Arial" w:hAnsi="Arial"/>
          <w:i/>
          <w:iCs/>
          <w:color w:val="888888"/>
          <w:sz w:val="22"/>
          <w:szCs w:val="22"/>
        </w:rPr>
        <w:t xml:space="preserve">[ Figure: Univariate plots for pls_pt_state_cd, ply_line_cd, pls_chnl_of_bnd_cd (without PUP/Condo) ]</w:t>
      </w:r>
    </w:p>
    <w:p>
      <w:pPr>
        <w:pStyle w:val="Heading1"/>
        <w:spacing w:after="200" w:before="300"/>
      </w:pPr>
      <w:r>
        <w:rPr>
          <w:rFonts w:ascii="Arial" w:cs="Arial" w:eastAsia="Arial" w:hAnsi="Arial"/>
        </w:rPr>
        <w:t xml:space="preserve">8. SHAP Feature Importance</w:t>
      </w:r>
    </w:p>
    <w:p>
      <w:pPr>
        <w:spacing w:after="200"/>
        <w:jc w:val="left"/>
      </w:pPr>
      <w:r>
        <w:rPr>
          <w:rFonts w:ascii="Arial" w:cs="Arial" w:eastAsia="Arial" w:hAnsi="Arial"/>
          <w:sz w:val="22"/>
          <w:szCs w:val="22"/>
        </w:rPr>
        <w:t xml:space="preserve">SHAP (TreeExplainer) was run on a 100k sample from each model’s scored data. The top 10 features by mean absolute SHAP value:</w:t>
      </w:r>
    </w:p>
    <w:p>
      <w:pPr>
        <w:pStyle w:val="Heading2"/>
        <w:spacing w:after="200" w:before="300"/>
      </w:pPr>
      <w:r>
        <w:rPr>
          <w:rFonts w:ascii="Arial" w:cs="Arial" w:eastAsia="Arial" w:hAnsi="Arial"/>
        </w:rPr>
        <w:t xml:space="preserve">8.1 Bar Charts (Mean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10"/>
        <w:gridCol w:w="780"/>
        <w:gridCol w:w="3510"/>
        <w:gridCol w:w="780"/>
      </w:tblGrid>
      <w:tr>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ply_line_cd_enc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pls_pt_state_cd_enc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ply_line_cd_enc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pls_pt_state_cd_enc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drv_zip3_cd_other_enc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drv_prins_years</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drv_prins_years</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drv_zip3_cd_other_enc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ply_actve_vhcl_cnt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ply_actve_vhcl_cnt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100"/>
      </w:pPr>
    </w:p>
    <w:p>
      <w:pPr>
        <w:spacing w:after="200"/>
        <w:jc w:val="left"/>
      </w:pPr>
      <w:r>
        <w:rPr>
          <w:rFonts w:ascii="Arial" w:cs="Arial" w:eastAsia="Arial" w:hAnsi="Arial"/>
          <w:sz w:val="22"/>
          <w:szCs w:val="22"/>
        </w:rPr>
        <w:t xml:space="preserve">The top feature (nt6) is dominant in both models and is substantially more important than any other feature. This is expected: how many times a policy has renewed is the strongest signal of future retention. The key difference is that ply_line_cd_enc ranks #2 in the "with" model (where it has 6 levels to discriminate) but drops to #3 in the "without" model (only 4 levels). Conversely, total_policy_count rises from #4 to #2 when PUP/Condo are removed, suggesting the model compensates by leaning more on household-level signals.</w:t>
      </w:r>
    </w:p>
    <w:p>
      <w:pPr>
        <w:spacing w:after="200" w:before="200"/>
        <w:jc w:val="center"/>
      </w:pPr>
      <w:r>
        <w:rPr>
          <w:rFonts w:ascii="Arial" w:cs="Arial" w:eastAsia="Arial" w:hAnsi="Arial"/>
          <w:i/>
          <w:iCs/>
          <w:color w:val="888888"/>
          <w:sz w:val="22"/>
          <w:szCs w:val="22"/>
        </w:rPr>
        <w:t xml:space="preserve">[ Figure: SHAP bar chart (with PUP/Condo) ]</w:t>
      </w:r>
    </w:p>
    <w:p>
      <w:pPr>
        <w:spacing w:after="200" w:before="200"/>
        <w:jc w:val="center"/>
      </w:pPr>
      <w:r>
        <w:rPr>
          <w:rFonts w:ascii="Arial" w:cs="Arial" w:eastAsia="Arial" w:hAnsi="Arial"/>
          <w:i/>
          <w:iCs/>
          <w:color w:val="888888"/>
          <w:sz w:val="22"/>
          <w:szCs w:val="22"/>
        </w:rPr>
        <w:t xml:space="preserve">[ Figure: SHAP bar chart (without PUP/Condo) ]</w:t>
      </w:r>
    </w:p>
    <w:p>
      <w:pPr>
        <w:pStyle w:val="Heading2"/>
        <w:spacing w:after="200" w:before="300"/>
      </w:pPr>
      <w:r>
        <w:rPr>
          <w:rFonts w:ascii="Arial" w:cs="Arial" w:eastAsia="Arial" w:hAnsi="Arial"/>
        </w:rPr>
        <w:t xml:space="preserve">8.2 Beeswarm Plots</w:t>
      </w:r>
    </w:p>
    <w:p>
      <w:pPr>
        <w:spacing w:after="200"/>
        <w:jc w:val="left"/>
      </w:pPr>
      <w:r>
        <w:rPr>
          <w:rFonts w:ascii="Arial" w:cs="Arial" w:eastAsia="Arial" w:hAnsi="Arial"/>
          <w:sz w:val="22"/>
          <w:szCs w:val="22"/>
        </w:rPr>
        <w:t xml:space="preserve">The SHAP beeswarm (violin) plots show directional effects for each feature:</w:t>
      </w:r>
    </w:p>
    <w:p>
      <w:pPr>
        <w:pStyle w:val="ListParagraph"/>
        <w:numPr>
          <w:ilvl w:val="0"/>
          <w:numId w:val="5"/>
        </w:numPr>
        <w:spacing w:after="120"/>
      </w:pPr>
      <w:r>
        <w:rPr>
          <w:rFonts w:ascii="Arial" w:cs="Arial" w:eastAsia="Arial" w:hAnsi="Arial"/>
          <w:b/>
          <w:bCs/>
          <w:sz w:val="22"/>
          <w:szCs w:val="22"/>
        </w:rPr>
        <w:t xml:space="preserve">nt6: </w:t>
      </w:r>
      <w:r>
        <w:rPr>
          <w:rFonts w:ascii="Arial" w:cs="Arial" w:eastAsia="Arial" w:hAnsi="Arial"/>
          <w:sz w:val="22"/>
          <w:szCs w:val="22"/>
        </w:rPr>
        <w:t xml:space="preserve">High values (more renewals) push predictions strongly negative (toward retention), while low values push toward defection. Symmetric and wide spread.</w:t>
      </w:r>
    </w:p>
    <w:p>
      <w:pPr>
        <w:pStyle w:val="ListParagraph"/>
        <w:numPr>
          <w:ilvl w:val="0"/>
          <w:numId w:val="5"/>
        </w:numPr>
        <w:spacing w:after="120"/>
      </w:pPr>
      <w:r>
        <w:rPr>
          <w:rFonts w:ascii="Arial" w:cs="Arial" w:eastAsia="Arial" w:hAnsi="Arial"/>
          <w:b/>
          <w:bCs/>
          <w:sz w:val="22"/>
          <w:szCs w:val="22"/>
        </w:rPr>
        <w:t xml:space="preserve">ply_line_cd_enc: </w:t>
      </w:r>
      <w:r>
        <w:rPr>
          <w:rFonts w:ascii="Arial" w:cs="Arial" w:eastAsia="Arial" w:hAnsi="Arial"/>
          <w:sz w:val="22"/>
          <w:szCs w:val="22"/>
        </w:rPr>
        <w:t xml:space="preserve">Shows clear bidirectional impact. Certain line codes push strongly toward retention (PUP/Condo in the "with" model).</w:t>
      </w:r>
    </w:p>
    <w:p>
      <w:pPr>
        <w:pStyle w:val="ListParagraph"/>
        <w:numPr>
          <w:ilvl w:val="0"/>
          <w:numId w:val="5"/>
        </w:numPr>
        <w:spacing w:after="120"/>
      </w:pPr>
      <w:r>
        <w:rPr>
          <w:rFonts w:ascii="Arial" w:cs="Arial" w:eastAsia="Arial" w:hAnsi="Arial"/>
          <w:b/>
          <w:bCs/>
          <w:sz w:val="22"/>
          <w:szCs w:val="22"/>
        </w:rPr>
        <w:t xml:space="preserve">total_policy_count: </w:t>
      </w:r>
      <w:r>
        <w:rPr>
          <w:rFonts w:ascii="Arial" w:cs="Arial" w:eastAsia="Arial" w:hAnsi="Arial"/>
          <w:sz w:val="22"/>
          <w:szCs w:val="22"/>
        </w:rPr>
        <w:t xml:space="preserve">More policies in a household = lower defection risk. Positive SHAP for high values, negative for low.</w:t>
      </w:r>
    </w:p>
    <w:p>
      <w:pPr>
        <w:pStyle w:val="ListParagraph"/>
        <w:numPr>
          <w:ilvl w:val="0"/>
          <w:numId w:val="5"/>
        </w:numPr>
        <w:spacing w:after="200"/>
      </w:pPr>
      <w:r>
        <w:rPr>
          <w:rFonts w:ascii="Arial" w:cs="Arial" w:eastAsia="Arial" w:hAnsi="Arial"/>
          <w:b/>
          <w:bCs/>
          <w:sz w:val="22"/>
          <w:szCs w:val="22"/>
        </w:rPr>
        <w:t xml:space="preserve">drv_prins_years: </w:t>
      </w:r>
      <w:r>
        <w:rPr>
          <w:rFonts w:ascii="Arial" w:cs="Arial" w:eastAsia="Arial" w:hAnsi="Arial"/>
          <w:sz w:val="22"/>
          <w:szCs w:val="22"/>
        </w:rPr>
        <w:t xml:space="preserve">Longer principal driver tenure mildly predicts retention.</w:t>
      </w:r>
    </w:p>
    <w:p>
      <w:pPr>
        <w:spacing w:after="200" w:before="200"/>
        <w:jc w:val="center"/>
      </w:pPr>
      <w:r>
        <w:rPr>
          <w:rFonts w:ascii="Arial" w:cs="Arial" w:eastAsia="Arial" w:hAnsi="Arial"/>
          <w:i/>
          <w:iCs/>
          <w:color w:val="888888"/>
          <w:sz w:val="22"/>
          <w:szCs w:val="22"/>
        </w:rPr>
        <w:t xml:space="preserve">[ Figure: SHAP beeswarm plot (with PUP/Condo) ]</w:t>
      </w:r>
    </w:p>
    <w:p>
      <w:pPr>
        <w:spacing w:after="200" w:before="200"/>
        <w:jc w:val="center"/>
      </w:pPr>
      <w:r>
        <w:rPr>
          <w:rFonts w:ascii="Arial" w:cs="Arial" w:eastAsia="Arial" w:hAnsi="Arial"/>
          <w:i/>
          <w:iCs/>
          <w:color w:val="888888"/>
          <w:sz w:val="22"/>
          <w:szCs w:val="22"/>
        </w:rPr>
        <w:t xml:space="preserve">[ Figure: SHAP beeswarm plot (without PUP/Condo) ]</w:t>
      </w:r>
    </w:p>
    <w:p>
      <w:pPr>
        <w:pStyle w:val="Heading1"/>
        <w:spacing w:after="200" w:before="300"/>
      </w:pPr>
      <w:r>
        <w:rPr>
          <w:rFonts w:ascii="Arial" w:cs="Arial" w:eastAsia="Arial" w:hAnsi="Arial"/>
        </w:rPr>
        <w:t xml:space="preserve">9. Conclusions &amp; Recommendations</w:t>
      </w:r>
    </w:p>
    <w:p>
      <w:pPr>
        <w:pStyle w:val="Heading2"/>
        <w:spacing w:after="200" w:before="300"/>
      </w:pPr>
      <w:r>
        <w:rPr>
          <w:rFonts w:ascii="Arial" w:cs="Arial" w:eastAsia="Arial" w:hAnsi="Arial"/>
        </w:rPr>
        <w:t xml:space="preserve">9.1 Summary of Findings</w:t>
      </w:r>
    </w:p>
    <w:p>
      <w:pPr>
        <w:pStyle w:val="ListParagraph"/>
        <w:numPr>
          <w:ilvl w:val="0"/>
          <w:numId w:val="6"/>
        </w:numPr>
        <w:spacing w:after="120"/>
      </w:pPr>
      <w:r>
        <w:rPr>
          <w:rFonts w:ascii="Arial" w:cs="Arial" w:eastAsia="Arial" w:hAnsi="Arial"/>
          <w:sz w:val="22"/>
          <w:szCs w:val="22"/>
        </w:rPr>
        <w:t xml:space="preserve">Including PUP/Condo does not degrade model performance on the core four lines. Line-level calibration diffs are ≤0.06% for shared lines in both models.</w:t>
      </w:r>
    </w:p>
    <w:p>
      <w:pPr>
        <w:pStyle w:val="ListParagraph"/>
        <w:numPr>
          <w:ilvl w:val="0"/>
          <w:numId w:val="6"/>
        </w:numPr>
        <w:spacing w:after="120"/>
      </w:pPr>
      <w:r>
        <w:rPr>
          <w:rFonts w:ascii="Arial" w:cs="Arial" w:eastAsia="Arial" w:hAnsi="Arial"/>
          <w:sz w:val="22"/>
          <w:szCs w:val="22"/>
        </w:rPr>
        <w:t xml:space="preserve">The "with" model has slightly better AUC (0.667 vs 0.651), while the "without" model has slightly better average precision and log loss. Neither dominates.</w:t>
      </w:r>
    </w:p>
    <w:p>
      <w:pPr>
        <w:pStyle w:val="ListParagraph"/>
        <w:numPr>
          <w:ilvl w:val="0"/>
          <w:numId w:val="6"/>
        </w:numPr>
        <w:spacing w:after="120"/>
      </w:pPr>
      <w:r>
        <w:rPr>
          <w:rFonts w:ascii="Arial" w:cs="Arial" w:eastAsia="Arial" w:hAnsi="Arial"/>
          <w:sz w:val="22"/>
          <w:szCs w:val="22"/>
        </w:rPr>
        <w:t xml:space="preserve">PUP and Condo policies are the stickiest lines in the SPL book (8.6–8.8% term rate vs 9–14.5% for others). They dampen the overall defection rate and shift tenure distribution toward later renewals.</w:t>
      </w:r>
    </w:p>
    <w:p>
      <w:pPr>
        <w:pStyle w:val="ListParagraph"/>
        <w:numPr>
          <w:ilvl w:val="0"/>
          <w:numId w:val="6"/>
        </w:numPr>
        <w:spacing w:after="120"/>
      </w:pPr>
      <w:r>
        <w:rPr>
          <w:rFonts w:ascii="Arial" w:cs="Arial" w:eastAsia="Arial" w:hAnsi="Arial"/>
          <w:sz w:val="22"/>
          <w:szCs w:val="22"/>
        </w:rPr>
        <w:t xml:space="preserve">First-renewal defection is trending upward across all lines (11.8% in 2020 → 13.8%/16.5% in 2025 depending on line inclusion). This is a portfolio-level concern independent of model choice.</w:t>
      </w:r>
    </w:p>
    <w:p>
      <w:pPr>
        <w:pStyle w:val="ListParagraph"/>
        <w:numPr>
          <w:ilvl w:val="0"/>
          <w:numId w:val="6"/>
        </w:numPr>
        <w:spacing w:after="120"/>
      </w:pPr>
      <w:r>
        <w:rPr>
          <w:rFonts w:ascii="Arial" w:cs="Arial" w:eastAsia="Arial" w:hAnsi="Arial"/>
          <w:sz w:val="22"/>
          <w:szCs w:val="22"/>
        </w:rPr>
        <w:t xml:space="preserve">Feature importance is stable across models. nt6 dominates; ply_line_cd and total_policy_count swap relative importance depending on available line cardinality.</w:t>
      </w:r>
    </w:p>
    <w:p>
      <w:pPr>
        <w:pStyle w:val="ListParagraph"/>
        <w:numPr>
          <w:ilvl w:val="0"/>
          <w:numId w:val="6"/>
        </w:numPr>
        <w:spacing w:after="200"/>
      </w:pPr>
      <w:r>
        <w:rPr>
          <w:rFonts w:ascii="Arial" w:cs="Arial" w:eastAsia="Arial" w:hAnsi="Arial"/>
          <w:sz w:val="22"/>
          <w:szCs w:val="22"/>
        </w:rPr>
        <w:t xml:space="preserve">Train/test integrity is clean in both models (zero overlap at policy and household level).</w:t>
      </w:r>
    </w:p>
    <w:p>
      <w:pPr>
        <w:pStyle w:val="Heading2"/>
        <w:spacing w:after="200" w:before="300"/>
      </w:pPr>
      <w:r>
        <w:rPr>
          <w:rFonts w:ascii="Arial" w:cs="Arial" w:eastAsia="Arial" w:hAnsi="Arial"/>
        </w:rPr>
        <w:t xml:space="preserve">9.2 Recommendation</w:t>
      </w:r>
    </w:p>
    <w:p>
      <w:pPr>
        <w:spacing w:after="200"/>
        <w:jc w:val="left"/>
      </w:pPr>
      <w:r>
        <w:rPr>
          <w:rFonts w:ascii="Arial" w:cs="Arial" w:eastAsia="Arial" w:hAnsi="Arial"/>
          <w:sz w:val="22"/>
          <w:szCs w:val="22"/>
        </w:rPr>
        <w:t xml:space="preserve">Both model variants are production-viable. The choice depends on business intent:</w:t>
      </w:r>
    </w:p>
    <w:p>
      <w:pPr>
        <w:pStyle w:val="ListParagraph"/>
        <w:numPr>
          <w:ilvl w:val="0"/>
          <w:numId w:val="5"/>
        </w:numPr>
        <w:spacing w:after="120"/>
      </w:pPr>
      <w:r>
        <w:rPr>
          <w:rFonts w:ascii="Arial" w:cs="Arial" w:eastAsia="Arial" w:hAnsi="Arial"/>
          <w:b/>
          <w:bCs/>
          <w:sz w:val="22"/>
          <w:szCs w:val="22"/>
        </w:rPr>
        <w:t xml:space="preserve">If PUP/Condo retention predictions are needed downstream </w:t>
      </w:r>
      <w:r>
        <w:rPr>
          <w:rFonts w:ascii="Arial" w:cs="Arial" w:eastAsia="Arial" w:hAnsi="Arial"/>
          <w:sz w:val="22"/>
          <w:szCs w:val="22"/>
        </w:rPr>
        <w:t xml:space="preserve">(e.g., for LTV calculation on those lines): use the B-2760706 "with" model. It handles all six lines with no degradation to the core four.</w:t>
      </w:r>
    </w:p>
    <w:p>
      <w:pPr>
        <w:pStyle w:val="ListParagraph"/>
        <w:numPr>
          <w:ilvl w:val="0"/>
          <w:numId w:val="5"/>
        </w:numPr>
        <w:spacing w:after="200"/>
      </w:pPr>
      <w:r>
        <w:rPr>
          <w:rFonts w:ascii="Arial" w:cs="Arial" w:eastAsia="Arial" w:hAnsi="Arial"/>
          <w:b/>
          <w:bCs/>
          <w:sz w:val="22"/>
          <w:szCs w:val="22"/>
        </w:rPr>
        <w:t xml:space="preserve">If the goal is a focused model on the original four lines only: </w:t>
      </w:r>
      <w:r>
        <w:rPr>
          <w:rFonts w:ascii="Arial" w:cs="Arial" w:eastAsia="Arial" w:hAnsi="Arial"/>
          <w:sz w:val="22"/>
          <w:szCs w:val="22"/>
        </w:rPr>
        <w:t xml:space="preserve">the B-2779253 "without" model is equally valid and avoids any distributional influence from the lower-churn PUP/Condo lines.</w:t>
      </w:r>
    </w:p>
    <w:p>
      <w:pPr>
        <w:pStyle w:val="Heading2"/>
        <w:spacing w:after="200" w:before="300"/>
      </w:pPr>
      <w:r>
        <w:rPr>
          <w:rFonts w:ascii="Arial" w:cs="Arial" w:eastAsia="Arial" w:hAnsi="Arial"/>
        </w:rPr>
        <w:t xml:space="preserve">9.3 Open Items for Discussion</w:t>
      </w:r>
    </w:p>
    <w:p>
      <w:pPr>
        <w:pStyle w:val="ListParagraph"/>
        <w:numPr>
          <w:ilvl w:val="0"/>
          <w:numId w:val="6"/>
        </w:numPr>
        <w:spacing w:after="120"/>
      </w:pPr>
      <w:r>
        <w:rPr>
          <w:rFonts w:ascii="Arial" w:cs="Arial" w:eastAsia="Arial" w:hAnsi="Arial"/>
          <w:b/>
          <w:bCs/>
          <w:sz w:val="22"/>
          <w:szCs w:val="22"/>
        </w:rPr>
        <w:t xml:space="preserve">Rising first-renewal defection: </w:t>
      </w:r>
      <w:r>
        <w:rPr>
          <w:rFonts w:ascii="Arial" w:cs="Arial" w:eastAsia="Arial" w:hAnsi="Arial"/>
          <w:sz w:val="22"/>
          <w:szCs w:val="22"/>
        </w:rPr>
        <w:t xml:space="preserve">The upward trend from 11.8% to 13.8–16.5% warrants investigation. Is this driven by pricing, competitive dynamics, or underwriting mix changes?</w:t>
      </w:r>
    </w:p>
    <w:p>
      <w:pPr>
        <w:pStyle w:val="ListParagraph"/>
        <w:numPr>
          <w:ilvl w:val="0"/>
          <w:numId w:val="6"/>
        </w:numPr>
        <w:spacing w:after="120"/>
      </w:pPr>
      <w:r>
        <w:rPr>
          <w:rFonts w:ascii="Arial" w:cs="Arial" w:eastAsia="Arial" w:hAnsi="Arial"/>
          <w:b/>
          <w:bCs/>
          <w:sz w:val="22"/>
          <w:szCs w:val="22"/>
        </w:rPr>
        <w:t xml:space="preserve">Sparse high-tenure segments: </w:t>
      </w:r>
      <w:r>
        <w:rPr>
          <w:rFonts w:ascii="Arial" w:cs="Arial" w:eastAsia="Arial" w:hAnsi="Arial"/>
          <w:sz w:val="22"/>
          <w:szCs w:val="22"/>
        </w:rPr>
        <w:t xml:space="preserve">nt6=8/9 have &lt;1.3% representation. The 5-year rolling window makes these even thinner. Should we accept reduced precision at high tenure, or consider a longer window?</w:t>
      </w:r>
    </w:p>
    <w:p>
      <w:pPr>
        <w:pStyle w:val="ListParagraph"/>
        <w:numPr>
          <w:ilvl w:val="0"/>
          <w:numId w:val="6"/>
        </w:numPr>
        <w:spacing w:after="120"/>
      </w:pPr>
      <w:r>
        <w:rPr>
          <w:rFonts w:ascii="Arial" w:cs="Arial" w:eastAsia="Arial" w:hAnsi="Arial"/>
          <w:b/>
          <w:bCs/>
          <w:sz w:val="22"/>
          <w:szCs w:val="22"/>
        </w:rPr>
        <w:t xml:space="preserve">Line 032 calibration: </w:t>
      </w:r>
      <w:r>
        <w:rPr>
          <w:rFonts w:ascii="Arial" w:cs="Arial" w:eastAsia="Arial" w:hAnsi="Arial"/>
          <w:sz w:val="22"/>
          <w:szCs w:val="22"/>
        </w:rPr>
        <w:t xml:space="preserve">The "without" model shows -0.35% diff on line 032 (the largest calibration gap). With only 60k records, this may warrant monitoring.</w:t>
      </w:r>
    </w:p>
    <w:p>
      <w:pPr>
        <w:pStyle w:val="ListParagraph"/>
        <w:numPr>
          <w:ilvl w:val="0"/>
          <w:numId w:val="6"/>
        </w:numPr>
        <w:spacing w:after="200"/>
      </w:pPr>
      <w:r>
        <w:rPr>
          <w:rFonts w:ascii="Arial" w:cs="Arial" w:eastAsia="Arial" w:hAnsi="Arial"/>
          <w:b/>
          <w:bCs/>
          <w:sz w:val="22"/>
          <w:szCs w:val="22"/>
        </w:rPr>
        <w:t xml:space="preserve">Source data recency: </w:t>
      </w:r>
      <w:r>
        <w:rPr>
          <w:rFonts w:ascii="Arial" w:cs="Arial" w:eastAsia="Arial" w:hAnsi="Arial"/>
          <w:sz w:val="22"/>
          <w:szCs w:val="22"/>
        </w:rPr>
        <w:t xml:space="preserve">Training min date is 2020-11-09 (not 2020-11-08). This suggests a minor gap in the B-2756198 preprocess extract. Is a more recent ADW extract 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Classic SPL Retention — PUP/Condo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668"/>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A6A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2026-05-13T19:37:24.215Z</dcterms:created>
  <dcterms:modified xsi:type="dcterms:W3CDTF">2026-05-13T19:37:24.215Z</dcterms:modified>
</cp:coreProperties>
</file>

<file path=docProps/custom.xml><?xml version="1.0" encoding="utf-8"?>
<Properties xmlns="http://schemas.openxmlformats.org/officeDocument/2006/custom-properties" xmlns:vt="http://schemas.openxmlformats.org/officeDocument/2006/docPropsVTypes"/>
</file>