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jc w:val="center"/>
      </w:pPr>
      <w:r>
        <w:rPr>
          <w:rFonts w:ascii="Arial" w:cs="Arial" w:eastAsia="Arial" w:hAnsi="Arial"/>
          <w:b/>
          <w:bCs/>
          <w:color w:val="1A3668"/>
          <w:sz w:val="48"/>
          <w:szCs w:val="48"/>
        </w:rPr>
        <w:t xml:space="preserve">Classic SPL Retention Model</w:t>
      </w:r>
    </w:p>
    <w:p>
      <w:pPr>
        <w:spacing w:after="80"/>
        <w:jc w:val="center"/>
      </w:pPr>
      <w:r>
        <w:rPr>
          <w:rFonts w:ascii="Arial" w:cs="Arial" w:eastAsia="Arial" w:hAnsi="Arial"/>
          <w:b/>
          <w:bCs/>
          <w:color w:val="2E5090"/>
          <w:sz w:val="40"/>
          <w:szCs w:val="40"/>
        </w:rPr>
        <w:t xml:space="preserve">Other Short-Term</w:t>
      </w:r>
    </w:p>
    <w:p>
      <w:pPr>
        <w:spacing w:after="400"/>
        <w:jc w:val="center"/>
      </w:pPr>
      <w:r>
        <w:rPr>
          <w:rFonts w:ascii="Arial" w:cs="Arial" w:eastAsia="Arial" w:hAnsi="Arial"/>
          <w:color w:val="555555"/>
          <w:sz w:val="32"/>
          <w:szCs w:val="32"/>
        </w:rPr>
        <w:t xml:space="preserve">PUP/Condo Line Inclusion Analysis</w:t>
      </w:r>
    </w:p>
    <w:p>
      <w:pPr>
        <w:pBdr>
          <w:top w:val="single" w:color="2E5090" w:sz="6" w:space="1"/>
        </w:pBdr>
        <w:spacing w:after="200" w:before="200"/>
        <w:jc w:val="center"/>
      </w:pPr>
    </w:p>
    <w:p>
      <w:pPr>
        <w:spacing w:after="100"/>
        <w:jc w:val="center"/>
      </w:pPr>
      <w:r>
        <w:rPr>
          <w:rFonts w:ascii="Arial" w:cs="Arial" w:eastAsia="Arial" w:hAnsi="Arial"/>
          <w:color w:val="555555"/>
          <w:sz w:val="22"/>
          <w:szCs w:val="22"/>
        </w:rPr>
        <w:t xml:space="preserve">B-2760706 (with PUP/Condo) vs. B-2779253 (without PUP/Condo)</w:t>
      </w:r>
    </w:p>
    <w:p>
      <w:pPr>
        <w:spacing w:after="100"/>
        <w:jc w:val="center"/>
      </w:pPr>
      <w:r>
        <w:rPr>
          <w:rFonts w:ascii="Arial" w:cs="Arial" w:eastAsia="Arial" w:hAnsi="Arial"/>
          <w:color w:val="555555"/>
          <w:sz w:val="22"/>
          <w:szCs w:val="22"/>
        </w:rPr>
        <w:t xml:space="preserve">May 2026</w:t>
      </w:r>
    </w:p>
    <w:p>
      <w:pPr>
        <w:jc w:val="center"/>
      </w:pPr>
      <w:r>
        <w:rPr>
          <w:rFonts w:ascii="Arial" w:cs="Arial" w:eastAsia="Arial" w:hAnsi="Arial"/>
          <w:color w:val="777777"/>
          <w:sz w:val="22"/>
          <w:szCs w:val="22"/>
        </w:rPr>
        <w:t xml:space="preserve">LTV Modeling Team — Allstate</w:t>
      </w:r>
    </w:p>
    <w:p>
      <w:pPr>
        <w:sectPr>
          <w:pgSz w:w="12240" w:h="15840" w:orient="portrait"/>
          <w:pgMar w:top="1440" w:right="1440" w:bottom="1440" w:left="1440" w:header="708" w:footer="708" w:gutter="0"/>
          <w:pgNumType/>
          <w:docGrid w:linePitch="360"/>
        </w:sectPr>
      </w:pPr>
    </w:p>
    <w:p>
      <w:pPr>
        <w:pStyle w:val="Heading1"/>
        <w:spacing w:after="200" w:before="300"/>
      </w:pPr>
      <w:r>
        <w:rPr>
          <w:rFonts w:ascii="Arial" w:cs="Arial" w:eastAsia="Arial" w:hAnsi="Arial"/>
        </w:rPr>
        <w:t xml:space="preserve">1. Executive Summary</w:t>
      </w:r>
    </w:p>
    <w:p>
      <w:pPr>
        <w:spacing w:after="200"/>
        <w:jc w:val="left"/>
      </w:pPr>
      <w:r>
        <w:rPr>
          <w:rFonts w:ascii="Arial" w:cs="Arial" w:eastAsia="Arial" w:hAnsi="Arial"/>
          <w:sz w:val="22"/>
          <w:szCs w:val="22"/>
        </w:rPr>
        <w:t xml:space="preserve">This page summarizes our Classic SPL short-term retention model for the "other" line evaluation focused on assessing the impact of including PUP (088) and Condo (078). The two model variants were trained and scored on the same training window 2020-11-09 to 2025-11-08:</w:t>
      </w:r>
    </w:p>
    <w:p>
      <w:pPr>
        <w:pStyle w:val="ListParagraph"/>
        <w:numPr>
          <w:ilvl w:val="0"/>
          <w:numId w:val="2"/>
        </w:numPr>
        <w:spacing w:after="120"/>
      </w:pPr>
      <w:r>
        <w:rPr>
          <w:rFonts w:ascii="Arial" w:cs="Arial" w:eastAsia="Arial" w:hAnsi="Arial"/>
          <w:b/>
          <w:bCs/>
          <w:sz w:val="22"/>
          <w:szCs w:val="22"/>
        </w:rPr>
        <w:t xml:space="preserve">With PUP/Condo: </w:t>
      </w:r>
      <w:r>
        <w:rPr>
          <w:rFonts w:ascii="Arial" w:cs="Arial" w:eastAsia="Arial" w:hAnsi="Arial"/>
          <w:sz w:val="22"/>
          <w:szCs w:val="22"/>
        </w:rPr>
        <w:t xml:space="preserve">Trained on lines 016, 032, 072, 090, 078, 088 — 9,636,692 training records, 1,922,896 scored records.</w:t>
      </w:r>
    </w:p>
    <w:p>
      <w:pPr>
        <w:pStyle w:val="ListParagraph"/>
        <w:numPr>
          <w:ilvl w:val="0"/>
          <w:numId w:val="2"/>
        </w:numPr>
        <w:spacing w:after="120"/>
      </w:pPr>
      <w:r>
        <w:rPr>
          <w:rFonts w:ascii="Arial" w:cs="Arial" w:eastAsia="Arial" w:hAnsi="Arial"/>
          <w:b/>
          <w:bCs/>
          <w:sz w:val="22"/>
          <w:szCs w:val="22"/>
        </w:rPr>
        <w:t xml:space="preserve">Without PUP/Condo: </w:t>
      </w:r>
      <w:r>
        <w:rPr>
          <w:rFonts w:ascii="Arial" w:cs="Arial" w:eastAsia="Arial" w:hAnsi="Arial"/>
          <w:sz w:val="22"/>
          <w:szCs w:val="22"/>
        </w:rPr>
        <w:t xml:space="preserve">Trained on lines 016, 032, 072, 090 — 5,270,395 training records, 1,054,621 scored records.</w:t>
      </w:r>
    </w:p>
    <w:p>
      <w:pPr>
        <w:spacing w:after="200"/>
        <w:jc w:val="left"/>
      </w:pPr>
      <w:r>
        <w:rPr>
          <w:rFonts w:ascii="Arial" w:cs="Arial" w:eastAsia="Arial" w:hAnsi="Arial"/>
          <w:sz w:val="22"/>
          <w:szCs w:val="22"/>
        </w:rPr>
        <w:t xml:space="preserve">The core question: does removing PUP and Condo policies improve or degrade the model’s ability to predict retention?</w:t>
      </w:r>
    </w:p>
    <w:p>
      <w:pPr>
        <w:spacing w:after="200"/>
        <w:jc w:val="left"/>
      </w:pPr>
      <w:r>
        <w:rPr>
          <w:rFonts w:ascii="Arial" w:cs="Arial" w:eastAsia="Arial" w:hAnsi="Arial"/>
          <w:b/>
          <w:bCs/>
          <w:sz w:val="22"/>
          <w:szCs w:val="22"/>
        </w:rPr>
        <w:t xml:space="preserve">Key findings:</w:t>
      </w:r>
    </w:p>
    <w:p>
      <w:pPr>
        <w:pStyle w:val="ListParagraph"/>
        <w:numPr>
          <w:ilvl w:val="0"/>
          <w:numId w:val="3"/>
        </w:numPr>
        <w:spacing w:after="120"/>
      </w:pPr>
      <w:r>
        <w:rPr>
          <w:rFonts w:ascii="Arial" w:cs="Arial" w:eastAsia="Arial" w:hAnsi="Arial"/>
          <w:sz w:val="22"/>
          <w:szCs w:val="22"/>
        </w:rPr>
        <w:t xml:space="preserve">Both models perform similarly on discrimination metrics (ROC AUC ~0.65 vs 0.67, Avg Precision ~0.21 vs 0.23).</w:t>
      </w:r>
    </w:p>
    <w:p>
      <w:pPr>
        <w:pStyle w:val="ListParagraph"/>
        <w:numPr>
          <w:ilvl w:val="0"/>
          <w:numId w:val="3"/>
        </w:numPr>
        <w:spacing w:after="120"/>
      </w:pPr>
      <w:r>
        <w:rPr>
          <w:rFonts w:ascii="Arial" w:cs="Arial" w:eastAsia="Arial" w:hAnsi="Arial"/>
          <w:sz w:val="22"/>
          <w:szCs w:val="22"/>
        </w:rPr>
        <w:t xml:space="preserve">PUP/Condo lines have materially lower defection rates (~8.6 vs 8.8%) than the core four lines (~9.1 vs 14.5%), making them a stabilizing addition to the training data.</w:t>
      </w:r>
    </w:p>
    <w:p>
      <w:pPr>
        <w:pStyle w:val="ListParagraph"/>
        <w:numPr>
          <w:ilvl w:val="0"/>
          <w:numId w:val="3"/>
        </w:numPr>
        <w:spacing w:after="120"/>
      </w:pPr>
      <w:r>
        <w:rPr>
          <w:rFonts w:ascii="Arial" w:cs="Arial" w:eastAsia="Arial" w:hAnsi="Arial"/>
          <w:sz w:val="22"/>
          <w:szCs w:val="22"/>
        </w:rPr>
        <w:t xml:space="preserve">Removing PUP/Condo raises first-renewal defection from 13.8% to 16.5% (2025 cohort), indicating the remaining lines have higher early churn.</w:t>
      </w:r>
    </w:p>
    <w:p>
      <w:pPr>
        <w:pStyle w:val="ListParagraph"/>
        <w:numPr>
          <w:ilvl w:val="0"/>
          <w:numId w:val="3"/>
        </w:numPr>
        <w:spacing w:after="120"/>
      </w:pPr>
      <w:r>
        <w:rPr>
          <w:rFonts w:ascii="Arial" w:cs="Arial" w:eastAsia="Arial" w:hAnsi="Arial"/>
          <w:sz w:val="22"/>
          <w:szCs w:val="22"/>
        </w:rPr>
        <w:t xml:space="preserve">Train/test splits are clean: zero policy or household overlap in both variants.</w:t>
      </w:r>
    </w:p>
    <w:p>
      <w:pPr>
        <w:pStyle w:val="ListParagraph"/>
        <w:numPr>
          <w:ilvl w:val="0"/>
          <w:numId w:val="3"/>
        </w:numPr>
        <w:spacing w:after="120"/>
      </w:pPr>
      <w:r>
        <w:rPr>
          <w:rFonts w:ascii="Arial" w:cs="Arial" w:eastAsia="Arial" w:hAnsi="Arial"/>
          <w:sz w:val="22"/>
          <w:szCs w:val="22"/>
        </w:rPr>
        <w:t xml:space="preserve">SHAP feature importance rankings are consistent across both models, with nt6 (renewal count) dominant.</w:t>
      </w:r>
    </w:p>
    <w:p>
      <w:pPr>
        <w:pStyle w:val="Heading1"/>
        <w:spacing w:after="200" w:before="300"/>
      </w:pPr>
      <w:r>
        <w:rPr>
          <w:rFonts w:ascii="Arial" w:cs="Arial" w:eastAsia="Arial" w:hAnsi="Arial"/>
        </w:rPr>
        <w:t xml:space="preserve">2. Data Overview</w:t>
      </w:r>
    </w:p>
    <w:p>
      <w:pPr>
        <w:pStyle w:val="Heading2"/>
        <w:spacing w:after="200" w:before="300"/>
      </w:pPr>
      <w:r>
        <w:rPr>
          <w:rFonts w:ascii="Arial" w:cs="Arial" w:eastAsia="Arial" w:hAnsi="Arial"/>
        </w:rPr>
        <w:t xml:space="preserve">2.1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 PUP/Condo</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Without PUP/Condo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9,636,692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5,270,395</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Features</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266</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266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 range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2020-11-09 to 2025-11-08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2020-11-09 to 2025-11-08</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Lines</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016, 032, 072, 078, 088, 090</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016, 032, 072, 090</w:t>
            </w:r>
          </w:p>
        </w:tc>
      </w:tr>
    </w:tbl>
    <w:p>
      <w:pPr>
        <w:spacing w:after="100"/>
      </w:pPr>
    </w:p>
    <w:p>
      <w:pPr>
        <w:pStyle w:val="Heading2"/>
        <w:spacing w:after="200" w:before="300"/>
      </w:pPr>
      <w:r>
        <w:rPr>
          <w:rFonts w:ascii="Arial" w:cs="Arial" w:eastAsia="Arial" w:hAnsi="Arial"/>
        </w:rPr>
        <w:t xml:space="preserve">2.2 Scoring (Test)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 PUP/Condo</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Without PUP/Condo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1,922,896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1,054,621</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Date range</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2020-11-09 to 2025-10-24</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2020-11-09 to 2025-10-24</w:t>
            </w:r>
          </w:p>
        </w:tc>
      </w:tr>
    </w:tbl>
    <w:p>
      <w:pPr>
        <w:spacing w:after="100"/>
      </w:pPr>
    </w:p>
    <w:p>
      <w:pPr>
        <w:spacing w:after="200"/>
        <w:jc w:val="left"/>
      </w:pPr>
      <w:r>
        <w:rPr>
          <w:rFonts w:ascii="Arial" w:cs="Arial" w:eastAsia="Arial" w:hAnsi="Arial"/>
          <w:sz w:val="22"/>
          <w:szCs w:val="22"/>
        </w:rPr>
        <w:t xml:space="preserve">Scoring data was subset to the same 5-year window as training so evaluation metrics reflect the distribution the model was trained on.</w:t>
      </w:r>
    </w:p>
    <w:p>
      <w:pPr>
        <w:pStyle w:val="Heading2"/>
        <w:spacing w:after="200" w:before="300"/>
      </w:pPr>
      <w:r>
        <w:rPr>
          <w:rFonts w:ascii="Arial" w:cs="Arial" w:eastAsia="Arial" w:hAnsi="Arial"/>
        </w:rPr>
        <w:t xml:space="preserve">2.3 Train/Test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Overlap Check</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 PUP/Condo</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Without PUP/Condo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policy_id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household_id</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w:t>
            </w:r>
          </w:p>
        </w:tc>
      </w:tr>
    </w:tbl>
    <w:p>
      <w:pPr>
        <w:spacing w:after="100"/>
      </w:pPr>
    </w:p>
    <w:p>
      <w:pPr>
        <w:spacing w:after="200"/>
        <w:jc w:val="left"/>
      </w:pPr>
      <w:r>
        <w:rPr>
          <w:rFonts w:ascii="Arial" w:cs="Arial" w:eastAsia="Arial" w:hAnsi="Arial"/>
          <w:sz w:val="22"/>
          <w:szCs w:val="22"/>
        </w:rPr>
        <w:t xml:space="preserve">100% of test policies exist in training (proper temporal split, no leakage). Test represents ~20% of training unique policies.</w:t>
      </w:r>
    </w:p>
    <w:p>
      <w:pPr>
        <w:pStyle w:val="Heading2"/>
        <w:spacing w:after="200" w:before="300"/>
      </w:pPr>
      <w:r>
        <w:rPr>
          <w:rFonts w:ascii="Arial" w:cs="Arial" w:eastAsia="Arial" w:hAnsi="Arial"/>
        </w:rPr>
        <w:t xml:space="preserve">2.4 Pre-Featurization Source Data</w:t>
      </w:r>
    </w:p>
    <w:p>
      <w:pPr>
        <w:spacing w:after="200"/>
        <w:jc w:val="left"/>
      </w:pPr>
      <w:r>
        <w:rPr>
          <w:rFonts w:ascii="Arial" w:cs="Arial" w:eastAsia="Arial" w:hAnsi="Arial"/>
          <w:sz w:val="22"/>
          <w:szCs w:val="22"/>
        </w:rPr>
        <w:t xml:space="preserve">Source data (B-2756198) spans 2013-01-01 to 2026-05-12. Unique policy counts drop in recent months — this is inherent to the source, not an artifact of the featurize explode step.</w:t>
      </w:r>
    </w:p>
    <w:p>
      <w:pPr>
        <w:spacing w:after="200" w:before="200"/>
        <w:jc w:val="center"/>
      </w:pPr>
      <w:r>
        <w:rPr>
          <w:rFonts w:ascii="Arial" w:cs="Arial" w:eastAsia="Arial" w:hAnsi="Arial"/>
          <w:i/>
          <w:iCs/>
          <w:color w:val="888888"/>
          <w:sz w:val="22"/>
          <w:szCs w:val="22"/>
        </w:rPr>
        <w:t xml:space="preserve">[ Figure: Pre-featurization unique policies by effective month (full range and 2020+ zoom) ]</w:t>
      </w:r>
    </w:p>
    <w:p>
      <w:pPr>
        <w:pStyle w:val="Heading1"/>
        <w:spacing w:after="200" w:before="300"/>
      </w:pPr>
      <w:r>
        <w:rPr>
          <w:rFonts w:ascii="Arial" w:cs="Arial" w:eastAsia="Arial" w:hAnsi="Arial"/>
        </w:rPr>
        <w:t xml:space="preserve">3. Renewal Distribution (nt6)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nt6</w:t>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 PUP/Condo</w:t>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Without PUP/Condo</w:t>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23.6%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26.2%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-2.6%</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20.5%</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21.8%</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-1.3%</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14.3%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14.0%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+0.2%</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13.2%</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12.7%</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+0.5%</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+0.8%</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8.2%</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7.4%</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+0.9%</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+0.6%</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4.3%</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3.7%</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+0.6%</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+0.1%</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1.2%</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+0.1%</w:t>
            </w:r>
          </w:p>
        </w:tc>
      </w:tr>
    </w:tbl>
    <w:p>
      <w:pPr>
        <w:spacing w:after="100"/>
      </w:pPr>
    </w:p>
    <w:p>
      <w:pPr>
        <w:spacing w:after="200"/>
        <w:jc w:val="left"/>
      </w:pPr>
      <w:r>
        <w:rPr>
          <w:rFonts w:ascii="Arial" w:cs="Arial" w:eastAsia="Arial" w:hAnsi="Arial"/>
          <w:sz w:val="22"/>
          <w:szCs w:val="22"/>
        </w:rPr>
        <w:t xml:space="preserve">PUP/Condo policies skew longer-tenured, shifting weight from nt6=0/1 toward nt6=3+. Without them, the data leans more toward new-business churn. nt6=8/9 are extremely sparse (&lt;1.3% combined) in both variants.</w:t>
      </w:r>
    </w:p>
    <w:p>
      <w:pPr>
        <w:pStyle w:val="Heading1"/>
        <w:spacing w:after="200" w:before="300"/>
      </w:pPr>
      <w:r>
        <w:rPr>
          <w:rFonts w:ascii="Arial" w:cs="Arial" w:eastAsia="Arial" w:hAnsi="Arial"/>
        </w:rPr>
        <w:t xml:space="preserve">4. Defection Patterns Over Time</w:t>
      </w:r>
    </w:p>
    <w:p>
      <w:pPr>
        <w:pStyle w:val="Heading2"/>
        <w:spacing w:after="200" w:before="300"/>
      </w:pPr>
      <w:r>
        <w:rPr>
          <w:rFonts w:ascii="Arial" w:cs="Arial" w:eastAsia="Arial" w:hAnsi="Arial"/>
        </w:rPr>
        <w:t xml:space="preserve">4.1 With PUP/Condo (All Lines)</w:t>
      </w:r>
    </w:p>
    <w:p>
      <w:pPr>
        <w:spacing w:after="200"/>
        <w:jc w:val="left"/>
      </w:pPr>
      <w:r>
        <w:rPr>
          <w:rFonts w:ascii="Arial" w:cs="Arial" w:eastAsia="Arial" w:hAnsi="Arial"/>
          <w:sz w:val="22"/>
          <w:szCs w:val="22"/>
        </w:rPr>
        <w:t xml:space="preserve">First-renewal (nt6=0) defection has climbed from 11.8% in 2020 to 13.8% in 2025. Low-volume cohort/nt6 cells (&lt;500 records) were masked.</w:t>
      </w:r>
    </w:p>
    <w:p>
      <w:pPr>
        <w:spacing w:after="200" w:before="200"/>
        <w:jc w:val="center"/>
      </w:pPr>
      <w:r>
        <w:rPr>
          <w:rFonts w:ascii="Arial" w:cs="Arial" w:eastAsia="Arial" w:hAnsi="Arial"/>
          <w:i/>
          <w:iCs/>
          <w:color w:val="888888"/>
          <w:sz w:val="22"/>
          <w:szCs w:val="22"/>
        </w:rPr>
        <w:t xml:space="preserve">[ Figure: Defection Rate heatmap (all lines) + Record Count heatmap ]</w:t>
      </w:r>
    </w:p>
    <w:p>
      <w:pPr>
        <w:pStyle w:val="Heading2"/>
        <w:spacing w:after="200" w:before="300"/>
      </w:pPr>
      <w:r>
        <w:rPr>
          <w:rFonts w:ascii="Arial" w:cs="Arial" w:eastAsia="Arial" w:hAnsi="Arial"/>
        </w:rPr>
        <w:t xml:space="preserve">4.2 Without PUP/Condo</w:t>
      </w:r>
    </w:p>
    <w:p>
      <w:pPr>
        <w:spacing w:after="200"/>
        <w:jc w:val="left"/>
      </w:pPr>
      <w:r>
        <w:rPr>
          <w:rFonts w:ascii="Arial" w:cs="Arial" w:eastAsia="Arial" w:hAnsi="Arial"/>
          <w:sz w:val="22"/>
          <w:szCs w:val="22"/>
        </w:rPr>
        <w:t xml:space="preserve">Removing PUP/Condo amplifies first-renewal defection to 16.5% in 2025 (vs 13.8% with). This confirms PUP/Condo are among the stickiest SPL products. The rising trend holds in both views — a structural shift, not a line-specific anomaly.</w:t>
      </w:r>
    </w:p>
    <w:p>
      <w:pPr>
        <w:spacing w:after="200" w:before="200"/>
        <w:jc w:val="center"/>
      </w:pPr>
      <w:r>
        <w:rPr>
          <w:rFonts w:ascii="Arial" w:cs="Arial" w:eastAsia="Arial" w:hAnsi="Arial"/>
          <w:i/>
          <w:iCs/>
          <w:color w:val="888888"/>
          <w:sz w:val="22"/>
          <w:szCs w:val="22"/>
        </w:rPr>
        <w:t xml:space="preserve">[ Figure: Defection Rate heatmap (without PUP/Condo) + Record Count heatmap ]</w:t>
      </w:r>
    </w:p>
    <w:p>
      <w:pPr>
        <w:pStyle w:val="Heading2"/>
        <w:spacing w:after="200" w:before="300"/>
      </w:pPr>
      <w:r>
        <w:rPr>
          <w:rFonts w:ascii="Arial" w:cs="Arial" w:eastAsia="Arial" w:hAnsi="Arial"/>
        </w:rPr>
        <w:t xml:space="preserve">4.3 Volume by Effective Month</w:t>
      </w:r>
    </w:p>
    <w:p>
      <w:pPr>
        <w:spacing w:after="200"/>
        <w:jc w:val="left"/>
      </w:pPr>
      <w:r>
        <w:rPr>
          <w:rFonts w:ascii="Arial" w:cs="Arial" w:eastAsia="Arial" w:hAnsi="Arial"/>
          <w:sz w:val="22"/>
          <w:szCs w:val="22"/>
        </w:rPr>
        <w:t xml:space="preserve">Monthly volume peaked mid-2021 and has declined since. The shape is identical between variants; the "without" variant is roughly half the volume, consistent with PUP/Condo’s ~45% share.</w:t>
      </w:r>
    </w:p>
    <w:p>
      <w:pPr>
        <w:spacing w:after="200" w:before="200"/>
        <w:jc w:val="center"/>
      </w:pPr>
      <w:r>
        <w:rPr>
          <w:rFonts w:ascii="Arial" w:cs="Arial" w:eastAsia="Arial" w:hAnsi="Arial"/>
          <w:i/>
          <w:iCs/>
          <w:color w:val="888888"/>
          <w:sz w:val="22"/>
          <w:szCs w:val="22"/>
        </w:rPr>
        <w:t xml:space="preserve">[ Figure: Total rows and unique policies by effective month (with and without PUP/Condo) ]</w:t>
      </w:r>
    </w:p>
    <w:p>
      <w:pPr>
        <w:pStyle w:val="Heading1"/>
        <w:spacing w:after="200" w:before="300"/>
      </w:pPr>
      <w:r>
        <w:rPr>
          <w:rFonts w:ascii="Arial" w:cs="Arial" w:eastAsia="Arial" w:hAnsi="Arial"/>
        </w:rPr>
        <w:t xml:space="preserve">5. Model Performance Comparison</w:t>
      </w:r>
    </w:p>
    <w:p>
      <w:pPr>
        <w:pStyle w:val="Heading2"/>
        <w:spacing w:after="200" w:before="300"/>
      </w:pPr>
      <w:r>
        <w:rPr>
          <w:rFonts w:ascii="Arial" w:cs="Arial" w:eastAsia="Arial" w:hAnsi="Arial"/>
        </w:rPr>
        <w:t xml:space="preserve">5.1 Aggregate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 PUP/Condo</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Without PUP/Condo</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Records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1,922,896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1,054,621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Term Rate (actual)</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10.80%</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12.55%</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+1.75 pp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Mean Prediction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10.83%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12.55%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+1.72 pp</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Log Loss</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2.150</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1.956</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-0.194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ROC AUC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0.667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0.651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-0.016</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Avg Precision</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0.215</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0.228</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+0.013</w:t>
            </w:r>
          </w:p>
        </w:tc>
      </w:tr>
    </w:tbl>
    <w:p>
      <w:pPr>
        <w:spacing w:after="100"/>
      </w:pPr>
    </w:p>
    <w:p>
      <w:pPr>
        <w:spacing w:after="200"/>
        <w:jc w:val="left"/>
      </w:pPr>
      <w:r>
        <w:rPr>
          <w:rFonts w:ascii="Arial" w:cs="Arial" w:eastAsia="Arial" w:hAnsi="Arial"/>
          <w:sz w:val="22"/>
          <w:szCs w:val="22"/>
        </w:rPr>
        <w:t xml:space="preserve">Both models are well-calibrated (mean prediction ≈ actual term rate). The "with" model edges on AUC; the "without" model edges on avg precision and log loss. Neither clearly dominates.</w:t>
      </w:r>
    </w:p>
    <w:p>
      <w:pPr>
        <w:pStyle w:val="Heading2"/>
        <w:spacing w:after="200" w:before="300"/>
      </w:pPr>
      <w:r>
        <w:rPr>
          <w:rFonts w:ascii="Arial" w:cs="Arial" w:eastAsia="Arial" w:hAnsi="Arial"/>
        </w:rPr>
        <w:t xml:space="preserve">5.2 Precision-Recall &amp; ROC Curves</w:t>
      </w:r>
    </w:p>
    <w:p>
      <w:pPr>
        <w:spacing w:after="200"/>
        <w:jc w:val="left"/>
      </w:pPr>
      <w:r>
        <w:rPr>
          <w:rFonts w:ascii="Arial" w:cs="Arial" w:eastAsia="Arial" w:hAnsi="Arial"/>
          <w:sz w:val="22"/>
          <w:szCs w:val="22"/>
        </w:rPr>
        <w:t xml:space="preserve">Both curves are nearly superimposed. ROC AUC: 0.6669 (with) vs 0.6511 (without).</w:t>
      </w:r>
    </w:p>
    <w:p>
      <w:pPr>
        <w:spacing w:after="200" w:before="200"/>
        <w:jc w:val="center"/>
      </w:pPr>
      <w:r>
        <w:rPr>
          <w:rFonts w:ascii="Arial" w:cs="Arial" w:eastAsia="Arial" w:hAnsi="Arial"/>
          <w:i/>
          <w:iCs/>
          <w:color w:val="888888"/>
          <w:sz w:val="22"/>
          <w:szCs w:val="22"/>
        </w:rPr>
        <w:t xml:space="preserve">[ Figure: Precision-Recall Curve (overlaid) and ROC Curve (overlaid) ]</w:t>
      </w:r>
    </w:p>
    <w:p>
      <w:pPr>
        <w:pStyle w:val="Heading2"/>
        <w:spacing w:after="200" w:before="300"/>
      </w:pPr>
      <w:r>
        <w:rPr>
          <w:rFonts w:ascii="Arial" w:cs="Arial" w:eastAsia="Arial" w:hAnsi="Arial"/>
        </w:rPr>
        <w:t xml:space="preserve">5.3 Score Distribution</w:t>
      </w:r>
    </w:p>
    <w:p>
      <w:pPr>
        <w:spacing w:after="200"/>
        <w:jc w:val="left"/>
      </w:pPr>
      <w:r>
        <w:rPr>
          <w:rFonts w:ascii="Arial" w:cs="Arial" w:eastAsia="Arial" w:hAnsi="Arial"/>
          <w:sz w:val="22"/>
          <w:szCs w:val="22"/>
        </w:rPr>
        <w:t xml:space="preserve">The "with" model produces a tighter, more left-skewed distribution (most predictions 0.03–0.15). The "without" model is shifted right, consistent with its higher base rate. Both are unimodal with no anomalies.</w:t>
      </w:r>
    </w:p>
    <w:p>
      <w:pPr>
        <w:spacing w:after="200" w:before="200"/>
        <w:jc w:val="center"/>
      </w:pPr>
      <w:r>
        <w:rPr>
          <w:rFonts w:ascii="Arial" w:cs="Arial" w:eastAsia="Arial" w:hAnsi="Arial"/>
          <w:i/>
          <w:iCs/>
          <w:color w:val="888888"/>
          <w:sz w:val="22"/>
          <w:szCs w:val="22"/>
        </w:rPr>
        <w:t xml:space="preserve">[ Figure: Score Distribution Comparison (side-by-side histograms) ]</w:t>
      </w:r>
    </w:p>
    <w:p>
      <w:pPr>
        <w:pStyle w:val="Heading2"/>
        <w:spacing w:after="200" w:before="300"/>
      </w:pPr>
      <w:r>
        <w:rPr>
          <w:rFonts w:ascii="Arial" w:cs="Arial" w:eastAsia="Arial" w:hAnsi="Arial"/>
        </w:rPr>
        <w:t xml:space="preserve">5.4 Calibration</w:t>
      </w:r>
    </w:p>
    <w:p>
      <w:pPr>
        <w:spacing w:after="200"/>
        <w:jc w:val="left"/>
      </w:pPr>
      <w:r>
        <w:rPr>
          <w:rFonts w:ascii="Arial" w:cs="Arial" w:eastAsia="Arial" w:hAnsi="Arial"/>
          <w:sz w:val="22"/>
          <w:szCs w:val="22"/>
        </w:rPr>
        <w:t xml:space="preserve">Univariate plots of term_ind vs model_prediction show strong monotonic calibration in both models. The "with" model’s range extends to ~0.85; the "without" model’s to ~0.77.</w:t>
      </w:r>
    </w:p>
    <w:p>
      <w:pPr>
        <w:spacing w:after="200" w:before="200"/>
        <w:jc w:val="center"/>
      </w:pPr>
      <w:r>
        <w:rPr>
          <w:rFonts w:ascii="Arial" w:cs="Arial" w:eastAsia="Arial" w:hAnsi="Arial"/>
          <w:i/>
          <w:iCs/>
          <w:color w:val="888888"/>
          <w:sz w:val="22"/>
          <w:szCs w:val="22"/>
        </w:rPr>
        <w:t xml:space="preserve">[ Figure: Univariate of term_ind for model_prediction (with PUP/Condo) ]</w:t>
      </w:r>
    </w:p>
    <w:p>
      <w:pPr>
        <w:spacing w:after="200" w:before="200"/>
        <w:jc w:val="center"/>
      </w:pPr>
      <w:r>
        <w:rPr>
          <w:rFonts w:ascii="Arial" w:cs="Arial" w:eastAsia="Arial" w:hAnsi="Arial"/>
          <w:i/>
          <w:iCs/>
          <w:color w:val="888888"/>
          <w:sz w:val="22"/>
          <w:szCs w:val="22"/>
        </w:rPr>
        <w:t xml:space="preserve">[ Figure: Univariate of term_ind for model_prediction (without PUP/Condo) ]</w:t>
      </w:r>
    </w:p>
    <w:p>
      <w:pPr>
        <w:pStyle w:val="Heading1"/>
        <w:spacing w:after="200" w:before="300"/>
      </w:pPr>
      <w:r>
        <w:rPr>
          <w:rFonts w:ascii="Arial" w:cs="Arial" w:eastAsia="Arial" w:hAnsi="Arial"/>
        </w:rPr>
        <w:t xml:space="preserve">6. Term Rate by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560"/>
        <w:gridCol w:w="1950"/>
        <w:gridCol w:w="1170"/>
        <w:gridCol w:w="1170"/>
      </w:tblGrid>
      <w:tr>
        <w:tc>
          <w:tcPr>
            <w:tcW w:type="dxa" w:w="117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17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Line</w:t>
            </w:r>
          </w:p>
        </w:tc>
        <w:tc>
          <w:tcPr>
            <w:tcW w:type="dxa" w:w="117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1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w:t>
            </w:r>
          </w:p>
        </w:tc>
        <w:tc>
          <w:tcPr>
            <w:tcW w:type="dxa" w:w="19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Predicted</w:t>
            </w:r>
          </w:p>
        </w:tc>
        <w:tc>
          <w:tcPr>
            <w:tcW w:type="dxa" w:w="117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w:t>
            </w:r>
          </w:p>
        </w:tc>
        <w:tc>
          <w:tcPr>
            <w:tcW w:type="dxa" w:w="117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With</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016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474,670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14.51%</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14.54%</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0.03%</w:t>
            </w:r>
          </w:p>
        </w:tc>
      </w:tr>
      <w:tr>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With</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032</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61,159</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12.70%</w:t>
            </w:r>
          </w:p>
        </w:tc>
        <w:tc>
          <w:tcPr>
            <w:tcW w:type="dxa" w:w="19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12.83%</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-0.13%</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0.13%</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With</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072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368,189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11.37%</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11.41%</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0.05%</w:t>
            </w:r>
          </w:p>
        </w:tc>
      </w:tr>
      <w:tr>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With</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078</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429,332</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8.76%</w:t>
            </w:r>
          </w:p>
        </w:tc>
        <w:tc>
          <w:tcPr>
            <w:tcW w:type="dxa" w:w="19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8.77%</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-0.01%</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0.01%</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With</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088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441,794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8.61%</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8.66%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0.05%</w:t>
            </w:r>
          </w:p>
        </w:tc>
      </w:tr>
      <w:tr>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With</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090</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147,752</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9.11%</w:t>
            </w:r>
          </w:p>
        </w:tc>
        <w:tc>
          <w:tcPr>
            <w:tcW w:type="dxa" w:w="19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9.16%</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-0.06%</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0.06%</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Without</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016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475,101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14.55%</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14.48%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0.06%</w:t>
            </w:r>
          </w:p>
        </w:tc>
      </w:tr>
      <w:tr>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Without</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032</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60,595</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12.55%</w:t>
            </w:r>
          </w:p>
        </w:tc>
        <w:tc>
          <w:tcPr>
            <w:tcW w:type="dxa" w:w="19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12.89%</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-0.35%</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0.35%</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Without</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072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369,639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11.36%</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11.37%</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0.00%</w:t>
            </w:r>
          </w:p>
        </w:tc>
      </w:tr>
      <w:tr>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Without</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090</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149,286</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9.12%</w:t>
            </w:r>
          </w:p>
        </w:tc>
        <w:tc>
          <w:tcPr>
            <w:tcW w:type="dxa" w:w="195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9.18%</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-0.06%</w:t>
            </w:r>
          </w:p>
        </w:tc>
        <w:tc>
          <w:tcPr>
            <w:tcW w:type="dxa" w:w="11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0.06%</w:t>
            </w:r>
          </w:p>
        </w:tc>
      </w:tr>
    </w:tbl>
    <w:p>
      <w:pPr>
        <w:spacing w:after="100"/>
      </w:pPr>
    </w:p>
    <w:p>
      <w:pPr>
        <w:spacing w:after="200"/>
        <w:jc w:val="left"/>
      </w:pPr>
      <w:r>
        <w:rPr>
          <w:rFonts w:ascii="Arial" w:cs="Arial" w:eastAsia="Arial" w:hAnsi="Arial"/>
          <w:sz w:val="22"/>
          <w:szCs w:val="22"/>
        </w:rPr>
        <w:t xml:space="preserve">Both models calibrate within 0.06% on shared lines, except line 032 in the "without" model (-0.35%) — likely a small-sample effect at 60k records.</w:t>
      </w:r>
    </w:p>
    <w:p>
      <w:pPr>
        <w:pStyle w:val="Heading1"/>
        <w:spacing w:after="200" w:before="300"/>
      </w:pPr>
      <w:r>
        <w:rPr>
          <w:rFonts w:ascii="Arial" w:cs="Arial" w:eastAsia="Arial" w:hAnsi="Arial"/>
        </w:rPr>
        <w:t xml:space="preserve">7. Univariate Analysis</w:t>
      </w:r>
    </w:p>
    <w:p>
      <w:pPr>
        <w:spacing w:after="200"/>
        <w:jc w:val="left"/>
      </w:pPr>
      <w:r>
        <w:rPr>
          <w:rFonts w:ascii="Arial" w:cs="Arial" w:eastAsia="Arial" w:hAnsi="Arial"/>
          <w:sz w:val="22"/>
          <w:szCs w:val="22"/>
        </w:rPr>
        <w:t xml:space="preserve">Univariate plots were generated for all categorical features against term_ind and model_prediction. Key observations:</w:t>
      </w:r>
    </w:p>
    <w:p>
      <w:pPr>
        <w:pStyle w:val="ListParagraph"/>
        <w:numPr>
          <w:ilvl w:val="0"/>
          <w:numId w:val="4"/>
        </w:numPr>
        <w:spacing w:after="120"/>
      </w:pPr>
      <w:r>
        <w:rPr>
          <w:rFonts w:ascii="Arial" w:cs="Arial" w:eastAsia="Arial" w:hAnsi="Arial"/>
          <w:b/>
          <w:bCs/>
          <w:sz w:val="22"/>
          <w:szCs w:val="22"/>
        </w:rPr>
        <w:t xml:space="preserve">pls_pt_state_cd: </w:t>
      </w:r>
      <w:r>
        <w:rPr>
          <w:rFonts w:ascii="Arial" w:cs="Arial" w:eastAsia="Arial" w:hAnsi="Arial"/>
          <w:sz w:val="22"/>
          <w:szCs w:val="22"/>
        </w:rPr>
        <w:t xml:space="preserve">Model predictions track actual term rates across states. FL and TX dominate volume.</w:t>
      </w:r>
    </w:p>
    <w:p>
      <w:pPr>
        <w:pStyle w:val="ListParagraph"/>
        <w:numPr>
          <w:ilvl w:val="0"/>
          <w:numId w:val="4"/>
        </w:numPr>
        <w:spacing w:after="120"/>
      </w:pPr>
      <w:r>
        <w:rPr>
          <w:rFonts w:ascii="Arial" w:cs="Arial" w:eastAsia="Arial" w:hAnsi="Arial"/>
          <w:b/>
          <w:bCs/>
          <w:sz w:val="22"/>
          <w:szCs w:val="22"/>
        </w:rPr>
        <w:t xml:space="preserve">ply_line_cd: </w:t>
      </w:r>
      <w:r>
        <w:rPr>
          <w:rFonts w:ascii="Arial" w:cs="Arial" w:eastAsia="Arial" w:hAnsi="Arial"/>
          <w:sz w:val="22"/>
          <w:szCs w:val="22"/>
        </w:rPr>
        <w:t xml:space="preserve">The "with" model correctly learns 078/088 defect at lower rates. The "without" variant shows only four lines with accurate tracking.</w:t>
      </w:r>
    </w:p>
    <w:p>
      <w:pPr>
        <w:pStyle w:val="ListParagraph"/>
        <w:numPr>
          <w:ilvl w:val="0"/>
          <w:numId w:val="4"/>
        </w:numPr>
        <w:spacing w:after="120"/>
      </w:pPr>
      <w:r>
        <w:rPr>
          <w:rFonts w:ascii="Arial" w:cs="Arial" w:eastAsia="Arial" w:hAnsi="Arial"/>
          <w:b/>
          <w:bCs/>
          <w:sz w:val="22"/>
          <w:szCs w:val="22"/>
        </w:rPr>
        <w:t xml:space="preserve">pls_chnl_of_bnd_cd: </w:t>
      </w:r>
      <w:r>
        <w:rPr>
          <w:rFonts w:ascii="Arial" w:cs="Arial" w:eastAsia="Arial" w:hAnsi="Arial"/>
          <w:sz w:val="22"/>
          <w:szCs w:val="22"/>
        </w:rPr>
        <w:t xml:space="preserve">Channel 21 (dominant) has lowest defection; channel 25 highest (~23%). Both models capture this.</w:t>
      </w:r>
    </w:p>
    <w:p>
      <w:pPr>
        <w:pStyle w:val="ListParagraph"/>
        <w:numPr>
          <w:ilvl w:val="0"/>
          <w:numId w:val="4"/>
        </w:numPr>
        <w:spacing w:after="120"/>
      </w:pPr>
      <w:r>
        <w:rPr>
          <w:rFonts w:ascii="Arial" w:cs="Arial" w:eastAsia="Arial" w:hAnsi="Arial"/>
          <w:b/>
          <w:bCs/>
          <w:sz w:val="22"/>
          <w:szCs w:val="22"/>
        </w:rPr>
        <w:t xml:space="preserve">drv_zip3_cd_other: </w:t>
      </w:r>
      <w:r>
        <w:rPr>
          <w:rFonts w:ascii="Arial" w:cs="Arial" w:eastAsia="Arial" w:hAnsi="Arial"/>
          <w:sz w:val="22"/>
          <w:szCs w:val="22"/>
        </w:rPr>
        <w:t xml:space="preserve">High-cardinality, noisy term_ind. Model predictions are appropriately smooth — no overfitting to geography.</w:t>
      </w:r>
    </w:p>
    <w:p>
      <w:pPr>
        <w:pStyle w:val="ListParagraph"/>
        <w:numPr>
          <w:ilvl w:val="0"/>
          <w:numId w:val="4"/>
        </w:numPr>
        <w:spacing w:after="120"/>
      </w:pPr>
      <w:r>
        <w:rPr>
          <w:rFonts w:ascii="Arial" w:cs="Arial" w:eastAsia="Arial" w:hAnsi="Arial"/>
          <w:b/>
          <w:bCs/>
          <w:sz w:val="22"/>
          <w:szCs w:val="22"/>
        </w:rPr>
        <w:t xml:space="preserve">release_day_pol: </w:t>
      </w:r>
      <w:r>
        <w:rPr>
          <w:rFonts w:ascii="Arial" w:cs="Arial" w:eastAsia="Arial" w:hAnsi="Arial"/>
          <w:sz w:val="22"/>
          <w:szCs w:val="22"/>
        </w:rPr>
        <w:t xml:space="preserve">Counts spike at earliest dates. Model predictions are flat, which is correct — release_day_pol shouldn’t be predictive after controlling for tenure.</w:t>
      </w:r>
    </w:p>
    <w:p>
      <w:pPr>
        <w:spacing w:after="200" w:before="200"/>
        <w:jc w:val="center"/>
      </w:pPr>
      <w:r>
        <w:rPr>
          <w:rFonts w:ascii="Arial" w:cs="Arial" w:eastAsia="Arial" w:hAnsi="Arial"/>
          <w:i/>
          <w:iCs/>
          <w:color w:val="888888"/>
          <w:sz w:val="22"/>
          <w:szCs w:val="22"/>
        </w:rPr>
        <w:t xml:space="preserve">[ Figure: Univariate plots (with PUP/Condo) — pls_pt_state_cd, ply_line_cd, pls_chnl_of_bnd_cd ]</w:t>
      </w:r>
    </w:p>
    <w:p>
      <w:pPr>
        <w:spacing w:after="200" w:before="200"/>
        <w:jc w:val="center"/>
      </w:pPr>
      <w:r>
        <w:rPr>
          <w:rFonts w:ascii="Arial" w:cs="Arial" w:eastAsia="Arial" w:hAnsi="Arial"/>
          <w:i/>
          <w:iCs/>
          <w:color w:val="888888"/>
          <w:sz w:val="22"/>
          <w:szCs w:val="22"/>
        </w:rPr>
        <w:t xml:space="preserve">[ Figure: Univariate plots (without PUP/Condo) — pls_pt_state_cd, ply_line_cd, pls_chnl_of_bnd_cd ]</w:t>
      </w:r>
    </w:p>
    <w:p>
      <w:pPr>
        <w:pStyle w:val="Heading1"/>
        <w:spacing w:after="200" w:before="300"/>
      </w:pPr>
      <w:r>
        <w:rPr>
          <w:rFonts w:ascii="Arial" w:cs="Arial" w:eastAsia="Arial" w:hAnsi="Arial"/>
        </w:rPr>
        <w:t xml:space="preserve">8. SHAP Feature Importance</w:t>
      </w:r>
    </w:p>
    <w:p>
      <w:pPr>
        <w:spacing w:after="200"/>
        <w:jc w:val="left"/>
      </w:pPr>
      <w:r>
        <w:rPr>
          <w:rFonts w:ascii="Arial" w:cs="Arial" w:eastAsia="Arial" w:hAnsi="Arial"/>
          <w:sz w:val="22"/>
          <w:szCs w:val="22"/>
        </w:rPr>
        <w:t xml:space="preserve">SHAP (TreeExplainer) on a 100k sample from each model’s scored data.</w:t>
      </w:r>
    </w:p>
    <w:p>
      <w:pPr>
        <w:pStyle w:val="Heading2"/>
        <w:spacing w:after="200" w:before="300"/>
      </w:pPr>
      <w:r>
        <w:rPr>
          <w:rFonts w:ascii="Arial" w:cs="Arial" w:eastAsia="Arial" w:hAnsi="Arial"/>
        </w:rPr>
        <w:t xml:space="preserve">8.1 Top 10 Features (Mean |SHAP|)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510"/>
        <w:gridCol w:w="780"/>
        <w:gridCol w:w="3510"/>
        <w:gridCol w:w="780"/>
      </w:tblGrid>
      <w:tr>
        <w:tc>
          <w:tcPr>
            <w:tcW w:type="dxa" w:w="7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51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 PUP/Condo</w:t>
            </w:r>
          </w:p>
        </w:tc>
        <w:tc>
          <w:tcPr>
            <w:tcW w:type="dxa" w:w="7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51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Without PUP/Condo</w:t>
            </w:r>
          </w:p>
        </w:tc>
        <w:tc>
          <w:tcPr>
            <w:tcW w:type="dxa" w:w="7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Δ</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nt6</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nt6</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ply_line_cd_enc</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total_policy_count</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pls_pt_state_cd_enc</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ply_line_cd_enc</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total_policy_count</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pls_pt_state_cd_enc</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drv_zip3_cd_other_enc</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drv_prins_years</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drv_prins_years</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drv_zip3_cd_other_enc</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drv_oldest_driver_increment</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drv_oldest_driver_increment</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pls_chnl_of_bnd_cd_enc</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pls_chnl_of_bnd_cd_enc</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drv_youngest_driver_increment</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ply_actve_vhcl_cnt</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ply_actve_vhcl_cnt</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drv_youngest_driver_increment</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sz w:val="20"/>
                <w:szCs w:val="20"/>
              </w:rPr>
              <w:t xml:space="preserve">↓</w:t>
            </w:r>
          </w:p>
        </w:tc>
      </w:tr>
    </w:tbl>
    <w:p>
      <w:pPr>
        <w:spacing w:after="100"/>
      </w:pPr>
    </w:p>
    <w:p>
      <w:pPr>
        <w:spacing w:after="200"/>
        <w:jc w:val="left"/>
      </w:pPr>
      <w:r>
        <w:rPr>
          <w:rFonts w:ascii="Arial" w:cs="Arial" w:eastAsia="Arial" w:hAnsi="Arial"/>
          <w:sz w:val="22"/>
          <w:szCs w:val="22"/>
        </w:rPr>
        <w:t xml:space="preserve">nt6 dominates both models. Key shift: ply_line_cd_enc is #2 in the "with" model (6 levels to discriminate) but drops to #3 without PUP/Condo, while total_policy_count rises to #2 — the model compensates by leaning on household-level signals.</w:t>
      </w:r>
    </w:p>
    <w:p>
      <w:pPr>
        <w:spacing w:after="200" w:before="200"/>
        <w:jc w:val="center"/>
      </w:pPr>
      <w:r>
        <w:rPr>
          <w:rFonts w:ascii="Arial" w:cs="Arial" w:eastAsia="Arial" w:hAnsi="Arial"/>
          <w:i/>
          <w:iCs/>
          <w:color w:val="888888"/>
          <w:sz w:val="22"/>
          <w:szCs w:val="22"/>
        </w:rPr>
        <w:t xml:space="preserve">[ Figure: SHAP bar chart (with PUP/Condo) ]</w:t>
      </w:r>
    </w:p>
    <w:p>
      <w:pPr>
        <w:spacing w:after="200" w:before="200"/>
        <w:jc w:val="center"/>
      </w:pPr>
      <w:r>
        <w:rPr>
          <w:rFonts w:ascii="Arial" w:cs="Arial" w:eastAsia="Arial" w:hAnsi="Arial"/>
          <w:i/>
          <w:iCs/>
          <w:color w:val="888888"/>
          <w:sz w:val="22"/>
          <w:szCs w:val="22"/>
        </w:rPr>
        <w:t xml:space="preserve">[ Figure: SHAP bar chart (without PUP/Condo) ]</w:t>
      </w:r>
    </w:p>
    <w:p>
      <w:pPr>
        <w:pStyle w:val="Heading2"/>
        <w:spacing w:after="200" w:before="300"/>
      </w:pPr>
      <w:r>
        <w:rPr>
          <w:rFonts w:ascii="Arial" w:cs="Arial" w:eastAsia="Arial" w:hAnsi="Arial"/>
        </w:rPr>
        <w:t xml:space="preserve">8.2 Beeswarm Plots</w:t>
      </w:r>
    </w:p>
    <w:p>
      <w:pPr>
        <w:pStyle w:val="ListParagraph"/>
        <w:numPr>
          <w:ilvl w:val="0"/>
          <w:numId w:val="5"/>
        </w:numPr>
        <w:spacing w:after="120"/>
      </w:pPr>
      <w:r>
        <w:rPr>
          <w:rFonts w:ascii="Arial" w:cs="Arial" w:eastAsia="Arial" w:hAnsi="Arial"/>
          <w:b/>
          <w:bCs/>
          <w:sz w:val="22"/>
          <w:szCs w:val="22"/>
        </w:rPr>
        <w:t xml:space="preserve">nt6: </w:t>
      </w:r>
      <w:r>
        <w:rPr>
          <w:rFonts w:ascii="Arial" w:cs="Arial" w:eastAsia="Arial" w:hAnsi="Arial"/>
          <w:sz w:val="22"/>
          <w:szCs w:val="22"/>
        </w:rPr>
        <w:t xml:space="preserve">High nt6 pushes strongly toward retention; low nt6 toward defection.</w:t>
      </w:r>
    </w:p>
    <w:p>
      <w:pPr>
        <w:pStyle w:val="ListParagraph"/>
        <w:numPr>
          <w:ilvl w:val="0"/>
          <w:numId w:val="5"/>
        </w:numPr>
        <w:spacing w:after="120"/>
      </w:pPr>
      <w:r>
        <w:rPr>
          <w:rFonts w:ascii="Arial" w:cs="Arial" w:eastAsia="Arial" w:hAnsi="Arial"/>
          <w:b/>
          <w:bCs/>
          <w:sz w:val="22"/>
          <w:szCs w:val="22"/>
        </w:rPr>
        <w:t xml:space="preserve">ply_line_cd_enc: </w:t>
      </w:r>
      <w:r>
        <w:rPr>
          <w:rFonts w:ascii="Arial" w:cs="Arial" w:eastAsia="Arial" w:hAnsi="Arial"/>
          <w:sz w:val="22"/>
          <w:szCs w:val="22"/>
        </w:rPr>
        <w:t xml:space="preserve">Clear bidirectional impact. PUP/Condo codes push toward retention in the "with" model.</w:t>
      </w:r>
    </w:p>
    <w:p>
      <w:pPr>
        <w:pStyle w:val="ListParagraph"/>
        <w:numPr>
          <w:ilvl w:val="0"/>
          <w:numId w:val="5"/>
        </w:numPr>
        <w:spacing w:after="120"/>
      </w:pPr>
      <w:r>
        <w:rPr>
          <w:rFonts w:ascii="Arial" w:cs="Arial" w:eastAsia="Arial" w:hAnsi="Arial"/>
          <w:b/>
          <w:bCs/>
          <w:sz w:val="22"/>
          <w:szCs w:val="22"/>
        </w:rPr>
        <w:t xml:space="preserve">total_policy_count: </w:t>
      </w:r>
      <w:r>
        <w:rPr>
          <w:rFonts w:ascii="Arial" w:cs="Arial" w:eastAsia="Arial" w:hAnsi="Arial"/>
          <w:sz w:val="22"/>
          <w:szCs w:val="22"/>
        </w:rPr>
        <w:t xml:space="preserve">More policies in household = lower defection risk.</w:t>
      </w:r>
    </w:p>
    <w:p>
      <w:pPr>
        <w:pStyle w:val="ListParagraph"/>
        <w:numPr>
          <w:ilvl w:val="0"/>
          <w:numId w:val="5"/>
        </w:numPr>
        <w:spacing w:after="120"/>
      </w:pPr>
      <w:r>
        <w:rPr>
          <w:rFonts w:ascii="Arial" w:cs="Arial" w:eastAsia="Arial" w:hAnsi="Arial"/>
          <w:b/>
          <w:bCs/>
          <w:sz w:val="22"/>
          <w:szCs w:val="22"/>
        </w:rPr>
        <w:t xml:space="preserve">drv_prins_years: </w:t>
      </w:r>
      <w:r>
        <w:rPr>
          <w:rFonts w:ascii="Arial" w:cs="Arial" w:eastAsia="Arial" w:hAnsi="Arial"/>
          <w:sz w:val="22"/>
          <w:szCs w:val="22"/>
        </w:rPr>
        <w:t xml:space="preserve">Longer tenure mildly predicts retention.</w:t>
      </w:r>
    </w:p>
    <w:p>
      <w:pPr>
        <w:spacing w:after="200" w:before="200"/>
        <w:jc w:val="center"/>
      </w:pPr>
      <w:r>
        <w:rPr>
          <w:rFonts w:ascii="Arial" w:cs="Arial" w:eastAsia="Arial" w:hAnsi="Arial"/>
          <w:i/>
          <w:iCs/>
          <w:color w:val="888888"/>
          <w:sz w:val="22"/>
          <w:szCs w:val="22"/>
        </w:rPr>
        <w:t xml:space="preserve">[ Figure: SHAP beeswarm plot (with PUP/Condo) ]</w:t>
      </w:r>
    </w:p>
    <w:p>
      <w:pPr>
        <w:spacing w:after="200" w:before="200"/>
        <w:jc w:val="center"/>
      </w:pPr>
      <w:r>
        <w:rPr>
          <w:rFonts w:ascii="Arial" w:cs="Arial" w:eastAsia="Arial" w:hAnsi="Arial"/>
          <w:i/>
          <w:iCs/>
          <w:color w:val="888888"/>
          <w:sz w:val="22"/>
          <w:szCs w:val="22"/>
        </w:rPr>
        <w:t xml:space="preserve">[ Figure: SHAP beeswarm plot (without PUP/Condo) ]</w:t>
      </w:r>
    </w:p>
    <w:p>
      <w:pPr>
        <w:pStyle w:val="Heading1"/>
        <w:spacing w:after="200" w:before="300"/>
      </w:pPr>
      <w:r>
        <w:rPr>
          <w:rFonts w:ascii="Arial" w:cs="Arial" w:eastAsia="Arial" w:hAnsi="Arial"/>
        </w:rPr>
        <w:t xml:space="preserve">9. Conclusions &amp; Recommendations</w:t>
      </w:r>
    </w:p>
    <w:p>
      <w:pPr>
        <w:pStyle w:val="ListParagraph"/>
        <w:numPr>
          <w:ilvl w:val="0"/>
          <w:numId w:val="6"/>
        </w:numPr>
        <w:spacing w:after="120"/>
      </w:pPr>
      <w:r>
        <w:rPr>
          <w:rFonts w:ascii="Arial" w:cs="Arial" w:eastAsia="Arial" w:hAnsi="Arial"/>
          <w:sz w:val="22"/>
          <w:szCs w:val="22"/>
        </w:rPr>
        <w:t xml:space="preserve">Including PUP/Condo does not degrade performance on the core four lines. Line-level calibration diffs are ≤0.06% for shared lines.</w:t>
      </w:r>
    </w:p>
    <w:p>
      <w:pPr>
        <w:pStyle w:val="ListParagraph"/>
        <w:numPr>
          <w:ilvl w:val="0"/>
          <w:numId w:val="6"/>
        </w:numPr>
        <w:spacing w:after="120"/>
      </w:pPr>
      <w:r>
        <w:rPr>
          <w:rFonts w:ascii="Arial" w:cs="Arial" w:eastAsia="Arial" w:hAnsi="Arial"/>
          <w:sz w:val="22"/>
          <w:szCs w:val="22"/>
        </w:rPr>
        <w:t xml:space="preserve">Neither model clearly dominates on aggregate metrics.</w:t>
      </w:r>
    </w:p>
    <w:p>
      <w:pPr>
        <w:pStyle w:val="ListParagraph"/>
        <w:numPr>
          <w:ilvl w:val="0"/>
          <w:numId w:val="6"/>
        </w:numPr>
        <w:spacing w:after="120"/>
      </w:pPr>
      <w:r>
        <w:rPr>
          <w:rFonts w:ascii="Arial" w:cs="Arial" w:eastAsia="Arial" w:hAnsi="Arial"/>
          <w:sz w:val="22"/>
          <w:szCs w:val="22"/>
        </w:rPr>
        <w:t xml:space="preserve">PUP/Condo are the stickiest SPL lines (8.6–8.8% term rate). They dampen overall defection and shift tenure distribution toward later renewals.</w:t>
      </w:r>
    </w:p>
    <w:p>
      <w:pPr>
        <w:pStyle w:val="ListParagraph"/>
        <w:numPr>
          <w:ilvl w:val="0"/>
          <w:numId w:val="6"/>
        </w:numPr>
        <w:spacing w:after="120"/>
      </w:pPr>
      <w:r>
        <w:rPr>
          <w:rFonts w:ascii="Arial" w:cs="Arial" w:eastAsia="Arial" w:hAnsi="Arial"/>
          <w:sz w:val="22"/>
          <w:szCs w:val="22"/>
        </w:rPr>
        <w:t xml:space="preserve">First-renewal defection is trending upward across all lines (11.8% in 2020 → 13.8–16.5% in 2025). Portfolio-level concern, not model-specific.</w:t>
      </w:r>
    </w:p>
    <w:p>
      <w:pPr>
        <w:pStyle w:val="ListParagraph"/>
        <w:numPr>
          <w:ilvl w:val="0"/>
          <w:numId w:val="6"/>
        </w:numPr>
        <w:spacing w:after="120"/>
      </w:pPr>
      <w:r>
        <w:rPr>
          <w:rFonts w:ascii="Arial" w:cs="Arial" w:eastAsia="Arial" w:hAnsi="Arial"/>
          <w:sz w:val="22"/>
          <w:szCs w:val="22"/>
        </w:rPr>
        <w:t xml:space="preserve">Feature importance is stable. nt6 dominates; ply_line_cd and total_policy_count swap positions based on available line cardinality.</w:t>
      </w:r>
    </w:p>
    <w:p>
      <w:pPr>
        <w:pStyle w:val="ListParagraph"/>
        <w:numPr>
          <w:ilvl w:val="0"/>
          <w:numId w:val="6"/>
        </w:numPr>
        <w:spacing w:after="200"/>
      </w:pPr>
      <w:r>
        <w:rPr>
          <w:rFonts w:ascii="Arial" w:cs="Arial" w:eastAsia="Arial" w:hAnsi="Arial"/>
          <w:sz w:val="22"/>
          <w:szCs w:val="22"/>
        </w:rPr>
        <w:t xml:space="preserve">Train/test integrity is clean (zero policy/household overlap).</w:t>
      </w:r>
    </w:p>
    <w:p>
      <w:pPr>
        <w:pStyle w:val="Heading2"/>
        <w:spacing w:after="200" w:before="300"/>
      </w:pPr>
      <w:r>
        <w:rPr>
          <w:rFonts w:ascii="Arial" w:cs="Arial" w:eastAsia="Arial" w:hAnsi="Arial"/>
        </w:rPr>
        <w:t xml:space="preserve">Recommendation</w:t>
      </w:r>
    </w:p>
    <w:p>
      <w:pPr>
        <w:pStyle w:val="ListParagraph"/>
        <w:numPr>
          <w:ilvl w:val="0"/>
          <w:numId w:val="7"/>
        </w:numPr>
        <w:spacing w:after="120"/>
      </w:pPr>
      <w:r>
        <w:rPr>
          <w:rFonts w:ascii="Arial" w:cs="Arial" w:eastAsia="Arial" w:hAnsi="Arial"/>
          <w:sz w:val="22"/>
          <w:szCs w:val="22"/>
        </w:rPr>
        <w:t xml:space="preserve">If PUP/Condo retention predictions are needed downstream (LTV on those lines): use B-2760706 ("with"). No degradation to core four lines.</w:t>
      </w:r>
    </w:p>
    <w:p>
      <w:pPr>
        <w:pStyle w:val="ListParagraph"/>
        <w:numPr>
          <w:ilvl w:val="0"/>
          <w:numId w:val="7"/>
        </w:numPr>
        <w:spacing w:after="120"/>
      </w:pPr>
      <w:r>
        <w:rPr>
          <w:rFonts w:ascii="Arial" w:cs="Arial" w:eastAsia="Arial" w:hAnsi="Arial"/>
          <w:sz w:val="22"/>
          <w:szCs w:val="22"/>
        </w:rPr>
        <w:t xml:space="preserve">If the goal is a focused model on the original four lines only: B-2779253 ("without") is equally valid.</w:t>
      </w:r>
    </w:p>
    <w:p>
      <w:pPr>
        <w:spacing w:after="100"/>
      </w:pPr>
    </w:p>
    <w:p>
      <w:pPr>
        <w:pStyle w:val="Heading2"/>
        <w:spacing w:after="200" w:before="300"/>
      </w:pPr>
      <w:r>
        <w:rPr>
          <w:rFonts w:ascii="Arial" w:cs="Arial" w:eastAsia="Arial" w:hAnsi="Arial"/>
        </w:rPr>
        <w:t xml:space="preserve">Open Items</w:t>
      </w:r>
    </w:p>
    <w:p>
      <w:pPr>
        <w:pStyle w:val="ListParagraph"/>
        <w:numPr>
          <w:ilvl w:val="0"/>
          <w:numId w:val="7"/>
        </w:numPr>
        <w:spacing w:after="120"/>
      </w:pPr>
      <w:r>
        <w:rPr>
          <w:rFonts w:ascii="Arial" w:cs="Arial" w:eastAsia="Arial" w:hAnsi="Arial"/>
          <w:sz w:val="22"/>
          <w:szCs w:val="22"/>
        </w:rPr>
        <w:t xml:space="preserve">Rising first-renewal defection (11.8% → 16.5%): pricing, competitive, or underwriting mix?</w:t>
      </w:r>
    </w:p>
    <w:p>
      <w:pPr>
        <w:pStyle w:val="ListParagraph"/>
        <w:numPr>
          <w:ilvl w:val="0"/>
          <w:numId w:val="7"/>
        </w:numPr>
        <w:spacing w:after="120"/>
      </w:pPr>
      <w:r>
        <w:rPr>
          <w:rFonts w:ascii="Arial" w:cs="Arial" w:eastAsia="Arial" w:hAnsi="Arial"/>
          <w:sz w:val="22"/>
          <w:szCs w:val="22"/>
        </w:rPr>
        <w:t xml:space="preserve">nt6=8/9 sparse (&lt;1.3%). Accept reduced precision at high tenure, or consider longer window?</w:t>
      </w:r>
    </w:p>
    <w:p>
      <w:pPr>
        <w:pStyle w:val="ListParagraph"/>
        <w:numPr>
          <w:ilvl w:val="0"/>
          <w:numId w:val="7"/>
        </w:numPr>
        <w:spacing w:after="120"/>
      </w:pPr>
      <w:r>
        <w:rPr>
          <w:rFonts w:ascii="Arial" w:cs="Arial" w:eastAsia="Arial" w:hAnsi="Arial"/>
          <w:sz w:val="22"/>
          <w:szCs w:val="22"/>
        </w:rPr>
        <w:t xml:space="preserve">Line 032 calibration gap (-0.35% in "without" model) — monitor given small volume.</w:t>
      </w:r>
    </w:p>
    <w:p>
      <w:pPr>
        <w:pStyle w:val="ListParagraph"/>
        <w:numPr>
          <w:ilvl w:val="0"/>
          <w:numId w:val="7"/>
        </w:numPr>
        <w:spacing w:after="120"/>
      </w:pPr>
      <w:r>
        <w:rPr>
          <w:rFonts w:ascii="Arial" w:cs="Arial" w:eastAsia="Arial" w:hAnsi="Arial"/>
          <w:sz w:val="22"/>
          <w:szCs w:val="22"/>
        </w:rPr>
        <w:t xml:space="preserve">Training min date 2020-11-09 (not 2020-11-08) suggests minor gap in B-2756198 extract. More recent ADW extract available?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Classic SPL Retention — PUP/Condo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7"/>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3668"/>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60" w:before="240"/>
      <w:outlineLvl w:val="2"/>
    </w:pPr>
    <w:rPr>
      <w:rFonts w:ascii="Arial" w:cs="Arial" w:eastAsia="Arial" w:hAnsi="Arial"/>
      <w:b/>
      <w:bCs/>
      <w:color w:val="3A6AA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2026-05-14T01:23:37.773Z</dcterms:created>
  <dcterms:modified xsi:type="dcterms:W3CDTF">2026-05-14T01:23:37.785Z</dcterms:modified>
</cp:coreProperties>
</file>

<file path=docProps/custom.xml><?xml version="1.0" encoding="utf-8"?>
<Properties xmlns="http://schemas.openxmlformats.org/officeDocument/2006/custom-properties" xmlns:vt="http://schemas.openxmlformats.org/officeDocument/2006/docPropsVTypes"/>
</file>