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d3a0brfsncz" w:id="0"/>
      <w:bookmarkEnd w:id="0"/>
      <w:r w:rsidDel="00000000" w:rsidR="00000000" w:rsidRPr="00000000">
        <w:rPr>
          <w:b w:val="1"/>
          <w:bCs w:val="1"/>
          <w:sz w:val="34"/>
          <w:szCs w:val="34"/>
          <w:rtl w:val="0"/>
        </w:rPr>
        <w:t xml:space="preserve">LTV Impact of the Loss Ratio Update  (v9.3.0 to v9.4.0)</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mh5w4si3o16"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loss ratio refit changed a model </w:t>
      </w:r>
      <w:r w:rsidDel="00000000" w:rsidR="00000000" w:rsidRPr="00000000">
        <w:rPr>
          <w:i w:val="1"/>
          <w:iCs w:val="1"/>
          <w:rtl w:val="0"/>
        </w:rPr>
        <w:t xml:space="preserve">input</w:t>
      </w:r>
      <w:r w:rsidDel="00000000" w:rsidR="00000000" w:rsidRPr="00000000">
        <w:rPr>
          <w:rtl w:val="0"/>
        </w:rPr>
        <w:t xml:space="preserve">. This notebook answers the next question: what does it do to the </w:t>
      </w:r>
      <w:r w:rsidDel="00000000" w:rsidR="00000000" w:rsidRPr="00000000">
        <w:rPr>
          <w:i w:val="1"/>
          <w:iCs w:val="1"/>
          <w:rtl w:val="0"/>
        </w:rPr>
        <w:t xml:space="preserve">output</w:t>
      </w:r>
      <w:r w:rsidDel="00000000" w:rsidR="00000000" w:rsidRPr="00000000">
        <w:rPr>
          <w:rtl w:val="0"/>
        </w:rPr>
        <w:t xml:space="preserve">? We scored the full Classic SPL book on both releases and decomposed the difference policy by policy.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q5tby8cyjh3" w:id="2"/>
      <w:bookmarkEnd w:id="2"/>
      <w:r w:rsidDel="00000000" w:rsidR="00000000" w:rsidRPr="00000000">
        <w:rPr>
          <w:b w:val="1"/>
          <w:bCs w:val="1"/>
          <w:color w:val="000000"/>
          <w:sz w:val="26"/>
          <w:szCs w:val="26"/>
          <w:rtl w:val="0"/>
        </w:rPr>
        <w:t xml:space="preserve">Setup</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prod/NB_Classic_SPL_v9.3.0/score/score_internal_results/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prod/feature/B-2937390/score/score_internal_results/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Population:</w:t>
      </w:r>
      <w:r w:rsidDel="00000000" w:rsidR="00000000" w:rsidRPr="00000000">
        <w:rPr>
          <w:rtl w:val="0"/>
        </w:rPr>
        <w:t xml:space="preserve"> 2,247,503 policies on each side, six lines (16, 32, 72, 78, 88, 90). Renters (71) scores out of the separate repo and isn't in this comparison.</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inner join on </w:t>
      </w:r>
      <w:r w:rsidDel="00000000" w:rsidR="00000000" w:rsidRPr="00000000">
        <w:rPr>
          <w:rFonts w:ascii="Roboto Mono" w:cs="Roboto Mono" w:eastAsia="Roboto Mono" w:hAnsi="Roboto Mono"/>
          <w:color w:val="188038"/>
          <w:rtl w:val="0"/>
        </w:rPr>
        <w:t xml:space="preserve">ply_policy_id</w:t>
      </w:r>
      <w:r w:rsidDel="00000000" w:rsidR="00000000" w:rsidRPr="00000000">
        <w:rPr>
          <w:rtl w:val="0"/>
        </w:rPr>
        <w:t xml:space="preserve">, then per-policy component differences summed into a waterfall. Each bar is one term of the LTV identity; the residual shows whether the decomposition closes.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2nzkdxdsnhc" w:id="3"/>
      <w:bookmarkEnd w:id="3"/>
      <w:r w:rsidDel="00000000" w:rsidR="00000000" w:rsidRPr="00000000">
        <w:rPr>
          <w:b w:val="1"/>
          <w:bCs w:val="1"/>
          <w:color w:val="000000"/>
          <w:sz w:val="26"/>
          <w:szCs w:val="26"/>
          <w:rtl w:val="0"/>
        </w:rPr>
        <w:t xml:space="preserve">Headline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LTV rises $10.58 per policy, from $1,008.17 to $1,018.75 - about 1%.</w:t>
      </w:r>
      <w:r w:rsidDel="00000000" w:rsidR="00000000" w:rsidRPr="00000000">
        <w:rPr>
          <w:rFonts w:ascii="Arial Unicode MS" w:cs="Arial Unicode MS" w:eastAsia="Arial Unicode MS" w:hAnsi="Arial Unicode MS"/>
          <w:rtl w:val="0"/>
        </w:rPr>
        <w:t xml:space="preserve"> AAC moves in step, $441.09 → $451.66.</w:t>
      </w:r>
    </w:p>
    <w:p w:rsidR="00000000" w:rsidDel="00000000" w:rsidP="00000000" w:rsidRDefault="00000000" w:rsidRPr="00000000" w14:paraId="0000000B">
      <w:pPr>
        <w:spacing w:after="240" w:before="240" w:lineRule="auto"/>
        <w:rPr/>
      </w:pPr>
      <w:r w:rsidDel="00000000" w:rsidR="00000000" w:rsidRPr="00000000">
        <w:rPr>
          <w:rtl w:val="0"/>
        </w:rPr>
        <w:t xml:space="preserve">That is a small number for a 15-point change to the loss ratio, and the reason is the whole story.</w:t>
      </w:r>
    </w:p>
    <w:p w:rsidR="00000000" w:rsidDel="00000000" w:rsidP="00000000" w:rsidRDefault="00000000" w:rsidRPr="00000000" w14:paraId="0000000C">
      <w:pPr>
        <w:pStyle w:val="Heading3"/>
        <w:keepNext w:val="0"/>
        <w:keepLines w:val="0"/>
        <w:spacing w:before="280" w:lineRule="auto"/>
        <w:rPr>
          <w:b w:val="1"/>
          <w:bCs w:val="1"/>
          <w:sz w:val="26"/>
          <w:szCs w:val="26"/>
        </w:rPr>
      </w:pPr>
      <w:bookmarkStart w:colFirst="0" w:colLast="0" w:name="_7qlgftkz27zc" w:id="4"/>
      <w:bookmarkEnd w:id="4"/>
      <w:r w:rsidDel="00000000" w:rsidR="00000000" w:rsidRPr="00000000">
        <w:rPr>
          <w:b w:val="1"/>
          <w:bCs w:val="1"/>
          <w:sz w:val="26"/>
          <w:szCs w:val="26"/>
          <w:rtl w:val="0"/>
        </w:rPr>
        <w:t xml:space="preserve">Why the effect is small: the balance factor absorbs it</w:t>
      </w:r>
    </w:p>
    <w:tbl>
      <w:tblPr>
        <w:tblStyle w:val="Table1"/>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060"/>
        <w:tblGridChange w:id="0">
          <w:tblGrid>
            <w:gridCol w:w="173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Style w:val="Heading3"/>
              <w:keepNext w:val="0"/>
              <w:keepLines w:val="0"/>
              <w:spacing w:before="280" w:lineRule="auto"/>
              <w:jc w:val="center"/>
              <w:rPr/>
            </w:pPr>
            <w:bookmarkStart w:colFirst="0" w:colLast="0" w:name="_oh3f1edcbb4g" w:id="5"/>
            <w:bookmarkEnd w:id="5"/>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spacing w:before="280" w:lineRule="auto"/>
              <w:jc w:val="center"/>
              <w:rPr/>
            </w:pPr>
            <w:bookmarkStart w:colFirst="0" w:colLast="0" w:name="_oh3f1edcbb4g" w:id="5"/>
            <w:bookmarkEnd w:id="5"/>
            <w:r w:rsidDel="00000000" w:rsidR="00000000" w:rsidRPr="00000000">
              <w:rPr>
                <w:b w:val="1"/>
                <w:bCs w:val="1"/>
                <w:rtl w:val="0"/>
              </w:rPr>
              <w:t xml:space="preserve">Per-policy change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Style w:val="Heading3"/>
              <w:keepNext w:val="0"/>
              <w:keepLines w:val="0"/>
              <w:spacing w:before="280" w:lineRule="auto"/>
              <w:rPr/>
            </w:pPr>
            <w:bookmarkStart w:colFirst="0" w:colLast="0" w:name="_oh3f1edcbb4g" w:id="5"/>
            <w:bookmarkEnd w:id="5"/>
            <w:r w:rsidDel="00000000" w:rsidR="00000000" w:rsidRPr="00000000">
              <w:rPr>
                <w:rtl w:val="0"/>
              </w:rPr>
              <w:t xml:space="preserve">Lifetime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Style w:val="Heading3"/>
              <w:keepNext w:val="0"/>
              <w:keepLines w:val="0"/>
              <w:spacing w:before="280" w:lineRule="auto"/>
              <w:rPr/>
            </w:pPr>
            <w:bookmarkStart w:colFirst="0" w:colLast="0" w:name="_oh3f1edcbb4g" w:id="5"/>
            <w:bookmarkEnd w:id="5"/>
            <w:r w:rsidDel="00000000" w:rsidR="00000000" w:rsidRPr="00000000">
              <w:rPr>
                <w:rFonts w:ascii="Arial Unicode MS" w:cs="Arial Unicode MS" w:eastAsia="Arial Unicode MS" w:hAnsi="Arial Unicode MS"/>
                <w:b w:val="1"/>
                <w:bCs w:val="1"/>
                <w:rtl w:val="0"/>
              </w:rPr>
              <w:t xml:space="preserve">−$784.75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Style w:val="Heading3"/>
              <w:keepNext w:val="0"/>
              <w:keepLines w:val="0"/>
              <w:spacing w:before="280" w:lineRule="auto"/>
              <w:rPr/>
            </w:pPr>
            <w:bookmarkStart w:colFirst="0" w:colLast="0" w:name="_oh3f1edcbb4g" w:id="5"/>
            <w:bookmarkEnd w:id="5"/>
            <w:r w:rsidDel="00000000" w:rsidR="00000000" w:rsidRPr="00000000">
              <w:rPr>
                <w:rtl w:val="0"/>
              </w:rPr>
              <w:t xml:space="preserve">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spacing w:before="280" w:lineRule="auto"/>
              <w:rPr/>
            </w:pPr>
            <w:bookmarkStart w:colFirst="0" w:colLast="0" w:name="_oh3f1edcbb4g" w:id="5"/>
            <w:bookmarkEnd w:id="5"/>
            <w:r w:rsidDel="00000000" w:rsidR="00000000" w:rsidRPr="00000000">
              <w:rPr>
                <w:b w:val="1"/>
                <w:bCs w:val="1"/>
                <w:rtl w:val="0"/>
              </w:rPr>
              <w:t xml:space="preserve">+$771.26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before="280" w:lineRule="auto"/>
              <w:rPr/>
            </w:pPr>
            <w:bookmarkStart w:colFirst="0" w:colLast="0" w:name="_oh3f1edcbb4g" w:id="5"/>
            <w:bookmarkEnd w:id="5"/>
            <w:r w:rsidDel="00000000" w:rsidR="00000000" w:rsidRPr="00000000">
              <w:rPr>
                <w:rtl w:val="0"/>
              </w:rPr>
              <w:t xml:space="preserve">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rPr/>
            </w:pPr>
            <w:bookmarkStart w:colFirst="0" w:colLast="0" w:name="_oh3f1edcbb4g" w:id="5"/>
            <w:bookmarkEnd w:id="5"/>
            <w:r w:rsidDel="00000000" w:rsidR="00000000" w:rsidRPr="00000000">
              <w:rPr>
                <w:rtl w:val="0"/>
              </w:rPr>
              <w:t xml:space="preserve">+$2.83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Rule="auto"/>
              <w:rPr/>
            </w:pPr>
            <w:bookmarkStart w:colFirst="0" w:colLast="0" w:name="_oh3f1edcbb4g" w:id="5"/>
            <w:bookmarkEnd w:id="5"/>
            <w:r w:rsidDel="00000000" w:rsidR="00000000" w:rsidRPr="00000000">
              <w:rPr>
                <w:rtl w:val="0"/>
              </w:rPr>
              <w:t xml:space="preserve">Everything 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spacing w:before="280" w:lineRule="auto"/>
              <w:rPr/>
            </w:pPr>
            <w:bookmarkStart w:colFirst="0" w:colLast="0" w:name="_oh3f1edcbb4g" w:id="5"/>
            <w:bookmarkEnd w:id="5"/>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spacing w:before="280" w:lineRule="auto"/>
              <w:rPr/>
            </w:pPr>
            <w:bookmarkStart w:colFirst="0" w:colLast="0" w:name="_oh3f1edcbb4g" w:id="5"/>
            <w:bookmarkEnd w:id="5"/>
            <w:r w:rsidDel="00000000" w:rsidR="00000000" w:rsidRPr="00000000">
              <w:rPr>
                <w:b w:val="1"/>
                <w:bCs w:val="1"/>
                <w:rtl w:val="0"/>
              </w:rPr>
              <w:t xml:space="preserve">Net LTV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before="280" w:lineRule="auto"/>
              <w:rPr/>
            </w:pPr>
            <w:bookmarkStart w:colFirst="0" w:colLast="0" w:name="_oh3f1edcbb4g" w:id="5"/>
            <w:bookmarkEnd w:id="5"/>
            <w:r w:rsidDel="00000000" w:rsidR="00000000" w:rsidRPr="00000000">
              <w:rPr>
                <w:b w:val="1"/>
                <w:bCs w:val="1"/>
                <w:rtl w:val="0"/>
              </w:rPr>
              <w:t xml:space="preserve">+$10.58</w:t>
            </w:r>
            <w:r w:rsidDel="00000000" w:rsidR="00000000" w:rsidRPr="00000000">
              <w:rPr>
                <w:rtl w:val="0"/>
              </w:rPr>
            </w:r>
          </w:p>
        </w:tc>
      </w:tr>
    </w:tbl>
    <w:p w:rsidR="00000000" w:rsidDel="00000000" w:rsidP="00000000" w:rsidRDefault="00000000" w:rsidRPr="00000000" w14:paraId="00000019">
      <w:pPr>
        <w:pStyle w:val="Heading3"/>
        <w:keepNext w:val="0"/>
        <w:keepLines w:val="0"/>
        <w:spacing w:after="240" w:before="240" w:lineRule="auto"/>
        <w:rPr/>
      </w:pPr>
      <w:bookmarkStart w:colFirst="0" w:colLast="0" w:name="_8whdg2eebbat" w:id="6"/>
      <w:bookmarkEnd w:id="6"/>
      <w:r w:rsidDel="00000000" w:rsidR="00000000" w:rsidRPr="00000000">
        <w:rPr>
          <w:rtl w:val="0"/>
        </w:rPr>
        <w:t xml:space="preserve">Lifetime loss falls sharply, as expected -</w:t>
      </w:r>
      <w:r w:rsidDel="00000000" w:rsidR="00000000" w:rsidRPr="00000000">
        <w:rPr>
          <w:rtl w:val="0"/>
        </w:rPr>
        <w:t xml:space="preserve"> the fitted loss ratio dropped. But the balance factor rises almost exactly as much, offsetting </w:t>
      </w:r>
      <w:r w:rsidDel="00000000" w:rsidR="00000000" w:rsidRPr="00000000">
        <w:rPr>
          <w:b w:val="1"/>
          <w:bCs w:val="1"/>
          <w:rtl w:val="0"/>
        </w:rPr>
        <w:t xml:space="preserve">98.3%</w:t>
      </w:r>
      <w:r w:rsidDel="00000000" w:rsidR="00000000" w:rsidRPr="00000000">
        <w:rPr>
          <w:rtl w:val="0"/>
        </w:rPr>
        <w:t xml:space="preserve"> of it. Balance exists to reconcile modeled loss to a target; when the model predicts less loss, balance makes up the difference. Tax moves $2.83 in the correct direction (less loss means more taxable profit).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the aggregate loss level was never really coming from the fitted curve - it was anchored by balance either way. What the refit changes is the </w:t>
      </w:r>
      <w:r w:rsidDel="00000000" w:rsidR="00000000" w:rsidRPr="00000000">
        <w:rPr>
          <w:i w:val="1"/>
          <w:iCs w:val="1"/>
          <w:rtl w:val="0"/>
        </w:rPr>
        <w:t xml:space="preserve">shape and attribution</w:t>
      </w:r>
      <w:r w:rsidDel="00000000" w:rsidR="00000000" w:rsidRPr="00000000">
        <w:rPr>
          <w:rtl w:val="0"/>
        </w:rPr>
        <w:t xml:space="preserve"> of loss across tenure, not the total. The 1% net movement is the residual after that re-anchoring.</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czsn5lgvcnb" w:id="7"/>
      <w:bookmarkEnd w:id="7"/>
      <w:r w:rsidDel="00000000" w:rsidR="00000000" w:rsidRPr="00000000">
        <w:rPr>
          <w:b w:val="1"/>
          <w:bCs w:val="1"/>
          <w:color w:val="000000"/>
          <w:sz w:val="26"/>
          <w:szCs w:val="26"/>
          <w:rtl w:val="0"/>
        </w:rPr>
        <w:t xml:space="preserve">Where catastrophe losses now sit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Cat Loss Diff = $0.00.</w:t>
      </w:r>
    </w:p>
    <w:p w:rsidR="00000000" w:rsidDel="00000000" w:rsidP="00000000" w:rsidRDefault="00000000" w:rsidRPr="00000000" w14:paraId="0000001D">
      <w:pPr>
        <w:spacing w:after="240" w:before="240" w:lineRule="auto"/>
        <w:rPr/>
      </w:pPr>
      <w:r w:rsidDel="00000000" w:rsidR="00000000" w:rsidRPr="00000000">
        <w:rPr>
          <w:rtl w:val="0"/>
        </w:rPr>
        <w:t xml:space="preserve">This is the direct answer to "if we removed cat from the loss ratio, where does it go?" The pipeline carries catastrophe loss as its own component, and that component is unchanged between releases. The refit affected only the fitted loss ratio - the modeled cat provision was never part of it and did not move.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za6kyykz944" w:id="8"/>
      <w:bookmarkEnd w:id="8"/>
      <w:r w:rsidDel="00000000" w:rsidR="00000000" w:rsidRPr="00000000">
        <w:rPr>
          <w:b w:val="1"/>
          <w:bCs w:val="1"/>
          <w:color w:val="000000"/>
          <w:sz w:val="26"/>
          <w:szCs w:val="26"/>
          <w:rtl w:val="0"/>
        </w:rPr>
        <w:t xml:space="preserve">Clean isolation</w:t>
      </w:r>
    </w:p>
    <w:p w:rsidR="00000000" w:rsidDel="00000000" w:rsidP="00000000" w:rsidRDefault="00000000" w:rsidRPr="00000000" w14:paraId="0000001F">
      <w:pPr>
        <w:spacing w:after="240" w:before="240" w:lineRule="auto"/>
        <w:rPr/>
      </w:pPr>
      <w:r w:rsidDel="00000000" w:rsidR="00000000" w:rsidRPr="00000000">
        <w:rPr>
          <w:rtl w:val="0"/>
        </w:rPr>
        <w:t xml:space="preserve">Every other waterfall term is exactly zero: lifetime premium, claims expense, lifetime expense, commission renew, commission new, acquisition expense, cost of capital, investment income. PLE is identical between releases across every univariate cut - channel, line, state, release month - confirming no retention change is bundled into this comparison.</w:t>
      </w:r>
    </w:p>
    <w:p w:rsidR="00000000" w:rsidDel="00000000" w:rsidP="00000000" w:rsidRDefault="00000000" w:rsidRPr="00000000" w14:paraId="00000020">
      <w:pPr>
        <w:spacing w:after="240" w:before="240" w:lineRule="auto"/>
        <w:rPr/>
      </w:pPr>
      <w:r w:rsidDel="00000000" w:rsidR="00000000" w:rsidRPr="00000000">
        <w:rPr>
          <w:rtl w:val="0"/>
        </w:rPr>
        <w:t xml:space="preserve">Waterfall residuals are near zero throughout (0.08 overall on a ~$1,008 base; largest per-line residual 0.34). The decomposition closes.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jld5bo7a9bt" w:id="9"/>
      <w:bookmarkEnd w:id="9"/>
      <w:r w:rsidDel="00000000" w:rsidR="00000000" w:rsidRPr="00000000">
        <w:rPr>
          <w:b w:val="1"/>
          <w:bCs w:val="1"/>
          <w:color w:val="000000"/>
          <w:sz w:val="26"/>
          <w:szCs w:val="26"/>
          <w:rtl w:val="0"/>
        </w:rPr>
        <w:t xml:space="preserve">The aggregate hides a mix shift</w:t>
      </w:r>
    </w:p>
    <w:p w:rsidR="00000000" w:rsidDel="00000000" w:rsidP="00000000" w:rsidRDefault="00000000" w:rsidRPr="00000000" w14:paraId="00000022">
      <w:pPr>
        <w:spacing w:after="240" w:before="240" w:lineRule="auto"/>
        <w:rPr/>
      </w:pPr>
      <w:r w:rsidDel="00000000" w:rsidR="00000000" w:rsidRPr="00000000">
        <w:rPr>
          <w:rtl w:val="0"/>
        </w:rPr>
        <w:t xml:space="preserve">The overall +$10.58 is a net of movements in different directions: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By line:</w:t>
      </w:r>
      <w:r w:rsidDel="00000000" w:rsidR="00000000" w:rsidRPr="00000000">
        <w:rPr>
          <w:rtl w:val="0"/>
        </w:rPr>
        <w:t xml:space="preserve"> Specialty Auto (16) </w:t>
      </w:r>
      <w:r w:rsidDel="00000000" w:rsidR="00000000" w:rsidRPr="00000000">
        <w:rPr>
          <w:i w:val="1"/>
          <w:iCs w:val="1"/>
          <w:rtl w:val="0"/>
        </w:rPr>
        <w:t xml:space="preserve">falls</w:t>
      </w:r>
      <w:r w:rsidDel="00000000" w:rsidR="00000000" w:rsidRPr="00000000">
        <w:rPr>
          <w:rtl w:val="0"/>
        </w:rPr>
        <w:t xml:space="preserve"> $7.53. Mfg Home (32) rises $2.47. The rest are positive. Line 16 is where the balance offset over-corrects relative to the loss reduction.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By channel:</w:t>
      </w:r>
      <w:r w:rsidDel="00000000" w:rsidR="00000000" w:rsidRPr="00000000">
        <w:rPr>
          <w:rtl w:val="0"/>
        </w:rPr>
        <w:t xml:space="preserve"> Agent +$11.50, CCC +$10.21, Web smaller. Because agent is roughly 3.7M of the joined rows, it dominates the total.</w:t>
      </w:r>
    </w:p>
    <w:p w:rsidR="00000000" w:rsidDel="00000000" w:rsidP="00000000" w:rsidRDefault="00000000" w:rsidRPr="00000000" w14:paraId="00000025">
      <w:pPr>
        <w:spacing w:after="240" w:before="240" w:lineRule="auto"/>
        <w:rPr/>
      </w:pPr>
      <w:r w:rsidDel="00000000" w:rsidR="00000000" w:rsidRPr="00000000">
        <w:rPr>
          <w:rtl w:val="0"/>
        </w:rPr>
        <w:t xml:space="preserve">The redistribution across lines and channels is the substantive change - more so than the aggregate, which is nearly flat by construction.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0vxfkyh3ef1" w:id="10"/>
      <w:bookmarkEnd w:id="10"/>
      <w:r w:rsidDel="00000000" w:rsidR="00000000" w:rsidRPr="00000000">
        <w:rPr>
          <w:b w:val="1"/>
          <w:bCs w:val="1"/>
          <w:color w:val="000000"/>
          <w:sz w:val="26"/>
          <w:szCs w:val="26"/>
          <w:rtl w:val="0"/>
        </w:rPr>
        <w:t xml:space="preserve">Bottom line</w:t>
      </w:r>
    </w:p>
    <w:p w:rsidR="00000000" w:rsidDel="00000000" w:rsidP="00000000" w:rsidRDefault="00000000" w:rsidRPr="00000000" w14:paraId="00000027">
      <w:pPr>
        <w:spacing w:after="240" w:before="240" w:lineRule="auto"/>
        <w:rPr/>
      </w:pPr>
      <w:r w:rsidDel="00000000" w:rsidR="00000000" w:rsidRPr="00000000">
        <w:rPr>
          <w:rtl w:val="0"/>
        </w:rPr>
        <w:t xml:space="preserve">A 15.3-point change to the loss ratio input produces a ~1% change in LTV, because the balance factor re-anchors total loss. Catastrophe loss is accounted for separately and did not move. The meaningful effect is the redistribution across lines and channels, and that is what to watch when this ships.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