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wdcc8kqu5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Decisions from the Meeting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Stop overthinking acquisition item mapping.</w:t>
      </w:r>
      <w:r w:rsidDel="00000000" w:rsidR="00000000" w:rsidRPr="00000000">
        <w:rPr>
          <w:rtl w:val="0"/>
        </w:rPr>
        <w:t xml:space="preserve"> The old code's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acq_expenses_to_keep</w:t>
      </w:r>
      <w:r w:rsidDel="00000000" w:rsidR="00000000" w:rsidRPr="00000000">
        <w:rPr>
          <w:rtl w:val="0"/>
        </w:rPr>
        <w:t xml:space="preserve"> filter (the 8-item override) is being abandoned. Just sum all "A" items as finance labels them. Maryam and Stephanie both said: follow whatever finance defines. Don't second-guess their categories.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No new/renewal split needed.</w:t>
      </w:r>
      <w:r w:rsidDel="00000000" w:rsidR="00000000" w:rsidRPr="00000000">
        <w:rPr>
          <w:rtl w:val="0"/>
        </w:rPr>
        <w:t xml:space="preserve"> The 2026 file doesn't have it, so use the same ratio for both new and renewal. This simplifies things massively.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Need to include Other Property + Other Auto columns too</w:t>
      </w:r>
      <w:r w:rsidDel="00000000" w:rsidR="00000000" w:rsidRPr="00000000">
        <w:rPr>
          <w:rtl w:val="0"/>
        </w:rPr>
        <w:t xml:space="preserve"> — not just Other Specialty. You were only summing one column. Stephanie pointed out the 2026 Excel has multiple "Other" columns. This likely explains the overhead gap (your 5% vs old ~14%).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The implementation path is a preprocessed file swap.</w:t>
      </w:r>
      <w:r w:rsidDel="00000000" w:rsidR="00000000" w:rsidRPr="00000000">
        <w:rPr>
          <w:rtl w:val="0"/>
        </w:rPr>
        <w:t xml:space="preserve"> Stephanie suggested: manually build a new version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p.processed_expense_all</w:t>
      </w:r>
      <w:r w:rsidDel="00000000" w:rsidR="00000000" w:rsidRPr="00000000">
        <w:rPr>
          <w:rtl w:val="0"/>
        </w:rPr>
        <w:t xml:space="preserve"> with the 2026 ratios, modify the join key from "other" (line text) to numeric line codes (016, 032, 072, etc.), and run the existing LTV pipeline. Minimal code change — just the join variable and the preprocessed parquet.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Commissions stay separate.</w:t>
      </w:r>
      <w:r w:rsidDel="00000000" w:rsidR="00000000" w:rsidRPr="00000000">
        <w:rPr>
          <w:rtl w:val="0"/>
        </w:rPr>
        <w:t xml:space="preserve"> Don't mix them in. Maryam's team (home LTV) already modified their pipeline to handle commissions separately — ask her for the PR/code diff.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Claims and Marketing are straightforward</w:t>
      </w:r>
      <w:r w:rsidDel="00000000" w:rsidR="00000000" w:rsidRPr="00000000">
        <w:rPr>
          <w:rtl w:val="0"/>
        </w:rPr>
        <w:t xml:space="preserve"> — one row each from the 2026 file.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td6j6uu4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kcrhmkmei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Next Steps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(today/tomorrow):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Redo the SUMIF calculation adding Other Property + Other Auto columns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ratios by numeric line (not just total) for all 5 categories: A, L, O, Claims, Advertising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each by earned premium to get per-line ratios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week: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build the new preprocessed expense parquet matching the old format (channel × line), replicating each ratio 6 times (3 channels × 2 N/R) since we lost those dimensions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join key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join_prem_with_expenses</w:t>
      </w:r>
      <w:r w:rsidDel="00000000" w:rsidR="00000000" w:rsidRPr="00000000">
        <w:rPr>
          <w:rtl w:val="0"/>
        </w:rPr>
        <w:t xml:space="preserve"> from text line to numeric line codes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pipeline with the swapped file, get new LTV numbers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delta (old LTV minus new LTV) — that's the material for finance's decision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on: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Maryam's commission PR/code diff to replicate for SPL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