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 Knowledge Base: Proposed Sources for SME Approval</w:t>
      </w:r>
    </w:p>
    <w:p>
      <w:r>
        <w:t>Date: 2026-10-28</w:t>
      </w:r>
    </w:p>
    <w:p>
      <w:pPr>
        <w:pStyle w:val="Heading2"/>
      </w:pPr>
      <w:r>
        <w:t>Purpose</w:t>
      </w:r>
    </w:p>
    <w:p>
      <w:r>
        <w:t>Please approve the sources the behavioral health (BH) knowledge base will be built from. For each source in sections 4 and 5, write Approve, Change or Reject in the Decision column and add a note if needed. Then answer the questions in section 7.</w:t>
      </w:r>
    </w:p>
    <w:p>
      <w:r>
        <w:t>Approving a source means it is collected, versioned and cited. It does not approve any rule taken from it: every rule still goes through rule-level review and a named sign-off before it can be checked against claims.</w:t>
      </w:r>
    </w:p>
    <w:p>
      <w:pPr>
        <w:pStyle w:val="Heading2"/>
      </w:pPr>
      <w:r>
        <w:t>Scope</w:t>
      </w:r>
    </w:p>
    <w:p>
      <w:r>
        <w:t>The knowledge base covers Title XIX/XXI behavioral health services paid fee-for-service (FFS) by AHCCCS or by its managed care health plans. Each rule records which delivery system, programs and plans it applies to.</w:t>
      </w:r>
    </w:p>
    <w:p>
      <w:pPr>
        <w:pStyle w:val="ListBullet"/>
      </w:pPr>
      <w:r>
        <w:rPr>
          <w:b/>
        </w:rPr>
        <w:t xml:space="preserve">Members: </w:t>
      </w:r>
      <w:r>
        <w:t>American Indian Health Program (AIHP), AIHP with a Tribal Regional Behavioral Health Authority (TRBHA), Tribal ALTCS, and the DDD Tribal Health Program. Managed care members (ACC, ACC-RBHA, ALTCS-EPD, DDD, CMDP) are also in scope (added 2026-10-28).</w:t>
      </w:r>
    </w:p>
    <w:p>
      <w:pPr>
        <w:pStyle w:val="ListBullet"/>
      </w:pPr>
      <w:r>
        <w:rPr>
          <w:b/>
        </w:rPr>
        <w:t xml:space="preserve">Providers: </w:t>
      </w:r>
      <w:r>
        <w:t>any AHCCCS-registered FFS provider, including BH outpatient clinics (provider type 77), integrated clinics (IC), BH residential facilities (B8), BH professionals, and IHS and tribally operated 638 facilities.</w:t>
      </w:r>
    </w:p>
    <w:p>
      <w:pPr>
        <w:pStyle w:val="ListBullet"/>
      </w:pPr>
      <w:r>
        <w:rPr>
          <w:b/>
        </w:rPr>
        <w:t xml:space="preserve">Services: </w:t>
      </w:r>
      <w:r>
        <w:t>outpatient, residential, crisis, case management, peer support and opioid treatment. Non-Title XIX/XXI (block grant) services are out of scope.</w:t>
      </w:r>
    </w:p>
    <w:p>
      <w:pPr>
        <w:pStyle w:val="ListBullet"/>
      </w:pPr>
      <w:r>
        <w:rPr>
          <w:b/>
        </w:rPr>
        <w:t xml:space="preserve">Codes: </w:t>
      </w:r>
      <w:r>
        <w:t>the codes listed in the Behavioral Health Services Matrix (B2) form the code list; every rule attaches to one or more of these codes.</w:t>
      </w:r>
    </w:p>
    <w:p>
      <w:pPr>
        <w:pStyle w:val="ListBullet"/>
      </w:pPr>
      <w:r>
        <w:rPr>
          <w:b/>
        </w:rPr>
        <w:t xml:space="preserve">Dates: </w:t>
      </w:r>
      <w:r>
        <w:t>every source is kept by version. A claim is judged by the version in force on its date of service. The current claims window starts 2024-10-01 (see question 7).</w:t>
      </w:r>
    </w:p>
    <w:p>
      <w:pPr>
        <w:pStyle w:val="Heading2"/>
      </w:pPr>
      <w:r>
        <w:t>How sources enter the knowledge base</w:t>
      </w:r>
    </w:p>
    <w:p>
      <w:r>
        <w:t>Each source enters by one of three methods, and each carries an authority level so conflicts can be labelled.</w:t>
      </w:r>
    </w:p>
    <w:p>
      <w:r>
        <w:rPr>
          <w:b/>
        </w:rPr>
        <w:t>Methods</w:t>
      </w:r>
      <w:r/>
    </w:p>
    <w:p>
      <w:pPr>
        <w:pStyle w:val="ListBullet"/>
      </w:pPr>
      <w:r>
        <w:rPr>
          <w:b/>
        </w:rPr>
        <w:t xml:space="preserve">Table: </w:t>
      </w:r>
      <w:r>
        <w:t>a spreadsheet read cell by cell by a program, with no language model. Every rule cites its sheet and cell.</w:t>
      </w:r>
    </w:p>
    <w:p>
      <w:pPr>
        <w:pStyle w:val="ListBullet"/>
      </w:pPr>
      <w:r>
        <w:rPr>
          <w:b/>
        </w:rPr>
        <w:t xml:space="preserve">Review: </w:t>
      </w:r>
      <w:r>
        <w:t>narrative text. A pattern layer and a language model propose rules, a program checks each one against the exact source text, and a named reviewer approves, fixes or rejects it.</w:t>
      </w:r>
    </w:p>
    <w:p>
      <w:pPr>
        <w:pStyle w:val="ListBullet"/>
      </w:pPr>
      <w:r>
        <w:rPr>
          <w:b/>
        </w:rPr>
        <w:t xml:space="preserve">Reference: </w:t>
      </w:r>
      <w:r>
        <w:t>stored, versioned and cited when relevant, but no rules are extracted from it.</w:t>
      </w:r>
    </w:p>
    <w:p>
      <w:r>
        <w:rPr>
          <w:b/>
        </w:rPr>
        <w:t>Authority levels (proposed order, highest first)</w:t>
      </w:r>
      <w:r/>
    </w:p>
    <w:p>
      <w:pPr>
        <w:pStyle w:val="ListNumber"/>
      </w:pPr>
      <w:r>
        <w:t>Federal law and regulation</w:t>
      </w:r>
    </w:p>
    <w:p>
      <w:pPr>
        <w:pStyle w:val="ListNumber"/>
      </w:pPr>
      <w:r>
        <w:t>Arizona statute and administrative rule (A.R.S., A.A.C.)</w:t>
      </w:r>
    </w:p>
    <w:p>
      <w:pPr>
        <w:pStyle w:val="ListNumber"/>
      </w:pPr>
      <w:r>
        <w:t>AHCCCS Medical Policy Manual (AMPM)</w:t>
      </w:r>
    </w:p>
    <w:p>
      <w:pPr>
        <w:pStyle w:val="ListNumber"/>
      </w:pPr>
      <w:r>
        <w:t>AHCCCS billing manuals (FFS, IHS/Tribal)</w:t>
      </w:r>
    </w:p>
    <w:p>
      <w:pPr>
        <w:pStyle w:val="ListNumber"/>
      </w:pPr>
      <w:r>
        <w:t>AHCCCS guides and reference tables (CBHSG, B2 matrix, Same Day Disallow, daily limits)</w:t>
      </w:r>
    </w:p>
    <w:p>
      <w:pPr>
        <w:pStyle w:val="ListNumber"/>
      </w:pPr>
      <w:r>
        <w:t>AHCCCS notices (Claims Clues)</w:t>
      </w:r>
    </w:p>
    <w:p>
      <w:r>
        <w:t>AHCCCS describes the CBHSG and the B2 matrix as guides; the binding values sit in its claims system (PMMIS). When two sources disagree, the knowledge base records both and flags the conflict; it never picks a winner silently. Health plan policies sit below level 6 and apply only to that plan's members. Question 1 asks whether this order is right.</w:t>
      </w:r>
    </w:p>
    <w:p>
      <w:pPr>
        <w:pStyle w:val="Heading2"/>
      </w:pPr>
      <w:r>
        <w:t>AHCCCS sources</w:t>
      </w:r>
    </w:p>
    <w:p>
      <w:r>
        <w:t>We propose 27 AHCCCS sources: 14 first priority, 4 already loaded. Level = authority level from section 3. Priority: P1 = first build, P2 = after P1 is scored, P3 = reference when needed.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rPr>
          <w:tblHeader w:val="true"/>
        </w:trPr>
        <w:tc>
          <w:tcPr>
            <w:tcW w:type="dxa" w:w="576"/>
            <w:shd w:val="clear" w:color="auto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3744"/>
            <w:shd w:val="clear" w:color="auto" w:fill="D9E2F3"/>
          </w:tcPr>
          <w:p>
            <w:r/>
            <w:r>
              <w:rPr>
                <w:b/>
                <w:sz w:val="18"/>
              </w:rPr>
              <w:t>What it adds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648"/>
            <w:shd w:val="clear" w:color="auto" w:fill="D9E2F3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2"/>
            <w:shd w:val="clear" w:color="auto" w:fill="D9E2F3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Behavioral Health Services Matrix (B2) (Medical Coding Resources page)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Code list: provider types, modifiers and place of service per BH code. Published monthly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Table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Loaded (10/1/2026 only)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Same Day Disallow Table (Medical Coding Resources page)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Code pairs not billable on the same day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Table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Loaded (10/1/2026)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HCPCS/CPT Daily Limits Guidelines (Medical Coding Resources page)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Daily unit caps per code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Table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Loaded (9/14/2026)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Telehealth Code Set (Medical Coding Resources page)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Codes allowed by telehealth, with modifiers and place of service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Table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FFS Prior Authorization Guidelines (Medical Coding Resources page)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Whether a code needs prior authorization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Table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AHCCCS Outpatient BH Diagnosis List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Diagnoses accepted for outpatient BH; claims carry diagnosis codes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Table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New; file to locate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Covered Behavioral Health Services Guide (CBHSG)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Service definitions, units, provider types, core billing limitations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Review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FFS Provider Billing Manual, Ch 19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FFS BH billing rules; extracted once, to re-extract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Review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Loaded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IHS/Tribal Provider Billing Manual, Ch 12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BH billing by IHS and 638 facilities at the All-Inclusive Rate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Review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AMPM 310-B, Title XIX/XXI BH Service Benefit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BH benefit, medical necessity, emergency BH without prior authorization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Review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AMPM 320-V, BH Residential Facilities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BHRF per diem, services not billable separately, prior authorization, admission and continued stay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Review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AMPM 320-O, BH Assessments and Treatment Planning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Assessment and treatment plan requirements; mostly documentation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Review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AMPM 320-I, Telehealth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Telehealth service delivery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Review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A14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AMPM 590, BH Crisis Services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Crisis services and coordination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Review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AMPM 610, Provider Qualifications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Who may deliver each service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Review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A16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AMPM 660, Opioid Treatment Program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Opioid treatment program requirements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Review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A17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AMPM 963, Peer and Recovery Support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Peer support; credential required for payment. FFS applicability to confirm (question 4)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Review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A18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AMPM 1620-G, BH Standards (Tribal ALTCS)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BH standards for Tribal ALTCS members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Review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A19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AMPM Exhibit 300-2A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Which BH services each program covers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Table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A.A.C. R9-22 Article 12 and R9-22-210.01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BH definitions, scope (R9-22-1205), qualified providers (R9-22-1206), emergency BH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Review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A21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A.A.C. Title 9, Ch 21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Services for people with serious mental illness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Reference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A22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A.R.S. 36-2907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Statutory list of covered services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Reference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A23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Claims Clues BH notices (May 2023, Jul 2023, Feb 2024)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Unit thresholds that require records with the claim; one BH per diem code per day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Review, read by hand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A24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ACOM 432, Attachment A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Which payer is responsible for a service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Reference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A25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PEP-903 provider type list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Provider type codes and names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Table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Arizona 1115 waiver, Special Terms and Conditions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Federal exceptions granted to Arizona; IMD status to confirm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Reference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A27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PMMIS reference tables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AHCCCS system of record for code, provider type and limit edits, if AHCCCS will share them (question 2)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Table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Requested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Federal sources</w:t>
      </w:r>
    </w:p>
    <w:p>
      <w:r>
        <w:t>We propose 10 federal sources. Only the NCCI edits (F1) and code descriptors (F3) produce claim checks directly; the rest supply authority, exceptions or limits on data use.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 w:val="true"/>
        </w:trPr>
        <w:tc>
          <w:tcPr>
            <w:tcW w:type="dxa" w:w="576"/>
            <w:shd w:val="clear" w:color="auto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312"/>
            <w:shd w:val="clear" w:color="auto" w:fill="D9E2F3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8"/>
              </w:rPr>
              <w:t>What it adds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2"/>
            <w:shd w:val="clear" w:color="auto" w:fill="D9E2F3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F1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Medicaid NCCI PTP and MUE edit files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Code pairs and units per line for BH codes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Table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Loaded (CMS public files; Arizona RISSNET files requested)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F2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Medicaid NCCI Policy Manual, Ch XI section C, Psychiatric Services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CMS explanation of the edits on psychiatric CPT codes (908xx)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Reference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F3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CPT and HCPCS Level II code descriptors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Unit definitions (per 15 minutes, per hour, per diem) and code start and end dates; CPT text is AMA-licensed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Table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New; license to check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F4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42 CFR 440.130(d), rehabilitative services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Federal basis of the AHCCCS BH benefit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Reference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F5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42 CFR 441 Subpart D and the IMD exclusion (SSA 1905(a)(30)(B))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Inpatient psychiatric care under 21; limits on payment in institutions for mental disease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Reference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F6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EPSDT, SSA 1905(r)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Under-21 exceptions to service limits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Reference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F7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42 CFR Part 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Federal certification of opioid treatment programs (methadone billers)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Reference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F8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42 CFR Part 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Limits on how substance use disorder records may be used; governs our data handling, not claim rules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Reference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F9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42 CFR 447.45 and 455.440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Timely filing; ordering and referring providers must be enrolled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Review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F10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HHS-OIG exclusion list (LEIE)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Excluded providers, matched by NPI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Table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Managed care sources (added 2026-10-28)</w:t>
      </w:r>
    </w:p>
    <w:p>
      <w:r>
        <w:t>We propose 6 sources for managed care rules. Most AHCCCS sources above already apply to the plans too (AHCCCS states the CBHSG applies to all plans and registered providers); these add what is specific to managed care. Level 7 = health plan policy, binding only that plan's members.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rPr>
          <w:tblHeader w:val="true"/>
        </w:trPr>
        <w:tc>
          <w:tcPr>
            <w:tcW w:type="dxa" w:w="576"/>
            <w:shd w:val="clear" w:color="auto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3744"/>
            <w:shd w:val="clear" w:color="auto" w:fill="D9E2F3"/>
          </w:tcPr>
          <w:p>
            <w:r/>
            <w:r>
              <w:rPr>
                <w:b/>
                <w:sz w:val="18"/>
              </w:rPr>
              <w:t>What it adds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648"/>
            <w:shd w:val="clear" w:color="auto" w:fill="D9E2F3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2"/>
            <w:shd w:val="clear" w:color="auto" w:fill="D9E2F3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M1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AHCCCS Contractor Operations Manual (ACOM)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Plan duties on claims payment, prior authorization, provider manuals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Review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M2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AHCCCS contracts: ACC, ACC-RBHA, ALTCS-EPD, DDD, CMDP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Covered services, claims and encounter requirements, any requirement to apply NCCI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Review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M3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AHCCCS encounter manual and encounter edits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How AHCCCS edits plan encounters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Review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M4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42 CFR Part 438 (Medicaid managed care), incl. 438.210 and Subpart K (parity)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Federal coverage, authorization and parity rules for plans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Reference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M5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Health plan provider manuals and claims policies (each plan)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Plan billing rules for its network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Review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M6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Health plan BH prior authorization and medical necessity criteria (each plan)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Plan criteria, e.g. for BHRF admission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Review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Sources we propose to leave out</w:t>
      </w:r>
    </w:p>
    <w:p>
      <w:r>
        <w:t>These were considered and left out because they do not govern FFS BH claims. Tell us if any should come back.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5184"/>
            <w:shd w:val="clear" w:color="auto" w:fill="D9E2F3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8640"/>
            <w:shd w:val="clear" w:color="auto" w:fill="D9E2F3"/>
          </w:tcPr>
          <w:p>
            <w:r/>
            <w:r>
              <w:rPr>
                <w:b/>
                <w:sz w:val="18"/>
              </w:rPr>
              <w:t>Why it is left out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AMPM 320-T, 320-T1, 320-T2 and Exhibit 300-2B</w:t>
            </w:r>
          </w:p>
        </w:tc>
        <w:tc>
          <w:tcPr>
            <w:tcW w:type="dxa" w:w="8640"/>
          </w:tcPr>
          <w:p>
            <w:r/>
            <w:r>
              <w:rPr>
                <w:sz w:val="18"/>
              </w:rPr>
              <w:t>Non-Title XIX/XXI (block grant) funding, not Medicaid claims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ASAM Criteria, CARF and Joint Commission standards</w:t>
            </w:r>
          </w:p>
        </w:tc>
        <w:tc>
          <w:tcPr>
            <w:tcW w:type="dxa" w:w="8640"/>
          </w:tcPr>
          <w:p>
            <w:r/>
            <w:r>
              <w:rPr>
                <w:sz w:val="18"/>
              </w:rPr>
              <w:t>Clinical and accreditation standards. AMPM 320-O lists ASAM as optional for FFS; ASAM is licensed content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ADHS licensing rules (A.A.C. Title 9, Ch 10) and Board of Behavioral Health Examiners rules</w:t>
            </w:r>
          </w:p>
        </w:tc>
        <w:tc>
          <w:tcPr>
            <w:tcW w:type="dxa" w:w="8640"/>
          </w:tcPr>
          <w:p>
            <w:r/>
            <w:r>
              <w:rPr>
                <w:sz w:val="18"/>
              </w:rPr>
              <w:t>Facility and professional licensing; nothing on a claim shows it. Kept as background only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AHCCCS fee schedules</w:t>
            </w:r>
          </w:p>
        </w:tc>
        <w:tc>
          <w:tcPr>
            <w:tcW w:type="dxa" w:w="8640"/>
          </w:tcPr>
          <w:p>
            <w:r/>
            <w:r>
              <w:rPr>
                <w:sz w:val="18"/>
              </w:rPr>
              <w:t>Pricing. AHCCCS states a listed rate does not mean a service is covered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SAMHSA guidance</w:t>
            </w:r>
          </w:p>
        </w:tc>
        <w:tc>
          <w:tcPr>
            <w:tcW w:type="dxa" w:w="8640"/>
          </w:tcPr>
          <w:p>
            <w:r/>
            <w:r>
              <w:rPr>
                <w:sz w:val="18"/>
              </w:rPr>
              <w:t>Not a Medicaid payment authority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Reports on the 2023 sober living fraud</w:t>
            </w:r>
          </w:p>
        </w:tc>
        <w:tc>
          <w:tcPr>
            <w:tcW w:type="dxa" w:w="8640"/>
          </w:tcPr>
          <w:p>
            <w:r/>
            <w:r>
              <w:rPr>
                <w:sz w:val="18"/>
              </w:rPr>
              <w:t>Used to set priorities, not as rules</w:t>
            </w:r>
          </w:p>
        </w:tc>
      </w:tr>
    </w:tbl>
    <w:p/>
    <w:p>
      <w:pPr>
        <w:pStyle w:val="Heading2"/>
      </w:pPr>
      <w:r>
        <w:t>Questions for you</w:t>
      </w:r>
    </w:p>
    <w:p>
      <w:r>
        <w:t>These answers decide how conflicts are labelled and what the first build covers.</w:t>
      </w:r>
    </w:p>
    <w:p>
      <w:pPr>
        <w:pStyle w:val="ListNumber"/>
      </w:pPr>
      <w:r>
        <w:rPr>
          <w:b/>
        </w:rPr>
        <w:t xml:space="preserve">Which source wins when they disagree? </w:t>
      </w:r>
      <w:r>
        <w:t>Example: for H0035, Chapter 19 lists provider types B2, B5, 02 and 71; the B2 matrix lists 02, 71, B5 and B6. Is the order in section 3 right, or does a newer, more specific source outrank an older, more general one?</w:t>
      </w:r>
    </w:p>
    <w:p>
      <w:pPr>
        <w:pStyle w:val="ListNumber"/>
      </w:pPr>
      <w:r>
        <w:rPr>
          <w:b/>
        </w:rPr>
        <w:t xml:space="preserve">Are the CBHSG and B2 matrix enforceable, or do they describe PMMIS? </w:t>
      </w:r>
      <w:r>
        <w:t>If AHCCCS can share the PMMIS reference tables (A27), they would replace the guides as the main source for code-level rules.</w:t>
      </w:r>
    </w:p>
    <w:p>
      <w:pPr>
        <w:pStyle w:val="ListNumber"/>
      </w:pPr>
      <w:r>
        <w:rPr>
          <w:b/>
        </w:rPr>
        <w:t xml:space="preserve">B2 matrix history. </w:t>
      </w:r>
      <w:r>
        <w:t>AHCCCS publishes it monthly. Can we get past monthly versions back to October 2024, or does the revisions tab in the current file record every change with its date?</w:t>
      </w:r>
    </w:p>
    <w:p>
      <w:pPr>
        <w:pStyle w:val="ListNumber"/>
      </w:pPr>
      <w:r>
        <w:rPr>
          <w:b/>
        </w:rPr>
        <w:t xml:space="preserve">AMPM 963. </w:t>
      </w:r>
      <w:r>
        <w:t>Does it apply to FFS programs? A 2020 revision removed its FFS applicability; we cannot tell whether a later version restored it.</w:t>
      </w:r>
    </w:p>
    <w:p>
      <w:pPr>
        <w:pStyle w:val="ListNumber"/>
      </w:pPr>
      <w:r>
        <w:rPr>
          <w:b/>
        </w:rPr>
        <w:t xml:space="preserve">Claims Clues unit thresholds. </w:t>
      </w:r>
      <w:r>
        <w:t>They require records with the claim above a number of units; they do not cap units. We plan to use them to rank providers for review, not as violations. Do you agree?</w:t>
      </w:r>
    </w:p>
    <w:p>
      <w:pPr>
        <w:pStyle w:val="ListNumber"/>
      </w:pPr>
      <w:r>
        <w:rPr>
          <w:b/>
        </w:rPr>
        <w:t xml:space="preserve">Rules written by your team. </w:t>
      </w:r>
      <w:r>
        <w:t>May your team write BH rules directly from these sources (labelled as SME-written, same review and sign-off), or must every rule come from the extraction program?</w:t>
      </w:r>
    </w:p>
    <w:p>
      <w:pPr>
        <w:pStyle w:val="ListNumber"/>
      </w:pPr>
      <w:r>
        <w:rPr>
          <w:b/>
        </w:rPr>
        <w:t xml:space="preserve">Claims before October 2024. </w:t>
      </w:r>
      <w:r>
        <w:t>Are 2019 to 2024 BH claims in scope? If so, we also need the table versions from those years.</w:t>
      </w:r>
    </w:p>
    <w:p>
      <w:pPr>
        <w:pStyle w:val="ListNumber"/>
      </w:pPr>
      <w:r>
        <w:rPr>
          <w:b/>
        </w:rPr>
        <w:t xml:space="preserve">IHS and 638 claims. </w:t>
      </w:r>
      <w:r>
        <w:t>These bill BH on the UB-04 form. Our claims extract holds UB-04 lines (forms I, O and L), but outpatient UB-04 lines (form O) carry no procedure code. Where is the HCPCS code for those lines?</w:t>
      </w:r>
    </w:p>
    <w:p>
      <w:pPr>
        <w:pStyle w:val="ListNumber"/>
      </w:pPr>
      <w:r>
        <w:rPr>
          <w:b/>
        </w:rPr>
        <w:t xml:space="preserve">Anything missing? </w:t>
      </w:r>
      <w:r>
        <w:t>Name any source your team relies on that is not listed.</w:t>
      </w:r>
    </w:p>
    <w:p>
      <w:pPr>
        <w:pStyle w:val="ListNumber"/>
      </w:pPr>
      <w:r>
        <w:rPr>
          <w:b/>
        </w:rPr>
        <w:t xml:space="preserve">Managed care encounters. </w:t>
      </w:r>
      <w:r>
        <w:t>Are plan encounters (including plan-paid amounts and plan ids) in a table we can reach? Until they are, managed care rules are kept as knowledge only and run against no claims.</w:t>
      </w:r>
    </w:p>
    <w:p>
      <w:pPr>
        <w:pStyle w:val="Heading2"/>
      </w:pPr>
      <w:r>
        <w:t>Sign-off</w:t>
      </w:r>
    </w:p>
    <w:p>
      <w:r>
        <w:t>Once every Decision is filled and the questions answered, sign below. Sources marked Change are collected only after the change is agreed.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3600"/>
            <w:shd w:val="clear" w:color="auto" w:fill="D9E2F3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3600"/>
            <w:shd w:val="clear" w:color="auto" w:fill="D9E2F3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5040"/>
            <w:shd w:val="clear" w:color="auto" w:fill="D9E2F3"/>
          </w:tcPr>
          <w:p>
            <w:r/>
            <w:r>
              <w:rPr>
                <w:b/>
                <w:sz w:val="18"/>
              </w:rPr>
              <w:t>Approval (Approved / Approved with changes / Not approved)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SME, behavioral health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Data scientist, PIE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Source links</w:t>
      </w:r>
    </w:p>
    <w:p>
      <w:pPr>
        <w:pStyle w:val="ListBullet"/>
      </w:pPr>
      <w:r>
        <w:rPr>
          <w:b/>
        </w:rPr>
        <w:t xml:space="preserve">Medical Coding Resources (A1 to A5): </w:t>
      </w:r>
      <w:r>
        <w:t>https://azahcccs.gov/PlansProviders/MedicalCodingResources.html</w:t>
      </w:r>
    </w:p>
    <w:p>
      <w:pPr>
        <w:pStyle w:val="ListBullet"/>
      </w:pPr>
      <w:r>
        <w:rPr>
          <w:b/>
        </w:rPr>
        <w:t xml:space="preserve">CBHSG (A7): </w:t>
      </w:r>
      <w:r>
        <w:t>https://azahcccs.gov/PlansProviders/Downloads/MedicalCodingResources/AHCCCSCoveredBHServicesManual.pdf</w:t>
      </w:r>
    </w:p>
    <w:p>
      <w:pPr>
        <w:pStyle w:val="ListBullet"/>
      </w:pPr>
      <w:r>
        <w:rPr>
          <w:b/>
        </w:rPr>
        <w:t xml:space="preserve">FFS Billing Manual Ch 19 (A8): </w:t>
      </w:r>
      <w:r>
        <w:t>https://www.azahcccs.gov/PlansProviders/Downloads/FFSProviderManual/FFS_Chap19BehavioralHealth.pdf</w:t>
      </w:r>
    </w:p>
    <w:p>
      <w:pPr>
        <w:pStyle w:val="ListBullet"/>
      </w:pPr>
      <w:r>
        <w:rPr>
          <w:b/>
        </w:rPr>
        <w:t xml:space="preserve">IHS/Tribal Billing Manual Ch 12 (A9): </w:t>
      </w:r>
      <w:r>
        <w:t>https://azahcccs.gov/PlansProviders/Downloads/IHS-TribalManual/IHS-Chap12BehavioralHealth.pdf</w:t>
      </w:r>
    </w:p>
    <w:p>
      <w:pPr>
        <w:pStyle w:val="ListBullet"/>
      </w:pPr>
      <w:r>
        <w:rPr>
          <w:b/>
        </w:rPr>
        <w:t xml:space="preserve">AMPM index (A10 to A18): </w:t>
      </w:r>
      <w:r>
        <w:t>https://azahcccs.gov/shared/MedicalPolicyManual/</w:t>
      </w:r>
    </w:p>
    <w:p>
      <w:pPr>
        <w:pStyle w:val="ListBullet"/>
      </w:pPr>
      <w:r>
        <w:rPr>
          <w:b/>
        </w:rPr>
        <w:t xml:space="preserve">AMPM 310-B (A10): </w:t>
      </w:r>
      <w:r>
        <w:t>https://www.azahcccs.gov/shared/Downloads/MedicalPolicyManual/300/310B.pdf</w:t>
      </w:r>
    </w:p>
    <w:p>
      <w:pPr>
        <w:pStyle w:val="ListBullet"/>
      </w:pPr>
      <w:r>
        <w:rPr>
          <w:b/>
        </w:rPr>
        <w:t xml:space="preserve">AMPM 320-V (A11): </w:t>
      </w:r>
      <w:r>
        <w:t>https://www.azahcccs.gov/shared/Downloads/MedicalPolicyManual/300/320-V.pdf</w:t>
      </w:r>
    </w:p>
    <w:p>
      <w:pPr>
        <w:pStyle w:val="ListBullet"/>
      </w:pPr>
      <w:r>
        <w:rPr>
          <w:b/>
        </w:rPr>
        <w:t xml:space="preserve">AMPM 963 (A17): </w:t>
      </w:r>
      <w:r>
        <w:t>https://www.azahcccs.gov/shared/Downloads/MedicalPolicyManual/900/963.pdf</w:t>
      </w:r>
    </w:p>
    <w:p>
      <w:pPr>
        <w:pStyle w:val="ListBullet"/>
      </w:pPr>
      <w:r>
        <w:rPr>
          <w:b/>
        </w:rPr>
        <w:t xml:space="preserve">AMPM Exhibit 300-2A (A19): </w:t>
      </w:r>
      <w:r>
        <w:t>https://www.azahcccs.gov/shared/Downloads/MedicalPolicyManual/300/Exhibit300-2A.pdf</w:t>
      </w:r>
    </w:p>
    <w:p>
      <w:pPr>
        <w:pStyle w:val="ListBullet"/>
      </w:pPr>
      <w:r>
        <w:rPr>
          <w:b/>
        </w:rPr>
        <w:t xml:space="preserve">A.A.C. R9-22-1205 (A20): </w:t>
      </w:r>
      <w:r>
        <w:t>https://www.law.cornell.edu/regulations/arizona/Ariz-Admin-Code-SS-R9-22-1205</w:t>
      </w:r>
    </w:p>
    <w:p>
      <w:pPr>
        <w:pStyle w:val="ListBullet"/>
      </w:pPr>
      <w:r>
        <w:rPr>
          <w:b/>
        </w:rPr>
        <w:t xml:space="preserve">A.A.C. Title 9 Ch 21 (A21): </w:t>
      </w:r>
      <w:r>
        <w:t>https://regulations.justia.com/states/arizona/title-9/chapter-21</w:t>
      </w:r>
    </w:p>
    <w:p>
      <w:pPr>
        <w:pStyle w:val="ListBullet"/>
      </w:pPr>
      <w:r>
        <w:rPr>
          <w:b/>
        </w:rPr>
        <w:t xml:space="preserve">Claims Clues May 2023 (A23): </w:t>
      </w:r>
      <w:r>
        <w:t>https://www.azahcccs.gov/PlansProviders/Downloads/ClaimsClues/2023/ClarificationOfBillingRequirementsForBHOC.pdf</w:t>
      </w:r>
    </w:p>
    <w:p>
      <w:pPr>
        <w:pStyle w:val="ListBullet"/>
      </w:pPr>
      <w:r>
        <w:rPr>
          <w:b/>
        </w:rPr>
        <w:t xml:space="preserve">BH billing update Jul 2023 (A23): </w:t>
      </w:r>
      <w:r>
        <w:t>https://azahcccs.gov/Resources/Downloads/DFSMTraining/2023/7-14-2023Update-OutpatientBH-BillingCodes.pdf</w:t>
      </w:r>
    </w:p>
    <w:p>
      <w:pPr>
        <w:pStyle w:val="ListBullet"/>
      </w:pPr>
      <w:r>
        <w:rPr>
          <w:b/>
        </w:rPr>
        <w:t xml:space="preserve">Claims Clues Feb 2024 (A23): </w:t>
      </w:r>
      <w:r>
        <w:t>https://www.azahcccs.gov/PlansProviders/Downloads/ClaimsClues/2024/Feb2024-SpecialEdition_02062024.pdf</w:t>
      </w:r>
    </w:p>
    <w:p>
      <w:pPr>
        <w:pStyle w:val="ListBullet"/>
      </w:pPr>
      <w:r>
        <w:rPr>
          <w:b/>
        </w:rPr>
        <w:t xml:space="preserve">PEP-903 (A25): </w:t>
      </w:r>
      <w:r>
        <w:t>https://www.azahcccs.gov/PlansProviders/Downloads/apep/PEP-903.xlsx</w:t>
      </w:r>
    </w:p>
    <w:p>
      <w:pPr>
        <w:pStyle w:val="ListBullet"/>
      </w:pPr>
      <w:r>
        <w:rPr>
          <w:b/>
        </w:rPr>
        <w:t xml:space="preserve">Arizona 1115 waiver (A26): </w:t>
      </w:r>
      <w:r>
        <w:t>https://www.azahcccs.gov/Resources/Federal/waiver.html</w:t>
      </w:r>
    </w:p>
    <w:p>
      <w:pPr>
        <w:pStyle w:val="ListBullet"/>
      </w:pPr>
      <w:r>
        <w:rPr>
          <w:b/>
        </w:rPr>
        <w:t xml:space="preserve">CMS Medicaid NCCI (F1): </w:t>
      </w:r>
      <w:r>
        <w:t>https://www.cms.gov/medicare/coding-billing/ncci-medicaid</w:t>
      </w:r>
    </w:p>
    <w:p>
      <w:pPr>
        <w:pStyle w:val="ListBullet"/>
      </w:pPr>
      <w:r>
        <w:rPr>
          <w:b/>
        </w:rPr>
        <w:t xml:space="preserve">2026 Medicaid NCCI Policy Manual (F2): </w:t>
      </w:r>
      <w:r>
        <w:t>https://www.cms.gov/files/document/2026-ncci-medicaid-policy-manual.pdf</w:t>
      </w:r>
    </w:p>
    <w:p>
      <w:pPr>
        <w:pStyle w:val="ListBullet"/>
      </w:pPr>
      <w:r>
        <w:rPr>
          <w:b/>
        </w:rPr>
        <w:t xml:space="preserve">eCFR Title 42 (F4, F5, F7, F8, F9): </w:t>
      </w:r>
      <w:r>
        <w:t>https://www.ecfr.gov/current/title-42</w:t>
      </w:r>
    </w:p>
    <w:p>
      <w:pPr>
        <w:pStyle w:val="ListBullet"/>
      </w:pPr>
      <w:r>
        <w:rPr>
          <w:b/>
        </w:rPr>
        <w:t xml:space="preserve">HHS-OIG LEIE (F10): </w:t>
      </w:r>
      <w:r>
        <w:t>https://oig.hhs.gov/exclusions/</w:t>
      </w:r>
    </w:p>
    <w:p>
      <w:pPr>
        <w:pStyle w:val="ListBullet"/>
      </w:pPr>
      <w:r>
        <w:rPr>
          <w:b/>
        </w:rPr>
        <w:t xml:space="preserve">AHCCCS encounter resources (M3): </w:t>
      </w:r>
      <w:r>
        <w:t>https://www.azahcccs.gov/PlansProviders/HealthPlans/encounters.html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