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Pr>
          <w:rFonts w:ascii="Tahoma" w:hAnsi="Tahoma"/>
          <w:b/>
          <w:i w:val="0"/>
          <w:color w:val="EE0000"/>
          <w:sz w:val="38"/>
        </w:rPr>
        <w:t>INFORME TÉCNICO-ÉTICO DE SEGURIDAD</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Pr>
          <w:rFonts w:ascii="Tahoma" w:hAnsi="Tahoma"/>
          <w:b w:val="0"/>
          <w:i w:val="0"/>
          <w:color w:val="EE0000"/>
          <w:sz w:val="32"/>
        </w:rPr>
        <w:t>Caso 10: AgriSmart API – Monitoreo de Sensores Agrícolas y Riego</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jc w:val="left"/>
        <w:rPr>
          <w:rFonts w:ascii="Tahoma" w:hAnsi="Tahoma" w:cs="Tahoma"/>
        </w:rPr>
      </w:pPr>
      <w:r>
        <w:rPr>
          <w:rFonts w:ascii="Tahoma" w:hAnsi="Tahoma"/>
          <w:b/>
          <w:sz w:val="22"/>
        </w:rPr>
        <w:t xml:space="preserve">NOMBRE: </w:t>
      </w:r>
      <w:r>
        <w:rPr>
          <w:rFonts w:ascii="Tahoma" w:hAnsi="Tahoma"/>
          <w:sz w:val="22"/>
        </w:rPr>
        <w:br/>
      </w:r>
      <w:r>
        <w:rPr>
          <w:rFonts w:ascii="Tahoma" w:hAnsi="Tahoma"/>
          <w:b/>
          <w:sz w:val="22"/>
        </w:rPr>
        <w:t xml:space="preserve">CARRERA: </w:t>
      </w:r>
      <w:r>
        <w:rPr>
          <w:rFonts w:ascii="Tahoma" w:hAnsi="Tahoma"/>
          <w:sz w:val="22"/>
        </w:rPr>
        <w:t>Ingeniería en Ciberseguridad</w:t>
        <w:br/>
      </w:r>
      <w:r>
        <w:rPr>
          <w:rFonts w:ascii="Tahoma" w:hAnsi="Tahoma"/>
          <w:b/>
          <w:sz w:val="22"/>
        </w:rPr>
        <w:t xml:space="preserve">ASIGNATURA: </w:t>
      </w:r>
      <w:r>
        <w:rPr>
          <w:rFonts w:ascii="Tahoma" w:hAnsi="Tahoma"/>
          <w:sz w:val="22"/>
        </w:rPr>
        <w:t>Desarrollo Seguro</w:t>
        <w:br/>
      </w:r>
      <w:r>
        <w:rPr>
          <w:rFonts w:ascii="Tahoma" w:hAnsi="Tahoma"/>
          <w:b/>
          <w:sz w:val="22"/>
        </w:rPr>
        <w:t xml:space="preserve">PROFESOR: </w:t>
      </w:r>
      <w:r>
        <w:rPr>
          <w:rFonts w:ascii="Tahoma" w:hAnsi="Tahoma"/>
          <w:sz w:val="22"/>
        </w:rPr>
        <w:br/>
      </w:r>
      <w:r>
        <w:rPr>
          <w:rFonts w:ascii="Tahoma" w:hAnsi="Tahoma"/>
          <w:b/>
          <w:sz w:val="22"/>
        </w:rPr>
        <w:t xml:space="preserve">FECHA: </w:t>
      </w:r>
      <w:r>
        <w:rPr>
          <w:rFonts w:ascii="Tahoma" w:hAnsi="Tahoma"/>
          <w:sz w:val="22"/>
        </w:rPr>
        <w:t>04/10/2026</w:t>
      </w:r>
    </w:p>
    <w:p w14:paraId="541D0F36" w14:textId="77777777" w:rsidR="000A3562" w:rsidRDefault="000A3562" w:rsidP="000A3562"/>
    <w:p w14:paraId="79DD6640" w14:textId="77777777" w:rsidR="000A3562" w:rsidRDefault="000A3562" w:rsidP="000A3562"/>
    <w:p w14:paraId="3DA8AB13" w14:textId="77777777" w:rsidR="000A3562" w:rsidRDefault="000A3562" w:rsidP="000A3562"/>
    <w:p w14:paraId="0AB7BB1E" w14:textId="77777777" w:rsidR="000A3562" w:rsidRDefault="000A3562" w:rsidP="000A3562"/>
    <w:p w14:paraId="45921EC0" w14:textId="77777777" w:rsidR="000A3562" w:rsidRDefault="000A3562" w:rsidP="000A3562">
      <w:r>
        <w:t xml:space="preserve"> </w:t>
      </w:r>
    </w:p>
    <w:p w14:paraId="11B29614" w14:textId="77777777" w:rsidR="000A3562" w:rsidRDefault="000A3562" w:rsidP="000A3562"/>
    <w:p w14:paraId="144DBA46" w14:textId="77777777" w:rsidR="000A3562" w:rsidRDefault="000A3562" w:rsidP="000A3562"/>
    <w:p w14:paraId="00BB45ED" w14:textId="77777777" w:rsidR="000A3562" w:rsidRDefault="000A3562" w:rsidP="000A3562"/>
    <w:p w14:paraId="743B1C07" w14:textId="77777777" w:rsidR="000A3562" w:rsidRDefault="000A3562" w:rsidP="000A3562"/>
    <w:p w14:paraId="4FB1F290" w14:textId="77777777" w:rsidR="000A3562" w:rsidRDefault="000A3562" w:rsidP="000A3562"/>
    <w:p w14:paraId="170C9685" w14:textId="77777777" w:rsidR="000A3562" w:rsidRDefault="000A3562" w:rsidP="000A3562"/>
    <w:p w14:paraId="51DAF86F" w14:textId="77777777" w:rsidR="003158F4" w:rsidRDefault="003158F4" w:rsidP="000A3562"/>
    <w:p w14:paraId="4997F38D" w14:textId="77777777" w:rsidR="003158F4" w:rsidRDefault="003158F4" w:rsidP="000A3562"/>
    <w:p w14:paraId="47FED339" w14:textId="77777777" w:rsidR="003158F4" w:rsidRDefault="003158F4" w:rsidP="000A3562"/>
    <w:p w14:paraId="33BF555C" w14:textId="77777777" w:rsidR="003158F4" w:rsidRDefault="003158F4" w:rsidP="000A3562"/>
    <w:p>
      <w:pPr>
        <w:keepNext/>
        <w:spacing w:before="200" w:after="160"/>
        <w:jc w:val="center"/>
      </w:pPr>
      <w:r>
        <w:rPr>
          <w:rFonts w:ascii="Tahoma" w:hAnsi="Tahoma"/>
          <w:color w:val="EE0000"/>
          <w:sz w:val="36"/>
        </w:rPr>
        <w:t>1 Introducción</w:t>
      </w:r>
    </w:p>
    <w:p>
      <w:pPr>
        <w:spacing w:after="120" w:line="259" w:lineRule="auto"/>
        <w:jc w:val="both"/>
      </w:pPr>
      <w:r>
        <w:rPr>
          <w:rFonts w:ascii="Tahoma" w:hAnsi="Tahoma"/>
          <w:b w:val="0"/>
          <w:i w:val="0"/>
          <w:color w:val="000000"/>
          <w:sz w:val="22"/>
        </w:rPr>
        <w:t>La digitalización de la agricultura ha permitido utilizar sensores, plataformas web y sistemas de control para supervisar variables como humedad del suelo, temperatura y estado del riego. Estos sistemas pueden mejorar la toma de decisiones y automatizar tareas, pero también incorporan riesgos de ciberseguridad cuando una aplicación puede modificar procesos que tienen efectos físicos sobre un cultivo o sobre equipos de riego.</w:t>
      </w:r>
    </w:p>
    <w:p>
      <w:pPr>
        <w:spacing w:after="120" w:line="259" w:lineRule="auto"/>
        <w:jc w:val="both"/>
      </w:pPr>
      <w:r>
        <w:rPr>
          <w:rFonts w:ascii="Tahoma" w:hAnsi="Tahoma"/>
          <w:b w:val="0"/>
          <w:i w:val="0"/>
          <w:color w:val="000000"/>
          <w:sz w:val="22"/>
        </w:rPr>
        <w:t>El presente informe analiza el Caso 10 de la evaluación: AgriTech – Sistema de Monitoreo de Sensores Agrícolas y Riego, denominado AgriSmart API. Según el caso asignado, la aplicación recopila datos de sensores de humedad y permite activar sistemas de riego automático. El escenario académico incorpora vulnerabilidades correspondientes a las diez categorías OWASP Top 10:2021; para la auditoría práctica se seleccionan cinco de ellas: A01, A03, A04, A05 y A07.</w:t>
      </w:r>
    </w:p>
    <w:p>
      <w:pPr>
        <w:spacing w:after="120" w:line="259" w:lineRule="auto"/>
        <w:jc w:val="both"/>
      </w:pPr>
      <w:r>
        <w:rPr>
          <w:rFonts w:ascii="Tahoma" w:hAnsi="Tahoma"/>
          <w:b w:val="0"/>
          <w:i w:val="0"/>
          <w:color w:val="000000"/>
          <w:sz w:val="22"/>
        </w:rPr>
        <w:t>OWASP describe su Top 10 como un documento de concientización para desarrolladores y seguridad de aplicaciones web que representa un amplio consenso sobre riesgos críticos. Para este trabajo se emplea además ISO/IEC 27034 como referencia para la seguridad de aplicaciones y NIST SP 800-218 SSDF como complemento para integrar prácticas de desarrollo seguro en el ciclo de vida del software [1][2][3].</w:t>
      </w:r>
    </w:p>
    <w:p>
      <w:pPr>
        <w:keepNext/>
        <w:spacing w:before="200" w:after="160"/>
        <w:jc w:val="center"/>
      </w:pPr>
      <w:r>
        <w:rPr>
          <w:rFonts w:ascii="Tahoma" w:hAnsi="Tahoma"/>
          <w:color w:val="EE0000"/>
          <w:sz w:val="36"/>
        </w:rPr>
        <w:t>2 Contexto y objetivos del caso</w:t>
      </w:r>
    </w:p>
    <w:p>
      <w:pPr>
        <w:keepNext/>
        <w:spacing w:before="160" w:after="100"/>
        <w:jc w:val="left"/>
      </w:pPr>
      <w:r>
        <w:rPr>
          <w:rFonts w:ascii="Tahoma" w:hAnsi="Tahoma"/>
          <w:color w:val="EE0000"/>
          <w:sz w:val="28"/>
        </w:rPr>
        <w:t>2.1 Contexto de AgriSmart API</w:t>
      </w:r>
    </w:p>
    <w:p>
      <w:pPr>
        <w:spacing w:after="120" w:line="259" w:lineRule="auto"/>
        <w:jc w:val="both"/>
      </w:pPr>
      <w:r>
        <w:rPr>
          <w:rFonts w:ascii="Tahoma" w:hAnsi="Tahoma"/>
          <w:b w:val="0"/>
          <w:i w:val="0"/>
          <w:color w:val="000000"/>
          <w:sz w:val="22"/>
        </w:rPr>
        <w:t>AgriSmart API representa una plataforma backend destinada a recibir telemetría desde sensores instalados en campos agrícolas, almacenar registros históricos y gestionar acciones de riego. Debido a que la aplicación puede influir en dispositivos físicos, los riesgos de seguridad no se limitan a la pérdida de información: un control de acceso defectuoso o una configuración insegura puede modificar el funcionamiento del sistema de riego.</w:t>
      </w:r>
    </w:p>
    <w:p>
      <w:pPr>
        <w:spacing w:after="40"/>
        <w:ind w:left="317" w:hanging="216"/>
        <w:jc w:val="left"/>
      </w:pPr>
      <w:r>
        <w:rPr>
          <w:rFonts w:ascii="Tahoma" w:hAnsi="Tahoma"/>
          <w:sz w:val="22"/>
        </w:rPr>
        <w:t>• Recepción y consulta de datos de humedad y temperatura.</w:t>
      </w:r>
    </w:p>
    <w:p>
      <w:pPr>
        <w:spacing w:after="40"/>
        <w:ind w:left="317" w:hanging="216"/>
        <w:jc w:val="left"/>
      </w:pPr>
      <w:r>
        <w:rPr>
          <w:rFonts w:ascii="Tahoma" w:hAnsi="Tahoma"/>
          <w:sz w:val="22"/>
        </w:rPr>
        <w:t>• Gestión de zonas o sectores agrícolas.</w:t>
      </w:r>
    </w:p>
    <w:p>
      <w:pPr>
        <w:spacing w:after="40"/>
        <w:ind w:left="317" w:hanging="216"/>
        <w:jc w:val="left"/>
      </w:pPr>
      <w:r>
        <w:rPr>
          <w:rFonts w:ascii="Tahoma" w:hAnsi="Tahoma"/>
          <w:sz w:val="22"/>
        </w:rPr>
        <w:t>• Activación y desactivación de riego.</w:t>
      </w:r>
    </w:p>
    <w:p>
      <w:pPr>
        <w:spacing w:after="40"/>
        <w:ind w:left="317" w:hanging="216"/>
        <w:jc w:val="left"/>
      </w:pPr>
      <w:r>
        <w:rPr>
          <w:rFonts w:ascii="Tahoma" w:hAnsi="Tahoma"/>
          <w:sz w:val="22"/>
        </w:rPr>
        <w:t>• Configuración de parámetros de operación.</w:t>
      </w:r>
    </w:p>
    <w:p>
      <w:pPr>
        <w:spacing w:after="40"/>
        <w:ind w:left="317" w:hanging="216"/>
        <w:jc w:val="left"/>
      </w:pPr>
      <w:r>
        <w:rPr>
          <w:rFonts w:ascii="Tahoma" w:hAnsi="Tahoma"/>
          <w:sz w:val="22"/>
        </w:rPr>
        <w:t>• Administración de sensores y registros históricos.</w:t>
      </w:r>
    </w:p>
    <w:p>
      <w:pPr>
        <w:keepNext/>
        <w:spacing w:before="160" w:after="100"/>
        <w:jc w:val="left"/>
      </w:pPr>
      <w:r>
        <w:rPr>
          <w:rFonts w:ascii="Tahoma" w:hAnsi="Tahoma"/>
          <w:color w:val="EE0000"/>
          <w:sz w:val="28"/>
        </w:rPr>
        <w:t>2.2 Objetivo general</w:t>
      </w:r>
    </w:p>
    <w:p>
      <w:pPr>
        <w:spacing w:after="120" w:line="259" w:lineRule="auto"/>
        <w:jc w:val="both"/>
      </w:pPr>
      <w:r>
        <w:rPr>
          <w:rFonts w:ascii="Tahoma" w:hAnsi="Tahoma"/>
          <w:b w:val="0"/>
          <w:i w:val="0"/>
          <w:color w:val="000000"/>
          <w:sz w:val="22"/>
        </w:rPr>
        <w:t>Analizar, auditar y proponer la refactorización de AgriSmart API aplicando principios de desarrollo seguro, controles relacionados con OWASP Top 10 y lineamientos de gobernanza de seguridad de aplicaciones basados en ISO/IEC 27034, con el fin de reducir los riesgos que podrían afectar datos, usuarios y procesos de riego.</w:t>
      </w:r>
    </w:p>
    <w:p>
      <w:pPr>
        <w:keepNext/>
        <w:spacing w:before="160" w:after="100"/>
        <w:jc w:val="left"/>
      </w:pPr>
      <w:r>
        <w:rPr>
          <w:rFonts w:ascii="Tahoma" w:hAnsi="Tahoma"/>
          <w:color w:val="EE0000"/>
          <w:sz w:val="28"/>
        </w:rPr>
        <w:t>2.3 Objetivos específicos</w:t>
      </w:r>
    </w:p>
    <w:p>
      <w:pPr>
        <w:spacing w:after="60"/>
        <w:ind w:left="317" w:hanging="259"/>
        <w:jc w:val="left"/>
      </w:pPr>
      <w:r>
        <w:rPr>
          <w:rFonts w:ascii="Tahoma" w:hAnsi="Tahoma"/>
          <w:sz w:val="22"/>
        </w:rPr>
        <w:t>1. Analizar la responsabilidad ética del desarrollador frente a fallas que puedan afectar información y procesos físicos.</w:t>
      </w:r>
    </w:p>
    <w:p>
      <w:pPr>
        <w:spacing w:after="60"/>
        <w:ind w:left="317" w:hanging="259"/>
        <w:jc w:val="left"/>
      </w:pPr>
      <w:r>
        <w:rPr>
          <w:rFonts w:ascii="Tahoma" w:hAnsi="Tahoma"/>
          <w:sz w:val="22"/>
        </w:rPr>
        <w:t>2. Definir un Marco Normativo Organizacional (ONF) y un perfil de controles de seguridad de aplicaciones (ASC).</w:t>
      </w:r>
    </w:p>
    <w:p>
      <w:pPr>
        <w:spacing w:after="60"/>
        <w:ind w:left="317" w:hanging="259"/>
        <w:jc w:val="left"/>
      </w:pPr>
      <w:r>
        <w:rPr>
          <w:rFonts w:ascii="Tahoma" w:hAnsi="Tahoma"/>
          <w:sz w:val="22"/>
        </w:rPr>
        <w:t>3. Auditar cinco vulnerabilidades OWASP presentes en la versión insegura de AgriSmart API.</w:t>
      </w:r>
    </w:p>
    <w:p>
      <w:pPr>
        <w:spacing w:after="60"/>
        <w:ind w:left="317" w:hanging="259"/>
        <w:jc w:val="left"/>
      </w:pPr>
      <w:r>
        <w:rPr>
          <w:rFonts w:ascii="Tahoma" w:hAnsi="Tahoma"/>
          <w:sz w:val="22"/>
        </w:rPr>
        <w:t>4. Documentar pruebas reproducibles con curl dentro de un entorno autorizado de laboratorio.</w:t>
      </w:r>
    </w:p>
    <w:p>
      <w:pPr>
        <w:spacing w:after="60"/>
        <w:ind w:left="317" w:hanging="259"/>
        <w:jc w:val="left"/>
      </w:pPr>
      <w:r>
        <w:rPr>
          <w:rFonts w:ascii="Tahoma" w:hAnsi="Tahoma"/>
          <w:sz w:val="22"/>
        </w:rPr>
        <w:t>5. Refactorizar la aplicación aplicando validación estricta de entradas, autorización, consultas parametrizadas y gestión segura de secretos.</w:t>
      </w:r>
    </w:p>
    <w:p>
      <w:pPr>
        <w:spacing w:after="60"/>
        <w:ind w:left="317" w:hanging="259"/>
        <w:jc w:val="left"/>
      </w:pPr>
      <w:r>
        <w:rPr>
          <w:rFonts w:ascii="Tahoma" w:hAnsi="Tahoma"/>
          <w:sz w:val="22"/>
        </w:rPr>
        <w:t>6. Repetir las pruebas sobre la versión segura y comprobar que el comportamiento vulnerable fue mitigado.</w:t>
      </w:r>
    </w:p>
    <w:p>
      <w:pPr>
        <w:spacing w:after="60"/>
        <w:ind w:left="317" w:hanging="259"/>
        <w:jc w:val="left"/>
      </w:pPr>
      <w:r>
        <w:rPr>
          <w:rFonts w:ascii="Tahoma" w:hAnsi="Tahoma"/>
          <w:sz w:val="22"/>
        </w:rPr>
        <w:t>7. Mantener código, documentación y evidencias en un repositorio GitHub bajo un enfoque Docs-as-Code.</w:t>
      </w:r>
    </w:p>
    <w:p>
      <w:pPr>
        <w:keepNext/>
        <w:spacing w:before="200" w:after="160"/>
        <w:jc w:val="center"/>
      </w:pPr>
      <w:r>
        <w:rPr>
          <w:rFonts w:ascii="Tahoma" w:hAnsi="Tahoma"/>
          <w:color w:val="EE0000"/>
          <w:sz w:val="36"/>
        </w:rPr>
        <w:t>3 Metodología de trabajo</w:t>
      </w:r>
    </w:p>
    <w:p>
      <w:pPr>
        <w:spacing w:after="120" w:line="259" w:lineRule="auto"/>
        <w:jc w:val="both"/>
      </w:pPr>
      <w:r>
        <w:rPr>
          <w:rFonts w:ascii="Tahoma" w:hAnsi="Tahoma"/>
          <w:b w:val="0"/>
          <w:i w:val="0"/>
          <w:color w:val="000000"/>
          <w:sz w:val="22"/>
        </w:rPr>
        <w:t>El desarrollo de la evaluación se organiza en cuatro etapas. La primera corresponde al análisis ético y normativo; la segunda a la construcción y auditoría controlada de una versión vulnerable; la tercera a la refactorización; y la cuarta a las pruebas de cierre. Esta secuencia permite comparar el comportamiento de la aplicación antes y después de aplicar los controles.</w:t>
      </w:r>
    </w:p>
    <w:p>
      <w:pPr>
        <w:keepNext/>
        <w:spacing w:before="160" w:after="100"/>
        <w:jc w:val="left"/>
      </w:pPr>
      <w:r>
        <w:rPr>
          <w:rFonts w:ascii="Tahoma" w:hAnsi="Tahoma"/>
          <w:color w:val="EE0000"/>
          <w:sz w:val="28"/>
        </w:rPr>
        <w:t>3.1 Fase de análisis ético y normativo</w:t>
      </w:r>
    </w:p>
    <w:p>
      <w:pPr>
        <w:spacing w:after="120" w:line="259" w:lineRule="auto"/>
        <w:jc w:val="both"/>
      </w:pPr>
      <w:r>
        <w:rPr>
          <w:rFonts w:ascii="Tahoma" w:hAnsi="Tahoma"/>
          <w:b w:val="0"/>
          <w:i w:val="0"/>
          <w:color w:val="000000"/>
          <w:sz w:val="22"/>
        </w:rPr>
        <w:t>Se define la responsabilidad del desarrollador, el contexto del negocio, los activos relevantes, los roles y los controles de seguridad requeridos. ISO/IEC 27034-1 presenta conceptos y procesos para integrar seguridad en la gestión de aplicaciones, mientras que ISO/IEC 27034-2 describe específicamente el Organization Normative Framework (ONF) y orienta su implementación [1][2].</w:t>
      </w:r>
    </w:p>
    <w:p>
      <w:pPr>
        <w:keepNext/>
        <w:spacing w:before="160" w:after="100"/>
        <w:jc w:val="left"/>
      </w:pPr>
      <w:r>
        <w:rPr>
          <w:rFonts w:ascii="Tahoma" w:hAnsi="Tahoma"/>
          <w:color w:val="EE0000"/>
          <w:sz w:val="28"/>
        </w:rPr>
        <w:t>3.2 Fase de auditoría</w:t>
      </w:r>
    </w:p>
    <w:p>
      <w:pPr>
        <w:spacing w:after="120" w:line="259" w:lineRule="auto"/>
        <w:jc w:val="both"/>
      </w:pPr>
      <w:r>
        <w:rPr>
          <w:rFonts w:ascii="Tahoma" w:hAnsi="Tahoma"/>
          <w:b w:val="0"/>
          <w:i w:val="0"/>
          <w:color w:val="000000"/>
          <w:sz w:val="22"/>
        </w:rPr>
        <w:t>La versión vulnerable se ejecutará únicamente en un entorno académico controlado. Las pruebas se realizarán con solicitudes HTTP mediante curl y se conservarán las respuestas originales como archivos de evidencia. No se utilizarán sistemas de terceros, infraestructura agrícola real ni credenciales reales.</w:t>
      </w:r>
    </w:p>
    <w:p>
      <w:pPr>
        <w:keepNext/>
        <w:spacing w:before="160" w:after="100"/>
        <w:jc w:val="left"/>
      </w:pPr>
      <w:r>
        <w:rPr>
          <w:rFonts w:ascii="Tahoma" w:hAnsi="Tahoma"/>
          <w:color w:val="EE0000"/>
          <w:sz w:val="28"/>
        </w:rPr>
        <w:t>3.3 Fase de refactorización y verificación</w:t>
      </w:r>
    </w:p>
    <w:p>
      <w:pPr>
        <w:spacing w:after="120" w:line="259" w:lineRule="auto"/>
        <w:jc w:val="both"/>
      </w:pPr>
      <w:r>
        <w:rPr>
          <w:rFonts w:ascii="Tahoma" w:hAnsi="Tahoma"/>
          <w:b w:val="0"/>
          <w:i w:val="0"/>
          <w:color w:val="000000"/>
          <w:sz w:val="22"/>
        </w:rPr>
        <w:t>La versión segura aplicará controles de autenticación, autorización, validación positiva, consultas SQL parametrizadas, manejo de errores y gestión externa de secretos. Posteriormente se ejecutarán nuevamente las mismas pruebas para comprobar que la API responde con códigos HTTP defensivos y no realiza operaciones no autorizadas.</w:t>
      </w:r>
    </w:p>
    <w:p>
      <w:pPr>
        <w:spacing w:after="120" w:line="259" w:lineRule="auto"/>
        <w:jc w:val="both"/>
      </w:pPr>
      <w:r>
        <w:rPr>
          <w:rFonts w:ascii="Tahoma" w:hAnsi="Tahoma"/>
          <w:b w:val="0"/>
          <w:i w:val="0"/>
          <w:color w:val="000000"/>
          <w:sz w:val="22"/>
        </w:rPr>
        <w:t>NIST SP 800-218 SSDF recomienda integrar prácticas de desarrollo seguro al ciclo de vida con el propósito de reducir vulnerabilidades, disminuir el impacto de fallas no detectadas y abordar sus causas para evitar recurrencias [3].</w:t>
      </w:r>
    </w:p>
    <w:p>
      <w:pPr>
        <w:keepNext/>
        <w:spacing w:before="200" w:after="160"/>
        <w:jc w:val="center"/>
      </w:pPr>
      <w:r>
        <w:rPr>
          <w:rFonts w:ascii="Tahoma" w:hAnsi="Tahoma"/>
          <w:color w:val="EE0000"/>
          <w:sz w:val="36"/>
        </w:rPr>
        <w:t>4 Manifiesto ético del desarrollo de AgriSmart</w:t>
      </w:r>
    </w:p>
    <w:p>
      <w:pPr>
        <w:spacing w:after="120" w:line="259" w:lineRule="auto"/>
        <w:jc w:val="both"/>
      </w:pPr>
      <w:r>
        <w:rPr>
          <w:rFonts w:ascii="Tahoma" w:hAnsi="Tahoma"/>
          <w:b w:val="0"/>
          <w:i w:val="0"/>
          <w:color w:val="000000"/>
          <w:sz w:val="22"/>
        </w:rPr>
        <w:t>El desarrollo de software implica responsabilidades que van más allá de conseguir que una aplicación funcione. Cuando una plataforma procesa información de terceros o controla procesos que pueden tener efectos físicos, el equipo de desarrollo debe considerar las consecuencias de una vulnerabilidad, un error de diseño o una decisión técnica insegura.</w:t>
      </w:r>
    </w:p>
    <w:p>
      <w:pPr>
        <w:spacing w:after="120" w:line="259" w:lineRule="auto"/>
        <w:jc w:val="both"/>
      </w:pPr>
      <w:r>
        <w:rPr>
          <w:rFonts w:ascii="Tahoma" w:hAnsi="Tahoma"/>
          <w:b w:val="0"/>
          <w:i w:val="0"/>
          <w:color w:val="000000"/>
          <w:sz w:val="22"/>
        </w:rPr>
        <w:t>En AgriSmart, una falla puede permitir modificar parámetros de riego, acceder a información de otras zonas agrícolas o impedir la trazabilidad de eventos. Por ello, el proyecto adopta los siguientes compromisos éticos:</w:t>
      </w:r>
    </w:p>
    <w:p>
      <w:pPr>
        <w:spacing w:after="40"/>
        <w:ind w:left="317" w:hanging="216"/>
        <w:jc w:val="left"/>
      </w:pPr>
      <w:r>
        <w:rPr>
          <w:rFonts w:ascii="Tahoma" w:hAnsi="Tahoma"/>
          <w:sz w:val="22"/>
        </w:rPr>
        <w:t>• Protección de los usuarios y sus recursos: la seguridad se considera un requisito del sistema y no una característica opcional.</w:t>
      </w:r>
    </w:p>
    <w:p>
      <w:pPr>
        <w:spacing w:after="40"/>
        <w:ind w:left="317" w:hanging="216"/>
        <w:jc w:val="left"/>
      </w:pPr>
      <w:r>
        <w:rPr>
          <w:rFonts w:ascii="Tahoma" w:hAnsi="Tahoma"/>
          <w:sz w:val="22"/>
        </w:rPr>
        <w:t>• Privacidad y minimización: la información debe utilizarse sólo para fines autorizados y mantenerse protegida frente a accesos indebidos.</w:t>
      </w:r>
    </w:p>
    <w:p>
      <w:pPr>
        <w:spacing w:after="40"/>
        <w:ind w:left="317" w:hanging="216"/>
        <w:jc w:val="left"/>
      </w:pPr>
      <w:r>
        <w:rPr>
          <w:rFonts w:ascii="Tahoma" w:hAnsi="Tahoma"/>
          <w:sz w:val="22"/>
        </w:rPr>
        <w:t>• Mínimo privilegio: cada usuario debe acceder únicamente a las zonas y funciones necesarias para su actividad.</w:t>
      </w:r>
    </w:p>
    <w:p>
      <w:pPr>
        <w:spacing w:after="40"/>
        <w:ind w:left="317" w:hanging="216"/>
        <w:jc w:val="left"/>
      </w:pPr>
      <w:r>
        <w:rPr>
          <w:rFonts w:ascii="Tahoma" w:hAnsi="Tahoma"/>
          <w:sz w:val="22"/>
        </w:rPr>
        <w:t>• Responsabilidad ante vulnerabilidades: una debilidad identificada debe documentarse, priorizarse y corregirse de forma trazable.</w:t>
      </w:r>
    </w:p>
    <w:p>
      <w:pPr>
        <w:spacing w:after="40"/>
        <w:ind w:left="317" w:hanging="216"/>
        <w:jc w:val="left"/>
      </w:pPr>
      <w:r>
        <w:rPr>
          <w:rFonts w:ascii="Tahoma" w:hAnsi="Tahoma"/>
          <w:sz w:val="22"/>
        </w:rPr>
        <w:t>• Transparencia ante incidentes: deben existir registros suficientes para reconstruir eventos relevantes y apoyar una investigación.</w:t>
      </w:r>
    </w:p>
    <w:p>
      <w:pPr>
        <w:spacing w:after="40"/>
        <w:ind w:left="317" w:hanging="216"/>
        <w:jc w:val="left"/>
      </w:pPr>
      <w:r>
        <w:rPr>
          <w:rFonts w:ascii="Tahoma" w:hAnsi="Tahoma"/>
          <w:sz w:val="22"/>
        </w:rPr>
        <w:t>• Seguridad por diseño: los controles deben considerarse desde los requisitos y la arquitectura, no sólo al finalizar la programación.</w:t>
      </w:r>
    </w:p>
    <w:p>
      <w:pPr>
        <w:spacing w:after="40"/>
        <w:ind w:left="317" w:hanging="216"/>
        <w:jc w:val="left"/>
      </w:pPr>
      <w:r>
        <w:rPr>
          <w:rFonts w:ascii="Tahoma" w:hAnsi="Tahoma"/>
          <w:sz w:val="22"/>
        </w:rPr>
        <w:t>• Pruebas responsables: las técnicas de auditoría se utilizarán únicamente en infraestructura propia o expresamente autorizada.</w:t>
      </w:r>
    </w:p>
    <w:p>
      <w:pPr>
        <w:spacing w:after="120" w:line="259" w:lineRule="auto"/>
        <w:jc w:val="both"/>
      </w:pPr>
      <w:r>
        <w:rPr>
          <w:rFonts w:ascii="Tahoma" w:hAnsi="Tahoma"/>
          <w:b w:val="0"/>
          <w:i w:val="0"/>
          <w:color w:val="000000"/>
          <w:sz w:val="22"/>
        </w:rPr>
        <w:t>Desde una perspectiva ética, ignorar una vulnerabilidad conocida en una aplicación que controla procesos de riego puede producir daños evitables. Por lo tanto, el deber profesional consiste en diseñar, implementar, probar y mantener el software considerando tanto sus consecuencias digitales como operacionales.</w:t>
      </w:r>
    </w:p>
    <w:p>
      <w:pPr>
        <w:keepNext/>
        <w:spacing w:before="200" w:after="160"/>
        <w:jc w:val="center"/>
      </w:pPr>
      <w:r>
        <w:rPr>
          <w:rFonts w:ascii="Tahoma" w:hAnsi="Tahoma"/>
          <w:color w:val="EE0000"/>
          <w:sz w:val="36"/>
        </w:rPr>
        <w:t>5 Marco normativo y de gobernanza</w:t>
      </w:r>
    </w:p>
    <w:p>
      <w:pPr>
        <w:keepNext/>
        <w:spacing w:before="160" w:after="100"/>
        <w:jc w:val="left"/>
      </w:pPr>
      <w:r>
        <w:rPr>
          <w:rFonts w:ascii="Tahoma" w:hAnsi="Tahoma"/>
          <w:color w:val="EE0000"/>
          <w:sz w:val="28"/>
        </w:rPr>
        <w:t>5.1 ISO/IEC 27034 – Seguridad de aplicaciones</w:t>
      </w:r>
    </w:p>
    <w:p>
      <w:pPr>
        <w:spacing w:after="120" w:line="259" w:lineRule="auto"/>
        <w:jc w:val="both"/>
      </w:pPr>
      <w:r>
        <w:rPr>
          <w:rFonts w:ascii="Tahoma" w:hAnsi="Tahoma"/>
          <w:b w:val="0"/>
          <w:i w:val="0"/>
          <w:color w:val="000000"/>
          <w:sz w:val="22"/>
        </w:rPr>
        <w:t>ISO/IEC 27034-1:2011 entrega una visión general de seguridad de aplicaciones e introduce conceptos, principios y procesos aplicables a aplicaciones desarrolladas internamente, adquiridas a terceros o externalizadas. ISO informa que esta edición fue revisada y confirmada en 2022, por lo que permanece vigente [1].</w:t>
      </w:r>
    </w:p>
    <w:p>
      <w:pPr>
        <w:spacing w:after="120" w:line="259" w:lineRule="auto"/>
        <w:jc w:val="both"/>
      </w:pPr>
      <w:r>
        <w:rPr>
          <w:rFonts w:ascii="Tahoma" w:hAnsi="Tahoma"/>
          <w:b w:val="0"/>
          <w:i w:val="0"/>
          <w:color w:val="000000"/>
          <w:sz w:val="22"/>
        </w:rPr>
        <w:t>ISO/IEC 27034-2:2015 describe en detalle el Organization Normative Framework (ONF), que permite organizar políticas, procesos, roles y otros elementos normativos que una organización utiliza para gobernar la seguridad de sus aplicaciones [2].</w:t>
      </w:r>
    </w:p>
    <w:p>
      <w:pPr>
        <w:keepNext/>
        <w:spacing w:before="160" w:after="100"/>
        <w:jc w:val="left"/>
      </w:pPr>
      <w:r>
        <w:rPr>
          <w:rFonts w:ascii="Tahoma" w:hAnsi="Tahoma"/>
          <w:color w:val="EE0000"/>
          <w:sz w:val="28"/>
        </w:rPr>
        <w:t>5.2 OWASP Top 10:2021</w:t>
      </w:r>
    </w:p>
    <w:p>
      <w:pPr>
        <w:spacing w:after="120" w:line="259" w:lineRule="auto"/>
        <w:jc w:val="both"/>
      </w:pPr>
      <w:r>
        <w:rPr>
          <w:rFonts w:ascii="Tahoma" w:hAnsi="Tahoma"/>
          <w:b w:val="0"/>
          <w:i w:val="0"/>
          <w:color w:val="000000"/>
          <w:sz w:val="22"/>
        </w:rPr>
        <w:t>OWASP Top 10:2021 se utiliza como referencia técnica para clasificar las vulnerabilidades del escenario. En la edición 2021, A01 corresponde a Broken Access Control, A03 a Injection, A04 a Insecure Design, A05 a Security Misconfiguration y A07 a Identification and Authentication Failures [4].</w:t>
      </w:r>
    </w:p>
    <w:p>
      <w:pPr>
        <w:keepNext/>
        <w:spacing w:before="160" w:after="100"/>
        <w:jc w:val="left"/>
      </w:pPr>
      <w:r>
        <w:rPr>
          <w:rFonts w:ascii="Tahoma" w:hAnsi="Tahoma"/>
          <w:color w:val="EE0000"/>
          <w:sz w:val="28"/>
        </w:rPr>
        <w:t>5.3 NIST Secure Software Development Framework</w:t>
      </w:r>
    </w:p>
    <w:p>
      <w:pPr>
        <w:spacing w:after="120" w:line="259" w:lineRule="auto"/>
        <w:jc w:val="both"/>
      </w:pPr>
      <w:r>
        <w:rPr>
          <w:rFonts w:ascii="Tahoma" w:hAnsi="Tahoma"/>
          <w:b w:val="0"/>
          <w:i w:val="0"/>
          <w:color w:val="000000"/>
          <w:sz w:val="22"/>
        </w:rPr>
        <w:t>NIST SP 800-218 SSDF versión 1.1, publicada en febrero de 2022, define prácticas de alto nivel que pueden integrarse a distintos ciclos de desarrollo. NIST indica que estas prácticas buscan disminuir vulnerabilidades liberadas, mitigar el impacto de vulnerabilidades no detectadas y abordar sus causas [3]. A octubre de 2026 existe un borrador inicial de SSDF 1.2, pero la versión 1.1 continúa listada por NIST como publicación final [3].</w:t>
      </w:r>
    </w:p>
    <w:p>
      <w:pPr>
        <w:keepNext/>
        <w:spacing w:before="160" w:after="100"/>
        <w:jc w:val="left"/>
      </w:pPr>
      <w:r>
        <w:rPr>
          <w:rFonts w:ascii="Tahoma" w:hAnsi="Tahoma"/>
          <w:color w:val="EE0000"/>
          <w:sz w:val="28"/>
        </w:rPr>
        <w:t>5.4 Referencia regulatoria chilena</w:t>
      </w:r>
    </w:p>
    <w:p>
      <w:pPr>
        <w:spacing w:after="120" w:line="259" w:lineRule="auto"/>
        <w:jc w:val="both"/>
      </w:pPr>
      <w:r>
        <w:rPr>
          <w:rFonts w:ascii="Tahoma" w:hAnsi="Tahoma"/>
          <w:b w:val="0"/>
          <w:i w:val="0"/>
          <w:color w:val="000000"/>
          <w:sz w:val="22"/>
        </w:rPr>
        <w:t>Como referencia nacional se considera la Ley N.º 21.663, Ley Marco de Ciberseguridad, publicada en abril de 2024. La ley establece institucionalidad, principios y requisitos generales para prevenir, contener, resolver y responder a incidentes en las entidades comprendidas dentro de su ámbito de aplicación [5]. Este informe no afirma que una empresa AgriTech hipotética quede automáticamente sujeta a todas las obligaciones de la ley; su aplicación dependería de la naturaleza real de la organización y de la clasificación que corresponda.</w:t>
      </w:r>
    </w:p>
    <w:p>
      <w:pPr>
        <w:keepNext/>
        <w:spacing w:before="200" w:after="160"/>
        <w:jc w:val="center"/>
      </w:pPr>
      <w:r>
        <w:rPr>
          <w:rFonts w:ascii="Tahoma" w:hAnsi="Tahoma"/>
          <w:color w:val="EE0000"/>
          <w:sz w:val="36"/>
        </w:rPr>
        <w:t>6 Marco Normativo Organizacional (ONF) propuesto</w:t>
      </w:r>
    </w:p>
    <w:p>
      <w:pPr>
        <w:keepNext/>
        <w:spacing w:before="160" w:after="100"/>
        <w:jc w:val="left"/>
      </w:pPr>
      <w:r>
        <w:rPr>
          <w:rFonts w:ascii="Tahoma" w:hAnsi="Tahoma"/>
          <w:color w:val="EE0000"/>
          <w:sz w:val="28"/>
        </w:rPr>
        <w:t>6.1 Contexto del negocio</w:t>
      </w:r>
    </w:p>
    <w:p>
      <w:pPr>
        <w:spacing w:after="120" w:line="259" w:lineRule="auto"/>
        <w:jc w:val="both"/>
      </w:pPr>
      <w:r>
        <w:rPr>
          <w:rFonts w:ascii="Tahoma" w:hAnsi="Tahoma"/>
          <w:b w:val="0"/>
          <w:i w:val="0"/>
          <w:color w:val="000000"/>
          <w:sz w:val="22"/>
        </w:rPr>
        <w:t>El ONF propuesto para AgriSmart se adapta a un entorno académico y busca organizar los requisitos y responsabilidades de seguridad aplicables a la aplicación. Los activos principales son los datos de sensores, configuraciones de riego, credenciales, zonas agrícolas, historial de eventos y disponibilidad de los endpoints de administración.</w:t>
      </w:r>
    </w:p>
    <w:p>
      <w:pPr>
        <w:keepNext/>
        <w:spacing w:before="160" w:after="100"/>
        <w:jc w:val="left"/>
      </w:pPr>
      <w:r>
        <w:rPr>
          <w:rFonts w:ascii="Tahoma" w:hAnsi="Tahoma"/>
          <w:color w:val="EE0000"/>
          <w:sz w:val="28"/>
        </w:rPr>
        <w:t>6.2 Propiedades de seguridad prioritarias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2160"/>
            <w:vAlign w:val="center"/>
            <w:shd w:fill="E7E6E6"/>
          </w:tcPr>
          <w:p>
            <w:pPr>
              <w:spacing w:after="0"/>
              <w:jc w:val="left"/>
            </w:pPr>
            <w:r/>
            <w:r>
              <w:rPr>
                <w:rFonts w:ascii="Tahoma" w:hAnsi="Tahoma"/>
                <w:b/>
                <w:color w:val="000000"/>
                <w:sz w:val="19"/>
              </w:rPr>
              <w:t>Propiedad</w:t>
            </w:r>
          </w:p>
        </w:tc>
        <w:tc>
          <w:tcPr>
            <w:tcW w:type="dxa" w:w="7200"/>
            <w:vAlign w:val="center"/>
            <w:shd w:fill="E7E6E6"/>
          </w:tcPr>
          <w:p>
            <w:pPr>
              <w:spacing w:after="0"/>
              <w:jc w:val="left"/>
            </w:pPr>
            <w:r/>
            <w:r>
              <w:rPr>
                <w:rFonts w:ascii="Tahoma" w:hAnsi="Tahoma"/>
                <w:b/>
                <w:color w:val="000000"/>
                <w:sz w:val="19"/>
              </w:rPr>
              <w:t>Aplicación en AgriSmart</w:t>
            </w:r>
          </w:p>
        </w:tc>
      </w:tr>
      <w:tr>
        <w:trPr>
          <w:cantSplit/>
        </w:trPr>
        <w:tc>
          <w:tcPr>
            <w:tcW w:type="dxa" w:w="2160"/>
            <w:vAlign w:val="center"/>
          </w:tcPr>
          <w:p>
            <w:pPr>
              <w:spacing w:after="0"/>
              <w:jc w:val="left"/>
            </w:pPr>
            <w:r/>
            <w:r>
              <w:rPr>
                <w:rFonts w:ascii="Tahoma" w:hAnsi="Tahoma"/>
                <w:b w:val="0"/>
                <w:color w:val="000000"/>
                <w:sz w:val="19"/>
              </w:rPr>
              <w:t>Confidencialidad</w:t>
            </w:r>
          </w:p>
        </w:tc>
        <w:tc>
          <w:tcPr>
            <w:tcW w:type="dxa" w:w="7200"/>
            <w:vAlign w:val="center"/>
          </w:tcPr>
          <w:p>
            <w:pPr>
              <w:spacing w:after="0"/>
              <w:jc w:val="left"/>
            </w:pPr>
            <w:r/>
            <w:r>
              <w:rPr>
                <w:rFonts w:ascii="Tahoma" w:hAnsi="Tahoma"/>
                <w:b w:val="0"/>
                <w:color w:val="000000"/>
                <w:sz w:val="19"/>
              </w:rPr>
              <w:t>Evitar que usuarios no autorizados consulten datos o configuraciones de otras zonas.</w:t>
            </w:r>
          </w:p>
        </w:tc>
      </w:tr>
      <w:tr>
        <w:trPr>
          <w:cantSplit/>
        </w:trPr>
        <w:tc>
          <w:tcPr>
            <w:tcW w:type="dxa" w:w="2160"/>
            <w:vAlign w:val="center"/>
          </w:tcPr>
          <w:p>
            <w:pPr>
              <w:spacing w:after="0"/>
              <w:jc w:val="left"/>
            </w:pPr>
            <w:r/>
            <w:r>
              <w:rPr>
                <w:rFonts w:ascii="Tahoma" w:hAnsi="Tahoma"/>
                <w:b w:val="0"/>
                <w:color w:val="000000"/>
                <w:sz w:val="19"/>
              </w:rPr>
              <w:t>Integridad</w:t>
            </w:r>
          </w:p>
        </w:tc>
        <w:tc>
          <w:tcPr>
            <w:tcW w:type="dxa" w:w="7200"/>
            <w:vAlign w:val="center"/>
          </w:tcPr>
          <w:p>
            <w:pPr>
              <w:spacing w:after="0"/>
              <w:jc w:val="left"/>
            </w:pPr>
            <w:r/>
            <w:r>
              <w:rPr>
                <w:rFonts w:ascii="Tahoma" w:hAnsi="Tahoma"/>
                <w:b w:val="0"/>
                <w:color w:val="000000"/>
                <w:sz w:val="19"/>
              </w:rPr>
              <w:t>Evitar modificaciones no autorizadas en datos, umbrales y comandos de riego.</w:t>
            </w:r>
          </w:p>
        </w:tc>
      </w:tr>
      <w:tr>
        <w:trPr>
          <w:cantSplit/>
        </w:trPr>
        <w:tc>
          <w:tcPr>
            <w:tcW w:type="dxa" w:w="2160"/>
            <w:vAlign w:val="center"/>
          </w:tcPr>
          <w:p>
            <w:pPr>
              <w:spacing w:after="0"/>
              <w:jc w:val="left"/>
            </w:pPr>
            <w:r/>
            <w:r>
              <w:rPr>
                <w:rFonts w:ascii="Tahoma" w:hAnsi="Tahoma"/>
                <w:b w:val="0"/>
                <w:color w:val="000000"/>
                <w:sz w:val="19"/>
              </w:rPr>
              <w:t>Disponibilidad</w:t>
            </w:r>
          </w:p>
        </w:tc>
        <w:tc>
          <w:tcPr>
            <w:tcW w:type="dxa" w:w="7200"/>
            <w:vAlign w:val="center"/>
          </w:tcPr>
          <w:p>
            <w:pPr>
              <w:spacing w:after="0"/>
              <w:jc w:val="left"/>
            </w:pPr>
            <w:r/>
            <w:r>
              <w:rPr>
                <w:rFonts w:ascii="Tahoma" w:hAnsi="Tahoma"/>
                <w:b w:val="0"/>
                <w:color w:val="000000"/>
                <w:sz w:val="19"/>
              </w:rPr>
              <w:t>Mantener disponibles los servicios necesarios para supervisión y control.</w:t>
            </w:r>
          </w:p>
        </w:tc>
      </w:tr>
      <w:tr>
        <w:trPr>
          <w:cantSplit/>
        </w:trPr>
        <w:tc>
          <w:tcPr>
            <w:tcW w:type="dxa" w:w="2160"/>
            <w:vAlign w:val="center"/>
          </w:tcPr>
          <w:p>
            <w:pPr>
              <w:spacing w:after="0"/>
              <w:jc w:val="left"/>
            </w:pPr>
            <w:r/>
            <w:r>
              <w:rPr>
                <w:rFonts w:ascii="Tahoma" w:hAnsi="Tahoma"/>
                <w:b w:val="0"/>
                <w:color w:val="000000"/>
                <w:sz w:val="19"/>
              </w:rPr>
              <w:t>Trazabilidad</w:t>
            </w:r>
          </w:p>
        </w:tc>
        <w:tc>
          <w:tcPr>
            <w:tcW w:type="dxa" w:w="7200"/>
            <w:vAlign w:val="center"/>
          </w:tcPr>
          <w:p>
            <w:pPr>
              <w:spacing w:after="0"/>
              <w:jc w:val="left"/>
            </w:pPr>
            <w:r/>
            <w:r>
              <w:rPr>
                <w:rFonts w:ascii="Tahoma" w:hAnsi="Tahoma"/>
                <w:b w:val="0"/>
                <w:color w:val="000000"/>
                <w:sz w:val="19"/>
              </w:rPr>
              <w:t>Registrar acciones relevantes para poder auditar cambios e incidentes.</w:t>
            </w:r>
          </w:p>
        </w:tc>
      </w:tr>
    </w:tbl>
    <w:p>
      <w:pPr>
        <w:spacing w:after="40"/>
      </w:pPr>
    </w:p>
    <w:p>
      <w:pPr>
        <w:keepNext/>
        <w:spacing w:before="160" w:after="100"/>
        <w:jc w:val="left"/>
      </w:pPr>
      <w:r>
        <w:rPr>
          <w:rFonts w:ascii="Tahoma" w:hAnsi="Tahoma"/>
          <w:color w:val="EE0000"/>
          <w:sz w:val="28"/>
        </w:rPr>
        <w:t>6.3 Roles y responsabilidades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2304"/>
            <w:vAlign w:val="center"/>
            <w:shd w:fill="E7E6E6"/>
          </w:tcPr>
          <w:p>
            <w:pPr>
              <w:spacing w:after="0"/>
              <w:jc w:val="left"/>
            </w:pPr>
            <w:r/>
            <w:r>
              <w:rPr>
                <w:rFonts w:ascii="Tahoma" w:hAnsi="Tahoma"/>
                <w:b/>
                <w:color w:val="000000"/>
                <w:sz w:val="19"/>
              </w:rPr>
              <w:t>Rol</w:t>
            </w:r>
          </w:p>
        </w:tc>
        <w:tc>
          <w:tcPr>
            <w:tcW w:type="dxa" w:w="7056"/>
            <w:vAlign w:val="center"/>
            <w:shd w:fill="E7E6E6"/>
          </w:tcPr>
          <w:p>
            <w:pPr>
              <w:spacing w:after="0"/>
              <w:jc w:val="left"/>
            </w:pPr>
            <w:r/>
            <w:r>
              <w:rPr>
                <w:rFonts w:ascii="Tahoma" w:hAnsi="Tahoma"/>
                <w:b/>
                <w:color w:val="000000"/>
                <w:sz w:val="19"/>
              </w:rPr>
              <w:t>Responsabilidad principal</w:t>
            </w:r>
          </w:p>
        </w:tc>
      </w:tr>
      <w:tr>
        <w:trPr>
          <w:cantSplit/>
        </w:trPr>
        <w:tc>
          <w:tcPr>
            <w:tcW w:type="dxa" w:w="2304"/>
            <w:vAlign w:val="center"/>
          </w:tcPr>
          <w:p>
            <w:pPr>
              <w:spacing w:after="0"/>
              <w:jc w:val="left"/>
            </w:pPr>
            <w:r/>
            <w:r>
              <w:rPr>
                <w:rFonts w:ascii="Tahoma" w:hAnsi="Tahoma"/>
                <w:b w:val="0"/>
                <w:color w:val="000000"/>
                <w:sz w:val="19"/>
              </w:rPr>
              <w:t>Desarrollador</w:t>
            </w:r>
          </w:p>
        </w:tc>
        <w:tc>
          <w:tcPr>
            <w:tcW w:type="dxa" w:w="7056"/>
            <w:vAlign w:val="center"/>
          </w:tcPr>
          <w:p>
            <w:pPr>
              <w:spacing w:after="0"/>
              <w:jc w:val="left"/>
            </w:pPr>
            <w:r/>
            <w:r>
              <w:rPr>
                <w:rFonts w:ascii="Tahoma" w:hAnsi="Tahoma"/>
                <w:b w:val="0"/>
                <w:color w:val="000000"/>
                <w:sz w:val="19"/>
              </w:rPr>
              <w:t>Implementar funcionalidad y controles de seguridad.</w:t>
            </w:r>
          </w:p>
        </w:tc>
      </w:tr>
      <w:tr>
        <w:trPr>
          <w:cantSplit/>
        </w:trPr>
        <w:tc>
          <w:tcPr>
            <w:tcW w:type="dxa" w:w="2304"/>
            <w:vAlign w:val="center"/>
          </w:tcPr>
          <w:p>
            <w:pPr>
              <w:spacing w:after="0"/>
              <w:jc w:val="left"/>
            </w:pPr>
            <w:r/>
            <w:r>
              <w:rPr>
                <w:rFonts w:ascii="Tahoma" w:hAnsi="Tahoma"/>
                <w:b w:val="0"/>
                <w:color w:val="000000"/>
                <w:sz w:val="19"/>
              </w:rPr>
              <w:t>Responsable de seguridad</w:t>
            </w:r>
          </w:p>
        </w:tc>
        <w:tc>
          <w:tcPr>
            <w:tcW w:type="dxa" w:w="7056"/>
            <w:vAlign w:val="center"/>
          </w:tcPr>
          <w:p>
            <w:pPr>
              <w:spacing w:after="0"/>
              <w:jc w:val="left"/>
            </w:pPr>
            <w:r/>
            <w:r>
              <w:rPr>
                <w:rFonts w:ascii="Tahoma" w:hAnsi="Tahoma"/>
                <w:b w:val="0"/>
                <w:color w:val="000000"/>
                <w:sz w:val="19"/>
              </w:rPr>
              <w:t>Analizar riesgos, definir pruebas y verificar mitigaciones.</w:t>
            </w:r>
          </w:p>
        </w:tc>
      </w:tr>
      <w:tr>
        <w:trPr>
          <w:cantSplit/>
        </w:trPr>
        <w:tc>
          <w:tcPr>
            <w:tcW w:type="dxa" w:w="2304"/>
            <w:vAlign w:val="center"/>
          </w:tcPr>
          <w:p>
            <w:pPr>
              <w:spacing w:after="0"/>
              <w:jc w:val="left"/>
            </w:pPr>
            <w:r/>
            <w:r>
              <w:rPr>
                <w:rFonts w:ascii="Tahoma" w:hAnsi="Tahoma"/>
                <w:b w:val="0"/>
                <w:color w:val="000000"/>
                <w:sz w:val="19"/>
              </w:rPr>
              <w:t>Administrador</w:t>
            </w:r>
          </w:p>
        </w:tc>
        <w:tc>
          <w:tcPr>
            <w:tcW w:type="dxa" w:w="7056"/>
            <w:vAlign w:val="center"/>
          </w:tcPr>
          <w:p>
            <w:pPr>
              <w:spacing w:after="0"/>
              <w:jc w:val="left"/>
            </w:pPr>
            <w:r/>
            <w:r>
              <w:rPr>
                <w:rFonts w:ascii="Tahoma" w:hAnsi="Tahoma"/>
                <w:b w:val="0"/>
                <w:color w:val="000000"/>
                <w:sz w:val="19"/>
              </w:rPr>
              <w:t>Gestionar configuración, privilegios y secretos.</w:t>
            </w:r>
          </w:p>
        </w:tc>
      </w:tr>
      <w:tr>
        <w:trPr>
          <w:cantSplit/>
        </w:trPr>
        <w:tc>
          <w:tcPr>
            <w:tcW w:type="dxa" w:w="2304"/>
            <w:vAlign w:val="center"/>
          </w:tcPr>
          <w:p>
            <w:pPr>
              <w:spacing w:after="0"/>
              <w:jc w:val="left"/>
            </w:pPr>
            <w:r/>
            <w:r>
              <w:rPr>
                <w:rFonts w:ascii="Tahoma" w:hAnsi="Tahoma"/>
                <w:b w:val="0"/>
                <w:color w:val="000000"/>
                <w:sz w:val="19"/>
              </w:rPr>
              <w:t>Agricultor/usuario</w:t>
            </w:r>
          </w:p>
        </w:tc>
        <w:tc>
          <w:tcPr>
            <w:tcW w:type="dxa" w:w="7056"/>
            <w:vAlign w:val="center"/>
          </w:tcPr>
          <w:p>
            <w:pPr>
              <w:spacing w:after="0"/>
              <w:jc w:val="left"/>
            </w:pPr>
            <w:r/>
            <w:r>
              <w:rPr>
                <w:rFonts w:ascii="Tahoma" w:hAnsi="Tahoma"/>
                <w:b w:val="0"/>
                <w:color w:val="000000"/>
                <w:sz w:val="19"/>
              </w:rPr>
              <w:t>Administrar exclusivamente sus zonas autorizadas.</w:t>
            </w:r>
          </w:p>
        </w:tc>
      </w:tr>
      <w:tr>
        <w:trPr>
          <w:cantSplit/>
        </w:trPr>
        <w:tc>
          <w:tcPr>
            <w:tcW w:type="dxa" w:w="2304"/>
            <w:vAlign w:val="center"/>
          </w:tcPr>
          <w:p>
            <w:pPr>
              <w:spacing w:after="0"/>
              <w:jc w:val="left"/>
            </w:pPr>
            <w:r/>
            <w:r>
              <w:rPr>
                <w:rFonts w:ascii="Tahoma" w:hAnsi="Tahoma"/>
                <w:b w:val="0"/>
                <w:color w:val="000000"/>
                <w:sz w:val="19"/>
              </w:rPr>
              <w:t>Auditor</w:t>
            </w:r>
          </w:p>
        </w:tc>
        <w:tc>
          <w:tcPr>
            <w:tcW w:type="dxa" w:w="7056"/>
            <w:vAlign w:val="center"/>
          </w:tcPr>
          <w:p>
            <w:pPr>
              <w:spacing w:after="0"/>
              <w:jc w:val="left"/>
            </w:pPr>
            <w:r/>
            <w:r>
              <w:rPr>
                <w:rFonts w:ascii="Tahoma" w:hAnsi="Tahoma"/>
                <w:b w:val="0"/>
                <w:color w:val="000000"/>
                <w:sz w:val="19"/>
              </w:rPr>
              <w:t>Ejecutar pruebas, conservar evidencias y reportar resultados.</w:t>
            </w:r>
          </w:p>
        </w:tc>
      </w:tr>
      <w:tr>
        <w:trPr>
          <w:cantSplit/>
        </w:trPr>
        <w:tc>
          <w:tcPr>
            <w:tcW w:type="dxa" w:w="2304"/>
            <w:vAlign w:val="center"/>
          </w:tcPr>
          <w:p>
            <w:pPr>
              <w:spacing w:after="0"/>
              <w:jc w:val="left"/>
            </w:pPr>
            <w:r/>
            <w:r>
              <w:rPr>
                <w:rFonts w:ascii="Tahoma" w:hAnsi="Tahoma"/>
                <w:b w:val="0"/>
                <w:color w:val="000000"/>
                <w:sz w:val="19"/>
              </w:rPr>
              <w:t>Responsable del sistema</w:t>
            </w:r>
          </w:p>
        </w:tc>
        <w:tc>
          <w:tcPr>
            <w:tcW w:type="dxa" w:w="7056"/>
            <w:vAlign w:val="center"/>
          </w:tcPr>
          <w:p>
            <w:pPr>
              <w:spacing w:after="0"/>
              <w:jc w:val="left"/>
            </w:pPr>
            <w:r/>
            <w:r>
              <w:rPr>
                <w:rFonts w:ascii="Tahoma" w:hAnsi="Tahoma"/>
                <w:b w:val="0"/>
                <w:color w:val="000000"/>
                <w:sz w:val="19"/>
              </w:rPr>
              <w:t>Autorizar cambios críticos que afecten la operación del riego.</w:t>
            </w:r>
          </w:p>
        </w:tc>
      </w:tr>
    </w:tbl>
    <w:p>
      <w:pPr>
        <w:spacing w:after="40"/>
      </w:pPr>
    </w:p>
    <w:p>
      <w:pPr>
        <w:keepNext/>
        <w:spacing w:before="160" w:after="100"/>
        <w:jc w:val="left"/>
      </w:pPr>
      <w:r>
        <w:rPr>
          <w:rFonts w:ascii="Tahoma" w:hAnsi="Tahoma"/>
          <w:color w:val="EE0000"/>
          <w:sz w:val="28"/>
        </w:rPr>
        <w:t>6.4 Principios operativos del ONF</w:t>
      </w:r>
    </w:p>
    <w:p>
      <w:pPr>
        <w:spacing w:after="40"/>
        <w:ind w:left="317" w:hanging="216"/>
        <w:jc w:val="left"/>
      </w:pPr>
      <w:r>
        <w:rPr>
          <w:rFonts w:ascii="Tahoma" w:hAnsi="Tahoma"/>
          <w:sz w:val="22"/>
        </w:rPr>
        <w:t>• Denegación por defecto para recursos protegidos.</w:t>
      </w:r>
    </w:p>
    <w:p>
      <w:pPr>
        <w:spacing w:after="40"/>
        <w:ind w:left="317" w:hanging="216"/>
        <w:jc w:val="left"/>
      </w:pPr>
      <w:r>
        <w:rPr>
          <w:rFonts w:ascii="Tahoma" w:hAnsi="Tahoma"/>
          <w:sz w:val="22"/>
        </w:rPr>
        <w:t>• Mínimo privilegio en usuarios y funciones administrativas.</w:t>
      </w:r>
    </w:p>
    <w:p>
      <w:pPr>
        <w:spacing w:after="40"/>
        <w:ind w:left="317" w:hanging="216"/>
        <w:jc w:val="left"/>
      </w:pPr>
      <w:r>
        <w:rPr>
          <w:rFonts w:ascii="Tahoma" w:hAnsi="Tahoma"/>
          <w:sz w:val="22"/>
        </w:rPr>
        <w:t>• Validación de toda entrada proveniente del cliente.</w:t>
      </w:r>
    </w:p>
    <w:p>
      <w:pPr>
        <w:spacing w:after="40"/>
        <w:ind w:left="317" w:hanging="216"/>
        <w:jc w:val="left"/>
      </w:pPr>
      <w:r>
        <w:rPr>
          <w:rFonts w:ascii="Tahoma" w:hAnsi="Tahoma"/>
          <w:sz w:val="22"/>
        </w:rPr>
        <w:t>• Separación entre configuración, código y secretos.</w:t>
      </w:r>
    </w:p>
    <w:p>
      <w:pPr>
        <w:spacing w:after="40"/>
        <w:ind w:left="317" w:hanging="216"/>
        <w:jc w:val="left"/>
      </w:pPr>
      <w:r>
        <w:rPr>
          <w:rFonts w:ascii="Tahoma" w:hAnsi="Tahoma"/>
          <w:sz w:val="22"/>
        </w:rPr>
        <w:t>• Registro de operaciones críticas y fallas relevantes.</w:t>
      </w:r>
    </w:p>
    <w:p>
      <w:pPr>
        <w:spacing w:after="40"/>
        <w:ind w:left="317" w:hanging="216"/>
        <w:jc w:val="left"/>
      </w:pPr>
      <w:r>
        <w:rPr>
          <w:rFonts w:ascii="Tahoma" w:hAnsi="Tahoma"/>
          <w:sz w:val="22"/>
        </w:rPr>
        <w:t>• Revisión de dependencias y actualización de componentes.</w:t>
      </w:r>
    </w:p>
    <w:p>
      <w:pPr>
        <w:spacing w:after="40"/>
        <w:ind w:left="317" w:hanging="216"/>
        <w:jc w:val="left"/>
      </w:pPr>
      <w:r>
        <w:rPr>
          <w:rFonts w:ascii="Tahoma" w:hAnsi="Tahoma"/>
          <w:sz w:val="22"/>
        </w:rPr>
        <w:t>• Pruebas de seguridad reproducibles antes de liberar cambios.</w:t>
      </w:r>
    </w:p>
    <w:p>
      <w:pPr>
        <w:keepNext/>
        <w:spacing w:before="200" w:after="160"/>
        <w:jc w:val="center"/>
      </w:pPr>
      <w:r>
        <w:rPr>
          <w:rFonts w:ascii="Tahoma" w:hAnsi="Tahoma"/>
          <w:color w:val="EE0000"/>
          <w:sz w:val="36"/>
        </w:rPr>
        <w:t>7 Application Security Controls (ASC)</w:t>
      </w:r>
    </w:p>
    <w:p>
      <w:pPr>
        <w:spacing w:after="120" w:line="259" w:lineRule="auto"/>
        <w:jc w:val="both"/>
      </w:pPr>
      <w:r>
        <w:rPr>
          <w:rFonts w:ascii="Tahoma" w:hAnsi="Tahoma"/>
          <w:b w:val="0"/>
          <w:i w:val="0"/>
          <w:color w:val="000000"/>
          <w:sz w:val="22"/>
        </w:rPr>
        <w:t>A partir del contexto de AgriSmart se definen controles específicos de seguridad de aplicación. Cada control relaciona un riesgo con una medida concreta y una condición de verificación.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34"/>
        <w:gridCol w:w="2634"/>
        <w:gridCol w:w="2634"/>
        <w:gridCol w:w="2634"/>
      </w:tblGrid>
      <w:tr>
        <w:trPr>
          <w:tblHeader w:val="true"/>
          <w:cantSplit/>
        </w:trPr>
        <w:tc>
          <w:tcPr>
            <w:tcW w:type="dxa" w:w="936"/>
            <w:vAlign w:val="center"/>
            <w:shd w:fill="E7E6E6"/>
          </w:tcPr>
          <w:p>
            <w:pPr>
              <w:spacing w:after="0"/>
              <w:jc w:val="left"/>
            </w:pPr>
            <w:r/>
            <w:r>
              <w:rPr>
                <w:rFonts w:ascii="Tahoma" w:hAnsi="Tahoma"/>
                <w:b/>
                <w:color w:val="000000"/>
                <w:sz w:val="17"/>
              </w:rPr>
              <w:t>ID</w:t>
            </w:r>
          </w:p>
        </w:tc>
        <w:tc>
          <w:tcPr>
            <w:tcW w:type="dxa" w:w="1944"/>
            <w:vAlign w:val="center"/>
            <w:shd w:fill="E7E6E6"/>
          </w:tcPr>
          <w:p>
            <w:pPr>
              <w:spacing w:after="0"/>
              <w:jc w:val="left"/>
            </w:pPr>
            <w:r/>
            <w:r>
              <w:rPr>
                <w:rFonts w:ascii="Tahoma" w:hAnsi="Tahoma"/>
                <w:b/>
                <w:color w:val="000000"/>
                <w:sz w:val="17"/>
              </w:rPr>
              <w:t>Riesgo</w:t>
            </w:r>
          </w:p>
        </w:tc>
        <w:tc>
          <w:tcPr>
            <w:tcW w:type="dxa" w:w="4032"/>
            <w:vAlign w:val="center"/>
            <w:shd w:fill="E7E6E6"/>
          </w:tcPr>
          <w:p>
            <w:pPr>
              <w:spacing w:after="0"/>
              <w:jc w:val="left"/>
            </w:pPr>
            <w:r/>
            <w:r>
              <w:rPr>
                <w:rFonts w:ascii="Tahoma" w:hAnsi="Tahoma"/>
                <w:b/>
                <w:color w:val="000000"/>
                <w:sz w:val="17"/>
              </w:rPr>
              <w:t>Control propuesto</w:t>
            </w:r>
          </w:p>
        </w:tc>
        <w:tc>
          <w:tcPr>
            <w:tcW w:type="dxa" w:w="3024"/>
            <w:vAlign w:val="center"/>
            <w:shd w:fill="E7E6E6"/>
          </w:tcPr>
          <w:p>
            <w:pPr>
              <w:spacing w:after="0"/>
              <w:jc w:val="left"/>
            </w:pPr>
            <w:r/>
            <w:r>
              <w:rPr>
                <w:rFonts w:ascii="Tahoma" w:hAnsi="Tahoma"/>
                <w:b/>
                <w:color w:val="000000"/>
                <w:sz w:val="17"/>
              </w:rPr>
              <w:t>Verificación</w:t>
            </w:r>
          </w:p>
        </w:tc>
      </w:tr>
      <w:tr>
        <w:trPr>
          <w:cantSplit/>
        </w:trPr>
        <w:tc>
          <w:tcPr>
            <w:tcW w:type="dxa" w:w="936"/>
            <w:vAlign w:val="center"/>
          </w:tcPr>
          <w:p>
            <w:pPr>
              <w:spacing w:after="0"/>
              <w:jc w:val="left"/>
            </w:pPr>
            <w:r/>
            <w:r>
              <w:rPr>
                <w:rFonts w:ascii="Tahoma" w:hAnsi="Tahoma"/>
                <w:b w:val="0"/>
                <w:color w:val="000000"/>
                <w:sz w:val="17"/>
              </w:rPr>
              <w:t>ASC-01</w:t>
            </w:r>
          </w:p>
        </w:tc>
        <w:tc>
          <w:tcPr>
            <w:tcW w:type="dxa" w:w="1944"/>
            <w:vAlign w:val="center"/>
          </w:tcPr>
          <w:p>
            <w:pPr>
              <w:spacing w:after="0"/>
              <w:jc w:val="left"/>
            </w:pPr>
            <w:r/>
            <w:r>
              <w:rPr>
                <w:rFonts w:ascii="Tahoma" w:hAnsi="Tahoma"/>
                <w:b w:val="0"/>
                <w:color w:val="000000"/>
                <w:sz w:val="17"/>
              </w:rPr>
              <w:t>Acceso a zonas de terceros</w:t>
            </w:r>
          </w:p>
        </w:tc>
        <w:tc>
          <w:tcPr>
            <w:tcW w:type="dxa" w:w="4032"/>
            <w:vAlign w:val="center"/>
          </w:tcPr>
          <w:p>
            <w:pPr>
              <w:spacing w:after="0"/>
              <w:jc w:val="left"/>
            </w:pPr>
            <w:r/>
            <w:r>
              <w:rPr>
                <w:rFonts w:ascii="Tahoma" w:hAnsi="Tahoma"/>
                <w:b w:val="0"/>
                <w:color w:val="000000"/>
                <w:sz w:val="17"/>
              </w:rPr>
              <w:t>Verificar identidad, permisos y propiedad de la zona en cada operación.</w:t>
            </w:r>
          </w:p>
        </w:tc>
        <w:tc>
          <w:tcPr>
            <w:tcW w:type="dxa" w:w="3024"/>
            <w:vAlign w:val="center"/>
          </w:tcPr>
          <w:p>
            <w:pPr>
              <w:spacing w:after="0"/>
              <w:jc w:val="left"/>
            </w:pPr>
            <w:r/>
            <w:r>
              <w:rPr>
                <w:rFonts w:ascii="Tahoma" w:hAnsi="Tahoma"/>
                <w:b w:val="0"/>
                <w:color w:val="000000"/>
                <w:sz w:val="17"/>
              </w:rPr>
              <w:t>Solicitud sobre zona ajena debe responder 403.</w:t>
            </w:r>
          </w:p>
        </w:tc>
      </w:tr>
      <w:tr>
        <w:trPr>
          <w:cantSplit/>
        </w:trPr>
        <w:tc>
          <w:tcPr>
            <w:tcW w:type="dxa" w:w="936"/>
            <w:vAlign w:val="center"/>
          </w:tcPr>
          <w:p>
            <w:pPr>
              <w:spacing w:after="0"/>
              <w:jc w:val="left"/>
            </w:pPr>
            <w:r/>
            <w:r>
              <w:rPr>
                <w:rFonts w:ascii="Tahoma" w:hAnsi="Tahoma"/>
                <w:b w:val="0"/>
                <w:color w:val="000000"/>
                <w:sz w:val="17"/>
              </w:rPr>
              <w:t>ASC-02</w:t>
            </w:r>
          </w:p>
        </w:tc>
        <w:tc>
          <w:tcPr>
            <w:tcW w:type="dxa" w:w="1944"/>
            <w:vAlign w:val="center"/>
          </w:tcPr>
          <w:p>
            <w:pPr>
              <w:spacing w:after="0"/>
              <w:jc w:val="left"/>
            </w:pPr>
            <w:r/>
            <w:r>
              <w:rPr>
                <w:rFonts w:ascii="Tahoma" w:hAnsi="Tahoma"/>
                <w:b w:val="0"/>
                <w:color w:val="000000"/>
                <w:sz w:val="17"/>
              </w:rPr>
              <w:t>Inyección SQL</w:t>
            </w:r>
          </w:p>
        </w:tc>
        <w:tc>
          <w:tcPr>
            <w:tcW w:type="dxa" w:w="4032"/>
            <w:vAlign w:val="center"/>
          </w:tcPr>
          <w:p>
            <w:pPr>
              <w:spacing w:after="0"/>
              <w:jc w:val="left"/>
            </w:pPr>
            <w:r/>
            <w:r>
              <w:rPr>
                <w:rFonts w:ascii="Tahoma" w:hAnsi="Tahoma"/>
                <w:b w:val="0"/>
                <w:color w:val="000000"/>
                <w:sz w:val="17"/>
              </w:rPr>
              <w:t>Usar consultas parametrizadas y validar tipos/formato.</w:t>
            </w:r>
          </w:p>
        </w:tc>
        <w:tc>
          <w:tcPr>
            <w:tcW w:type="dxa" w:w="3024"/>
            <w:vAlign w:val="center"/>
          </w:tcPr>
          <w:p>
            <w:pPr>
              <w:spacing w:after="0"/>
              <w:jc w:val="left"/>
            </w:pPr>
            <w:r/>
            <w:r>
              <w:rPr>
                <w:rFonts w:ascii="Tahoma" w:hAnsi="Tahoma"/>
                <w:b w:val="0"/>
                <w:color w:val="000000"/>
                <w:sz w:val="17"/>
              </w:rPr>
              <w:t>Entrada manipulada no altera la consulta; inválidos responden 400.</w:t>
            </w:r>
          </w:p>
        </w:tc>
      </w:tr>
      <w:tr>
        <w:trPr>
          <w:cantSplit/>
        </w:trPr>
        <w:tc>
          <w:tcPr>
            <w:tcW w:type="dxa" w:w="936"/>
            <w:vAlign w:val="center"/>
          </w:tcPr>
          <w:p>
            <w:pPr>
              <w:spacing w:after="0"/>
              <w:jc w:val="left"/>
            </w:pPr>
            <w:r/>
            <w:r>
              <w:rPr>
                <w:rFonts w:ascii="Tahoma" w:hAnsi="Tahoma"/>
                <w:b w:val="0"/>
                <w:color w:val="000000"/>
                <w:sz w:val="17"/>
              </w:rPr>
              <w:t>ASC-03</w:t>
            </w:r>
          </w:p>
        </w:tc>
        <w:tc>
          <w:tcPr>
            <w:tcW w:type="dxa" w:w="1944"/>
            <w:vAlign w:val="center"/>
          </w:tcPr>
          <w:p>
            <w:pPr>
              <w:spacing w:after="0"/>
              <w:jc w:val="left"/>
            </w:pPr>
            <w:r/>
            <w:r>
              <w:rPr>
                <w:rFonts w:ascii="Tahoma" w:hAnsi="Tahoma"/>
                <w:b w:val="0"/>
                <w:color w:val="000000"/>
                <w:sz w:val="17"/>
              </w:rPr>
              <w:t>Parámetros destructivos</w:t>
            </w:r>
          </w:p>
        </w:tc>
        <w:tc>
          <w:tcPr>
            <w:tcW w:type="dxa" w:w="4032"/>
            <w:vAlign w:val="center"/>
          </w:tcPr>
          <w:p>
            <w:pPr>
              <w:spacing w:after="0"/>
              <w:jc w:val="left"/>
            </w:pPr>
            <w:r/>
            <w:r>
              <w:rPr>
                <w:rFonts w:ascii="Tahoma" w:hAnsi="Tahoma"/>
                <w:b w:val="0"/>
                <w:color w:val="000000"/>
                <w:sz w:val="17"/>
              </w:rPr>
              <w:t>Aplicar límites de negocio definidos y tipos estrictos.</w:t>
            </w:r>
          </w:p>
        </w:tc>
        <w:tc>
          <w:tcPr>
            <w:tcW w:type="dxa" w:w="3024"/>
            <w:vAlign w:val="center"/>
          </w:tcPr>
          <w:p>
            <w:pPr>
              <w:spacing w:after="0"/>
              <w:jc w:val="left"/>
            </w:pPr>
            <w:r/>
            <w:r>
              <w:rPr>
                <w:rFonts w:ascii="Tahoma" w:hAnsi="Tahoma"/>
                <w:b w:val="0"/>
                <w:color w:val="000000"/>
                <w:sz w:val="17"/>
              </w:rPr>
              <w:t>Valores fuera de rango responden 400.</w:t>
            </w:r>
          </w:p>
        </w:tc>
      </w:tr>
      <w:tr>
        <w:trPr>
          <w:cantSplit/>
        </w:trPr>
        <w:tc>
          <w:tcPr>
            <w:tcW w:type="dxa" w:w="936"/>
            <w:vAlign w:val="center"/>
          </w:tcPr>
          <w:p>
            <w:pPr>
              <w:spacing w:after="0"/>
              <w:jc w:val="left"/>
            </w:pPr>
            <w:r/>
            <w:r>
              <w:rPr>
                <w:rFonts w:ascii="Tahoma" w:hAnsi="Tahoma"/>
                <w:b w:val="0"/>
                <w:color w:val="000000"/>
                <w:sz w:val="17"/>
              </w:rPr>
              <w:t>ASC-04</w:t>
            </w:r>
          </w:p>
        </w:tc>
        <w:tc>
          <w:tcPr>
            <w:tcW w:type="dxa" w:w="1944"/>
            <w:vAlign w:val="center"/>
          </w:tcPr>
          <w:p>
            <w:pPr>
              <w:spacing w:after="0"/>
              <w:jc w:val="left"/>
            </w:pPr>
            <w:r/>
            <w:r>
              <w:rPr>
                <w:rFonts w:ascii="Tahoma" w:hAnsi="Tahoma"/>
                <w:b w:val="0"/>
                <w:color w:val="000000"/>
                <w:sz w:val="17"/>
              </w:rPr>
              <w:t>Consola administrativa expuesta</w:t>
            </w:r>
          </w:p>
        </w:tc>
        <w:tc>
          <w:tcPr>
            <w:tcW w:type="dxa" w:w="4032"/>
            <w:vAlign w:val="center"/>
          </w:tcPr>
          <w:p>
            <w:pPr>
              <w:spacing w:after="0"/>
              <w:jc w:val="left"/>
            </w:pPr>
            <w:r/>
            <w:r>
              <w:rPr>
                <w:rFonts w:ascii="Tahoma" w:hAnsi="Tahoma"/>
                <w:b w:val="0"/>
                <w:color w:val="000000"/>
                <w:sz w:val="17"/>
              </w:rPr>
              <w:t>Exigir autenticación y rol de administrador.</w:t>
            </w:r>
          </w:p>
        </w:tc>
        <w:tc>
          <w:tcPr>
            <w:tcW w:type="dxa" w:w="3024"/>
            <w:vAlign w:val="center"/>
          </w:tcPr>
          <w:p>
            <w:pPr>
              <w:spacing w:after="0"/>
              <w:jc w:val="left"/>
            </w:pPr>
            <w:r/>
            <w:r>
              <w:rPr>
                <w:rFonts w:ascii="Tahoma" w:hAnsi="Tahoma"/>
                <w:b w:val="0"/>
                <w:color w:val="000000"/>
                <w:sz w:val="17"/>
              </w:rPr>
              <w:t>Anónimo 401; usuario sin rol 403.</w:t>
            </w:r>
          </w:p>
        </w:tc>
      </w:tr>
      <w:tr>
        <w:trPr>
          <w:cantSplit/>
        </w:trPr>
        <w:tc>
          <w:tcPr>
            <w:tcW w:type="dxa" w:w="936"/>
            <w:vAlign w:val="center"/>
          </w:tcPr>
          <w:p>
            <w:pPr>
              <w:spacing w:after="0"/>
              <w:jc w:val="left"/>
            </w:pPr>
            <w:r/>
            <w:r>
              <w:rPr>
                <w:rFonts w:ascii="Tahoma" w:hAnsi="Tahoma"/>
                <w:b w:val="0"/>
                <w:color w:val="000000"/>
                <w:sz w:val="17"/>
              </w:rPr>
              <w:t>ASC-05</w:t>
            </w:r>
          </w:p>
        </w:tc>
        <w:tc>
          <w:tcPr>
            <w:tcW w:type="dxa" w:w="1944"/>
            <w:vAlign w:val="center"/>
          </w:tcPr>
          <w:p>
            <w:pPr>
              <w:spacing w:after="0"/>
              <w:jc w:val="left"/>
            </w:pPr>
            <w:r/>
            <w:r>
              <w:rPr>
                <w:rFonts w:ascii="Tahoma" w:hAnsi="Tahoma"/>
                <w:b w:val="0"/>
                <w:color w:val="000000"/>
                <w:sz w:val="17"/>
              </w:rPr>
              <w:t>Secretos embebidos</w:t>
            </w:r>
          </w:p>
        </w:tc>
        <w:tc>
          <w:tcPr>
            <w:tcW w:type="dxa" w:w="4032"/>
            <w:vAlign w:val="center"/>
          </w:tcPr>
          <w:p>
            <w:pPr>
              <w:spacing w:after="0"/>
              <w:jc w:val="left"/>
            </w:pPr>
            <w:r/>
            <w:r>
              <w:rPr>
                <w:rFonts w:ascii="Tahoma" w:hAnsi="Tahoma"/>
                <w:b w:val="0"/>
                <w:color w:val="000000"/>
                <w:sz w:val="17"/>
              </w:rPr>
              <w:t>Extraer claves del código y gestionarlas externamente.</w:t>
            </w:r>
          </w:p>
        </w:tc>
        <w:tc>
          <w:tcPr>
            <w:tcW w:type="dxa" w:w="3024"/>
            <w:vAlign w:val="center"/>
          </w:tcPr>
          <w:p>
            <w:pPr>
              <w:spacing w:after="0"/>
              <w:jc w:val="left"/>
            </w:pPr>
            <w:r/>
            <w:r>
              <w:rPr>
                <w:rFonts w:ascii="Tahoma" w:hAnsi="Tahoma"/>
                <w:b w:val="0"/>
                <w:color w:val="000000"/>
                <w:sz w:val="17"/>
              </w:rPr>
              <w:t>Repositorio no contiene secretos válidos.</w:t>
            </w:r>
          </w:p>
        </w:tc>
      </w:tr>
      <w:tr>
        <w:trPr>
          <w:cantSplit/>
        </w:trPr>
        <w:tc>
          <w:tcPr>
            <w:tcW w:type="dxa" w:w="936"/>
            <w:vAlign w:val="center"/>
          </w:tcPr>
          <w:p>
            <w:pPr>
              <w:spacing w:after="0"/>
              <w:jc w:val="left"/>
            </w:pPr>
            <w:r/>
            <w:r>
              <w:rPr>
                <w:rFonts w:ascii="Tahoma" w:hAnsi="Tahoma"/>
                <w:b w:val="0"/>
                <w:color w:val="000000"/>
                <w:sz w:val="17"/>
              </w:rPr>
              <w:t>ASC-06</w:t>
            </w:r>
          </w:p>
        </w:tc>
        <w:tc>
          <w:tcPr>
            <w:tcW w:type="dxa" w:w="1944"/>
            <w:vAlign w:val="center"/>
          </w:tcPr>
          <w:p>
            <w:pPr>
              <w:spacing w:after="0"/>
              <w:jc w:val="left"/>
            </w:pPr>
            <w:r/>
            <w:r>
              <w:rPr>
                <w:rFonts w:ascii="Tahoma" w:hAnsi="Tahoma"/>
                <w:b w:val="0"/>
                <w:color w:val="000000"/>
                <w:sz w:val="17"/>
              </w:rPr>
              <w:t>Entrada no confiable</w:t>
            </w:r>
          </w:p>
        </w:tc>
        <w:tc>
          <w:tcPr>
            <w:tcW w:type="dxa" w:w="4032"/>
            <w:vAlign w:val="center"/>
          </w:tcPr>
          <w:p>
            <w:pPr>
              <w:spacing w:after="0"/>
              <w:jc w:val="left"/>
            </w:pPr>
            <w:r/>
            <w:r>
              <w:rPr>
                <w:rFonts w:ascii="Tahoma" w:hAnsi="Tahoma"/>
                <w:b w:val="0"/>
                <w:color w:val="000000"/>
                <w:sz w:val="17"/>
              </w:rPr>
              <w:t>Aplicar allowlists, validación de longitud, tipo y formato.</w:t>
            </w:r>
          </w:p>
        </w:tc>
        <w:tc>
          <w:tcPr>
            <w:tcW w:type="dxa" w:w="3024"/>
            <w:vAlign w:val="center"/>
          </w:tcPr>
          <w:p>
            <w:pPr>
              <w:spacing w:after="0"/>
              <w:jc w:val="left"/>
            </w:pPr>
            <w:r/>
            <w:r>
              <w:rPr>
                <w:rFonts w:ascii="Tahoma" w:hAnsi="Tahoma"/>
                <w:b w:val="0"/>
                <w:color w:val="000000"/>
                <w:sz w:val="17"/>
              </w:rPr>
              <w:t>Entradas fuera del esquema son rechazadas.</w:t>
            </w:r>
          </w:p>
        </w:tc>
      </w:tr>
      <w:tr>
        <w:trPr>
          <w:cantSplit/>
        </w:trPr>
        <w:tc>
          <w:tcPr>
            <w:tcW w:type="dxa" w:w="936"/>
            <w:vAlign w:val="center"/>
          </w:tcPr>
          <w:p>
            <w:pPr>
              <w:spacing w:after="0"/>
              <w:jc w:val="left"/>
            </w:pPr>
            <w:r/>
            <w:r>
              <w:rPr>
                <w:rFonts w:ascii="Tahoma" w:hAnsi="Tahoma"/>
                <w:b w:val="0"/>
                <w:color w:val="000000"/>
                <w:sz w:val="17"/>
              </w:rPr>
              <w:t>ASC-07</w:t>
            </w:r>
          </w:p>
        </w:tc>
        <w:tc>
          <w:tcPr>
            <w:tcW w:type="dxa" w:w="1944"/>
            <w:vAlign w:val="center"/>
          </w:tcPr>
          <w:p>
            <w:pPr>
              <w:spacing w:after="0"/>
              <w:jc w:val="left"/>
            </w:pPr>
            <w:r/>
            <w:r>
              <w:rPr>
                <w:rFonts w:ascii="Tahoma" w:hAnsi="Tahoma"/>
                <w:b w:val="0"/>
                <w:color w:val="000000"/>
                <w:sz w:val="17"/>
              </w:rPr>
              <w:t>Falta de trazabilidad</w:t>
            </w:r>
          </w:p>
        </w:tc>
        <w:tc>
          <w:tcPr>
            <w:tcW w:type="dxa" w:w="4032"/>
            <w:vAlign w:val="center"/>
          </w:tcPr>
          <w:p>
            <w:pPr>
              <w:spacing w:after="0"/>
              <w:jc w:val="left"/>
            </w:pPr>
            <w:r/>
            <w:r>
              <w:rPr>
                <w:rFonts w:ascii="Tahoma" w:hAnsi="Tahoma"/>
                <w:b w:val="0"/>
                <w:color w:val="000000"/>
                <w:sz w:val="17"/>
              </w:rPr>
              <w:t>Registrar eventos críticos con información suficiente.</w:t>
            </w:r>
          </w:p>
        </w:tc>
        <w:tc>
          <w:tcPr>
            <w:tcW w:type="dxa" w:w="3024"/>
            <w:vAlign w:val="center"/>
          </w:tcPr>
          <w:p>
            <w:pPr>
              <w:spacing w:after="0"/>
              <w:jc w:val="left"/>
            </w:pPr>
            <w:r/>
            <w:r>
              <w:rPr>
                <w:rFonts w:ascii="Tahoma" w:hAnsi="Tahoma"/>
                <w:b w:val="0"/>
                <w:color w:val="000000"/>
                <w:sz w:val="17"/>
              </w:rPr>
              <w:t>Cambios de riego quedan registrados sin exponer secretos.</w:t>
            </w:r>
          </w:p>
        </w:tc>
      </w:tr>
    </w:tbl>
    <w:p>
      <w:pPr>
        <w:spacing w:after="40"/>
      </w:pPr>
    </w:p>
    <w:p>
      <w:pPr>
        <w:keepNext/>
        <w:spacing w:before="200" w:after="160"/>
        <w:jc w:val="center"/>
      </w:pPr>
      <w:r>
        <w:rPr>
          <w:rFonts w:ascii="Tahoma" w:hAnsi="Tahoma"/>
          <w:color w:val="EE0000"/>
          <w:sz w:val="36"/>
        </w:rPr>
        <w:t>8 Selección y análisis de vulnerabilidades OWASP</w:t>
      </w:r>
    </w:p>
    <w:p>
      <w:pPr>
        <w:spacing w:after="120" w:line="259" w:lineRule="auto"/>
        <w:jc w:val="both"/>
      </w:pPr>
      <w:r>
        <w:rPr>
          <w:rFonts w:ascii="Tahoma" w:hAnsi="Tahoma"/>
          <w:b w:val="0"/>
          <w:i w:val="0"/>
          <w:color w:val="000000"/>
          <w:sz w:val="22"/>
        </w:rPr>
        <w:t>La pauta exige seleccionar cinco de los diez riesgos del escenario. Se eligen A01, A03, A04, A05 y A07 porque permiten demostrar de forma clara una condición vulnerable, su impacto y una mitigación verificable dentro del laboratorio.</w:t>
      </w:r>
    </w:p>
    <w:p>
      <w:pPr>
        <w:keepNext/>
        <w:spacing w:before="160" w:after="100"/>
        <w:jc w:val="left"/>
      </w:pPr>
      <w:r>
        <w:rPr>
          <w:rFonts w:ascii="Tahoma" w:hAnsi="Tahoma"/>
          <w:color w:val="EE0000"/>
          <w:sz w:val="28"/>
        </w:rPr>
        <w:t>8.1 A01:2021 – Broken Access Control</w:t>
      </w:r>
    </w:p>
    <w:p>
      <w:pPr>
        <w:spacing w:after="120" w:line="259" w:lineRule="auto"/>
        <w:jc w:val="both"/>
      </w:pPr>
      <w:r>
        <w:rPr>
          <w:rFonts w:ascii="Tahoma" w:hAnsi="Tahoma"/>
          <w:b w:val="0"/>
          <w:i w:val="0"/>
          <w:color w:val="000000"/>
          <w:sz w:val="22"/>
        </w:rPr>
        <w:t>El escenario indica que un agricultor puede apagar o modificar comandos de riego correspondientes a otros campos cambiando el identificador de zona. Esto representa una falla de autorización a nivel de objeto: el servidor confía en el ID solicitado sin comprobar que el recurso pertenezca al usuario autenticado.</w:t>
      </w:r>
    </w:p>
    <w:p>
      <w:pPr>
        <w:spacing w:after="120" w:line="259" w:lineRule="auto"/>
        <w:jc w:val="both"/>
      </w:pPr>
      <w:r>
        <w:rPr>
          <w:rFonts w:ascii="Tahoma" w:hAnsi="Tahoma"/>
          <w:b w:val="0"/>
          <w:i w:val="0"/>
          <w:color w:val="000000"/>
          <w:sz w:val="22"/>
        </w:rPr>
        <w:t>OWASP ubica Broken Access Control en A01:2021 y recomienda que los controles de acceso se implementen del lado del servidor, utilizando denegación por defecto y verificando permisos para cada solicitud [6].</w:t>
      </w:r>
    </w:p>
    <w:p>
      <w:pPr>
        <w:spacing w:after="40"/>
        <w:ind w:left="317" w:hanging="216"/>
        <w:jc w:val="left"/>
      </w:pPr>
      <w:r>
        <w:rPr>
          <w:rFonts w:ascii="Tahoma" w:hAnsi="Tahoma"/>
          <w:sz w:val="22"/>
        </w:rPr>
        <w:t>• Impacto: modificación de riego de terceros, afectación de integridad y disponibilidad, consumo indebido de agua y potencial daño operacional.</w:t>
      </w:r>
    </w:p>
    <w:p>
      <w:pPr>
        <w:spacing w:after="40"/>
        <w:ind w:left="317" w:hanging="216"/>
        <w:jc w:val="left"/>
      </w:pPr>
      <w:r>
        <w:rPr>
          <w:rFonts w:ascii="Tahoma" w:hAnsi="Tahoma"/>
          <w:sz w:val="22"/>
        </w:rPr>
        <w:t>• Mitigación: comprobar identidad, permiso y propiedad de zona antes de realizar cualquier cambio.</w:t>
      </w:r>
    </w:p>
    <w:p>
      <w:pPr>
        <w:spacing w:after="40"/>
        <w:ind w:left="317" w:hanging="216"/>
        <w:jc w:val="left"/>
      </w:pPr>
      <w:r>
        <w:rPr>
          <w:rFonts w:ascii="Tahoma" w:hAnsi="Tahoma"/>
          <w:sz w:val="22"/>
        </w:rPr>
        <w:t>• Resultado seguro esperado: HTTP 403 Forbidden ante una zona que no pertenece al usuario.</w:t>
      </w:r>
    </w:p>
    <w:p>
      <w:pPr>
        <w:keepNext/>
        <w:spacing w:before="160" w:after="100"/>
        <w:jc w:val="left"/>
      </w:pPr>
      <w:r>
        <w:rPr>
          <w:rFonts w:ascii="Tahoma" w:hAnsi="Tahoma"/>
          <w:color w:val="EE0000"/>
          <w:sz w:val="28"/>
        </w:rPr>
        <w:t>8.2 A03:2021 – Injection</w:t>
      </w:r>
    </w:p>
    <w:p>
      <w:pPr>
        <w:spacing w:after="120" w:line="259" w:lineRule="auto"/>
        <w:jc w:val="both"/>
      </w:pPr>
      <w:r>
        <w:rPr>
          <w:rFonts w:ascii="Tahoma" w:hAnsi="Tahoma"/>
          <w:b w:val="0"/>
          <w:i w:val="0"/>
          <w:color w:val="000000"/>
          <w:sz w:val="22"/>
        </w:rPr>
        <w:t>El caso incluye una inyección SQL en el reporte histórico de temperatura y humedad. El problema aparece cuando un parámetro entregado por el cliente se concatena directamente en una consulta, permitiendo que la entrada modifique la estructura lógica de SQL.</w:t>
      </w:r>
    </w:p>
    <w:p>
      <w:pPr>
        <w:spacing w:after="120" w:line="259" w:lineRule="auto"/>
        <w:jc w:val="both"/>
      </w:pPr>
      <w:r>
        <w:rPr>
          <w:rFonts w:ascii="Tahoma" w:hAnsi="Tahoma"/>
          <w:b w:val="0"/>
          <w:i w:val="0"/>
          <w:color w:val="000000"/>
          <w:sz w:val="22"/>
        </w:rPr>
        <w:t>OWASP recomienda utilizar APIs seguras, consultas parametrizadas y validación del lado del servidor para reducir la posibilidad de inyección [4].</w:t>
      </w:r>
    </w:p>
    <w:p>
      <w:pPr>
        <w:spacing w:after="40"/>
        <w:ind w:left="317" w:hanging="216"/>
        <w:jc w:val="left"/>
      </w:pPr>
      <w:r>
        <w:rPr>
          <w:rFonts w:ascii="Tahoma" w:hAnsi="Tahoma"/>
          <w:sz w:val="22"/>
        </w:rPr>
        <w:t>• Impacto: exposición de registros, alteración de consultas, modificación o eliminación de información según privilegios de la conexión.</w:t>
      </w:r>
    </w:p>
    <w:p>
      <w:pPr>
        <w:spacing w:after="40"/>
        <w:ind w:left="317" w:hanging="216"/>
        <w:jc w:val="left"/>
      </w:pPr>
      <w:r>
        <w:rPr>
          <w:rFonts w:ascii="Tahoma" w:hAnsi="Tahoma"/>
          <w:sz w:val="22"/>
        </w:rPr>
        <w:t>• Mitigación: placeholders/parámetros SQL, validación de enteros positivos y mensajes de error controlados.</w:t>
      </w:r>
    </w:p>
    <w:p>
      <w:pPr>
        <w:spacing w:after="40"/>
        <w:ind w:left="317" w:hanging="216"/>
        <w:jc w:val="left"/>
      </w:pPr>
      <w:r>
        <w:rPr>
          <w:rFonts w:ascii="Tahoma" w:hAnsi="Tahoma"/>
          <w:sz w:val="22"/>
        </w:rPr>
        <w:t>• Resultado seguro esperado: HTTP 400 Bad Request para parámetros que no respeten el formato admitido.</w:t>
      </w:r>
    </w:p>
    <w:p>
      <w:pPr>
        <w:keepNext/>
        <w:spacing w:before="160" w:after="100"/>
        <w:jc w:val="left"/>
      </w:pPr>
      <w:r>
        <w:rPr>
          <w:rFonts w:ascii="Tahoma" w:hAnsi="Tahoma"/>
          <w:color w:val="EE0000"/>
          <w:sz w:val="28"/>
        </w:rPr>
        <w:t>8.3 A04:2021 – Insecure Design</w:t>
      </w:r>
    </w:p>
    <w:p>
      <w:pPr>
        <w:spacing w:after="120" w:line="259" w:lineRule="auto"/>
        <w:jc w:val="both"/>
      </w:pPr>
      <w:r>
        <w:rPr>
          <w:rFonts w:ascii="Tahoma" w:hAnsi="Tahoma"/>
          <w:b w:val="0"/>
          <w:i w:val="0"/>
          <w:color w:val="000000"/>
          <w:sz w:val="22"/>
        </w:rPr>
        <w:t>El escenario permite configurar umbrales de riego físicamente destructivos debido a la ausencia de límites. El problema es de diseño porque el sistema no define ni hace cumplir reglas de negocio que impidan estados peligrosos.</w:t>
      </w:r>
    </w:p>
    <w:p>
      <w:pPr>
        <w:spacing w:after="120" w:line="259" w:lineRule="auto"/>
        <w:jc w:val="both"/>
      </w:pPr>
      <w:r>
        <w:rPr>
          <w:rFonts w:ascii="Tahoma" w:hAnsi="Tahoma"/>
          <w:b w:val="0"/>
          <w:i w:val="0"/>
          <w:color w:val="000000"/>
          <w:sz w:val="22"/>
        </w:rPr>
        <w:t>OWASP A04 enfatiza la necesidad de incorporar controles de seguridad en el diseño, modelar amenazas y establecer requisitos de seguridad antes de depender únicamente de correcciones de implementación [4].</w:t>
      </w:r>
    </w:p>
    <w:p>
      <w:pPr>
        <w:spacing w:after="40"/>
        <w:ind w:left="317" w:hanging="216"/>
        <w:jc w:val="left"/>
      </w:pPr>
      <w:r>
        <w:rPr>
          <w:rFonts w:ascii="Tahoma" w:hAnsi="Tahoma"/>
          <w:sz w:val="22"/>
        </w:rPr>
        <w:t>• Impacto: funcionamiento incorrecto de bombas, desperdicio de agua, interrupción operacional o daño de equipos.</w:t>
      </w:r>
    </w:p>
    <w:p>
      <w:pPr>
        <w:spacing w:after="40"/>
        <w:ind w:left="317" w:hanging="216"/>
        <w:jc w:val="left"/>
      </w:pPr>
      <w:r>
        <w:rPr>
          <w:rFonts w:ascii="Tahoma" w:hAnsi="Tahoma"/>
          <w:sz w:val="22"/>
        </w:rPr>
        <w:t>• Mitigación: validar rangos, tipos y combinaciones de parámetros de acuerdo con reglas aprobadas.</w:t>
      </w:r>
    </w:p>
    <w:p>
      <w:pPr>
        <w:spacing w:after="40"/>
        <w:ind w:left="317" w:hanging="216"/>
        <w:jc w:val="left"/>
      </w:pPr>
      <w:r>
        <w:rPr>
          <w:rFonts w:ascii="Tahoma" w:hAnsi="Tahoma"/>
          <w:sz w:val="22"/>
        </w:rPr>
        <w:t>• Nota: los límites productivos reales deben provenir de especialistas agronómicos y especificaciones de fabricante. En el laboratorio sólo se usarán límites demostrativos, identificados explícitamente como tales.</w:t>
      </w:r>
    </w:p>
    <w:p>
      <w:pPr>
        <w:keepNext/>
        <w:spacing w:before="160" w:after="100"/>
        <w:jc w:val="left"/>
      </w:pPr>
      <w:r>
        <w:rPr>
          <w:rFonts w:ascii="Tahoma" w:hAnsi="Tahoma"/>
          <w:color w:val="EE0000"/>
          <w:sz w:val="28"/>
        </w:rPr>
        <w:t>8.4 A05:2021 – Security Misconfiguration</w:t>
      </w:r>
    </w:p>
    <w:p>
      <w:pPr>
        <w:spacing w:after="120" w:line="259" w:lineRule="auto"/>
        <w:jc w:val="both"/>
      </w:pPr>
      <w:r>
        <w:rPr>
          <w:rFonts w:ascii="Tahoma" w:hAnsi="Tahoma"/>
          <w:b w:val="0"/>
          <w:i w:val="0"/>
          <w:color w:val="000000"/>
          <w:sz w:val="22"/>
        </w:rPr>
        <w:t>AgriSmart expone una consola administrativa de sensores sin autenticación obligatoria. Esto permite que una persona sin una sesión válida acceda a funcionalidades que deberían encontrarse protegidas.</w:t>
      </w:r>
    </w:p>
    <w:p>
      <w:pPr>
        <w:spacing w:after="40"/>
        <w:ind w:left="317" w:hanging="216"/>
        <w:jc w:val="left"/>
      </w:pPr>
      <w:r>
        <w:rPr>
          <w:rFonts w:ascii="Tahoma" w:hAnsi="Tahoma"/>
          <w:sz w:val="22"/>
        </w:rPr>
        <w:t>• Impacto: consulta de información interna y eventual modificación de configuraciones administrativas.</w:t>
      </w:r>
    </w:p>
    <w:p>
      <w:pPr>
        <w:spacing w:after="40"/>
        <w:ind w:left="317" w:hanging="216"/>
        <w:jc w:val="left"/>
      </w:pPr>
      <w:r>
        <w:rPr>
          <w:rFonts w:ascii="Tahoma" w:hAnsi="Tahoma"/>
          <w:sz w:val="22"/>
        </w:rPr>
        <w:t>• Mitigación: autenticación obligatoria, autorización por rol, reducción de endpoints expuestos, cabeceras seguras y manejo de errores sin Stack Traces.</w:t>
      </w:r>
    </w:p>
    <w:p>
      <w:pPr>
        <w:spacing w:after="40"/>
        <w:ind w:left="317" w:hanging="216"/>
        <w:jc w:val="left"/>
      </w:pPr>
      <w:r>
        <w:rPr>
          <w:rFonts w:ascii="Tahoma" w:hAnsi="Tahoma"/>
          <w:sz w:val="22"/>
        </w:rPr>
        <w:t>• Resultados esperados: HTTP 401 para usuarios no autenticados y HTTP 403 para usuarios autenticados sin privilegios.</w:t>
      </w:r>
    </w:p>
    <w:p>
      <w:pPr>
        <w:keepNext/>
        <w:spacing w:before="160" w:after="100"/>
        <w:jc w:val="left"/>
      </w:pPr>
      <w:r>
        <w:rPr>
          <w:rFonts w:ascii="Tahoma" w:hAnsi="Tahoma"/>
          <w:color w:val="EE0000"/>
          <w:sz w:val="28"/>
        </w:rPr>
        <w:t>8.5 A07:2021 – Identification and Authentication Failures</w:t>
      </w:r>
    </w:p>
    <w:p>
      <w:pPr>
        <w:spacing w:after="120" w:line="259" w:lineRule="auto"/>
        <w:jc w:val="both"/>
      </w:pPr>
      <w:r>
        <w:rPr>
          <w:rFonts w:ascii="Tahoma" w:hAnsi="Tahoma"/>
          <w:b w:val="0"/>
          <w:i w:val="0"/>
          <w:color w:val="000000"/>
          <w:sz w:val="22"/>
        </w:rPr>
        <w:t>El caso especifica claves API fijas incrustadas directamente en el código fuente. Los secretos hardcoded presentan un riesgo porque pueden quedar expuestos mediante repositorios, copias del código o registros. OWASP A07 destaca la importancia de la identificación y autenticación robustas, mientras que las guías de gestión de secretos de OWASP recomiendan gestionar credenciales fuera del código [7][8].</w:t>
      </w:r>
    </w:p>
    <w:p>
      <w:pPr>
        <w:spacing w:after="40"/>
        <w:ind w:left="317" w:hanging="216"/>
        <w:jc w:val="left"/>
      </w:pPr>
      <w:r>
        <w:rPr>
          <w:rFonts w:ascii="Tahoma" w:hAnsi="Tahoma"/>
          <w:sz w:val="22"/>
        </w:rPr>
        <w:t>• Impacto: reutilización de la clave, acceso no autorizado y dificultad para rotar o atribuir credenciales comprometidas.</w:t>
      </w:r>
    </w:p>
    <w:p>
      <w:pPr>
        <w:spacing w:after="40"/>
        <w:ind w:left="317" w:hanging="216"/>
        <w:jc w:val="left"/>
      </w:pPr>
      <w:r>
        <w:rPr>
          <w:rFonts w:ascii="Tahoma" w:hAnsi="Tahoma"/>
          <w:sz w:val="22"/>
        </w:rPr>
        <w:t>• Mitigación: variables de entorno en desarrollo y un gestor de secretos en producción; exclusión de archivos con secretos mediante .gitignore.</w:t>
      </w:r>
    </w:p>
    <w:p>
      <w:pPr>
        <w:spacing w:after="40"/>
        <w:ind w:left="317" w:hanging="216"/>
        <w:jc w:val="left"/>
      </w:pPr>
      <w:r>
        <w:rPr>
          <w:rFonts w:ascii="Tahoma" w:hAnsi="Tahoma"/>
          <w:sz w:val="22"/>
        </w:rPr>
        <w:t>• Resultado seguro esperado: una API key inválida debe responder HTTP 401 Unauthorized.</w:t>
      </w:r>
    </w:p>
    <w:p>
      <w:pPr>
        <w:keepNext/>
        <w:spacing w:before="200" w:after="160"/>
        <w:jc w:val="center"/>
      </w:pPr>
      <w:r>
        <w:rPr>
          <w:rFonts w:ascii="Tahoma" w:hAnsi="Tahoma"/>
          <w:color w:val="EE0000"/>
          <w:sz w:val="36"/>
        </w:rPr>
        <w:t>9 Matriz cualitativa de riesgos</w:t>
      </w:r>
    </w:p>
    <w:p>
      <w:pPr>
        <w:spacing w:after="120" w:line="259" w:lineRule="auto"/>
        <w:jc w:val="both"/>
      </w:pPr>
      <w:r>
        <w:rPr>
          <w:rFonts w:ascii="Tahoma" w:hAnsi="Tahoma"/>
          <w:b w:val="0"/>
          <w:i w:val="0"/>
          <w:color w:val="000000"/>
          <w:sz w:val="22"/>
        </w:rPr>
        <w:t>La siguiente matriz corresponde a una valoración académica cualitativa. No sustituye un cálculo CVSS ni una evaluación de riesgo organizacional formal.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34"/>
        <w:gridCol w:w="2634"/>
        <w:gridCol w:w="2634"/>
        <w:gridCol w:w="2634"/>
      </w:tblGrid>
      <w:tr>
        <w:trPr>
          <w:tblHeader w:val="true"/>
          <w:cantSplit/>
        </w:trPr>
        <w:tc>
          <w:tcPr>
            <w:tcW w:type="dxa" w:w="3888"/>
            <w:vAlign w:val="center"/>
            <w:shd w:fill="E7E6E6"/>
          </w:tcPr>
          <w:p>
            <w:pPr>
              <w:spacing w:after="0"/>
              <w:jc w:val="left"/>
            </w:pPr>
            <w:r/>
            <w:r>
              <w:rPr>
                <w:rFonts w:ascii="Tahoma" w:hAnsi="Tahoma"/>
                <w:b/>
                <w:color w:val="000000"/>
                <w:sz w:val="19"/>
              </w:rPr>
              <w:t>Riesgo</w:t>
            </w:r>
          </w:p>
        </w:tc>
        <w:tc>
          <w:tcPr>
            <w:tcW w:type="dxa" w:w="1728"/>
            <w:vAlign w:val="center"/>
            <w:shd w:fill="E7E6E6"/>
          </w:tcPr>
          <w:p>
            <w:pPr>
              <w:spacing w:after="0"/>
              <w:jc w:val="left"/>
            </w:pPr>
            <w:r/>
            <w:r>
              <w:rPr>
                <w:rFonts w:ascii="Tahoma" w:hAnsi="Tahoma"/>
                <w:b/>
                <w:color w:val="000000"/>
                <w:sz w:val="19"/>
              </w:rPr>
              <w:t>Probabilidad</w:t>
            </w:r>
          </w:p>
        </w:tc>
        <w:tc>
          <w:tcPr>
            <w:tcW w:type="dxa" w:w="1728"/>
            <w:vAlign w:val="center"/>
            <w:shd w:fill="E7E6E6"/>
          </w:tcPr>
          <w:p>
            <w:pPr>
              <w:spacing w:after="0"/>
              <w:jc w:val="left"/>
            </w:pPr>
            <w:r/>
            <w:r>
              <w:rPr>
                <w:rFonts w:ascii="Tahoma" w:hAnsi="Tahoma"/>
                <w:b/>
                <w:color w:val="000000"/>
                <w:sz w:val="19"/>
              </w:rPr>
              <w:t>Impacto</w:t>
            </w:r>
          </w:p>
        </w:tc>
        <w:tc>
          <w:tcPr>
            <w:tcW w:type="dxa" w:w="1728"/>
            <w:vAlign w:val="center"/>
            <w:shd w:fill="E7E6E6"/>
          </w:tcPr>
          <w:p>
            <w:pPr>
              <w:spacing w:after="0"/>
              <w:jc w:val="left"/>
            </w:pPr>
            <w:r/>
            <w:r>
              <w:rPr>
                <w:rFonts w:ascii="Tahoma" w:hAnsi="Tahoma"/>
                <w:b/>
                <w:color w:val="000000"/>
                <w:sz w:val="19"/>
              </w:rPr>
              <w:t>Prioridad</w:t>
            </w:r>
          </w:p>
        </w:tc>
      </w:tr>
      <w:tr>
        <w:trPr>
          <w:cantSplit/>
        </w:trPr>
        <w:tc>
          <w:tcPr>
            <w:tcW w:type="dxa" w:w="3888"/>
            <w:vAlign w:val="center"/>
          </w:tcPr>
          <w:p>
            <w:pPr>
              <w:spacing w:after="0"/>
              <w:jc w:val="left"/>
            </w:pPr>
            <w:r/>
            <w:r>
              <w:rPr>
                <w:rFonts w:ascii="Tahoma" w:hAnsi="Tahoma"/>
                <w:b w:val="0"/>
                <w:color w:val="000000"/>
                <w:sz w:val="19"/>
              </w:rPr>
              <w:t>A01 – Acceso a riego ajeno</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Crítico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A03 – SQL Injection</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Alto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A04 – Umbrales inseguros</w:t>
            </w:r>
          </w:p>
        </w:tc>
        <w:tc>
          <w:tcPr>
            <w:tcW w:type="dxa" w:w="1728"/>
            <w:vAlign w:val="center"/>
          </w:tcPr>
          <w:p>
            <w:pPr>
              <w:spacing w:after="0"/>
              <w:jc w:val="left"/>
            </w:pPr>
            <w:r/>
            <w:r>
              <w:rPr>
                <w:rFonts w:ascii="Tahoma" w:hAnsi="Tahoma"/>
                <w:b w:val="0"/>
                <w:color w:val="000000"/>
                <w:sz w:val="19"/>
              </w:rPr>
              <w:t>Media</w:t>
            </w:r>
          </w:p>
        </w:tc>
        <w:tc>
          <w:tcPr>
            <w:tcW w:type="dxa" w:w="1728"/>
            <w:vAlign w:val="center"/>
          </w:tcPr>
          <w:p>
            <w:pPr>
              <w:spacing w:after="0"/>
              <w:jc w:val="left"/>
            </w:pPr>
            <w:r/>
            <w:r>
              <w:rPr>
                <w:rFonts w:ascii="Tahoma" w:hAnsi="Tahoma"/>
                <w:b w:val="0"/>
                <w:color w:val="000000"/>
                <w:sz w:val="19"/>
              </w:rPr>
              <w:t>Crítico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A05 – Consola sin autenticación</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Alto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A07 – API key hardcoded</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Alto</w:t>
            </w:r>
          </w:p>
        </w:tc>
        <w:tc>
          <w:tcPr>
            <w:tcW w:type="dxa" w:w="1728"/>
            <w:vAlign w:val="center"/>
          </w:tcPr>
          <w:p>
            <w:pPr>
              <w:spacing w:after="0"/>
              <w:jc w:val="left"/>
            </w:pPr>
            <w:r/>
            <w:r>
              <w:rPr>
                <w:rFonts w:ascii="Tahoma" w:hAnsi="Tahoma"/>
                <w:b w:val="0"/>
                <w:color w:val="000000"/>
                <w:sz w:val="19"/>
              </w:rPr>
              <w:t>Alta</w:t>
            </w:r>
          </w:p>
        </w:tc>
      </w:tr>
    </w:tbl>
    <w:p>
      <w:pPr>
        <w:spacing w:after="40"/>
      </w:pPr>
    </w:p>
    <w:p>
      <w:pPr>
        <w:spacing w:after="120" w:line="259" w:lineRule="auto"/>
        <w:jc w:val="both"/>
      </w:pPr>
      <w:r>
        <w:rPr>
          <w:rFonts w:ascii="Tahoma" w:hAnsi="Tahoma"/>
          <w:b w:val="0"/>
          <w:i w:val="0"/>
          <w:color w:val="000000"/>
          <w:sz w:val="22"/>
        </w:rPr>
        <w:t>A01 y A04 reciben especial atención porque un fallo puede trascender el entorno digital y afectar un proceso físico. La prioridad final de una implementación real debe definirse mediante un proceso de gestión de riesgos de la organización.</w:t>
      </w:r>
    </w:p>
    <w:p>
      <w:pPr>
        <w:keepNext/>
        <w:spacing w:before="200" w:after="160"/>
        <w:jc w:val="center"/>
      </w:pPr>
      <w:r>
        <w:rPr>
          <w:rFonts w:ascii="Tahoma" w:hAnsi="Tahoma"/>
          <w:color w:val="EE0000"/>
          <w:sz w:val="36"/>
        </w:rPr>
        <w:t>10 Plan de auditoría – Fase 1</w:t>
      </w:r>
    </w:p>
    <w:p>
      <w:pPr>
        <w:spacing w:after="120" w:line="259" w:lineRule="auto"/>
        <w:jc w:val="both"/>
      </w:pPr>
      <w:r>
        <w:rPr>
          <w:rFonts w:ascii="Tahoma" w:hAnsi="Tahoma"/>
          <w:b w:val="0"/>
          <w:i w:val="0"/>
          <w:color w:val="000000"/>
          <w:sz w:val="22"/>
        </w:rPr>
        <w:t>Las pruebas deben ejecutarse solamente sobre la API creada para la evaluación y desde una máquina o entorno auditor autorizado. Por cada prueba se debe conservar el comando ejecutado, el código HTTP, el cuerpo de la respuesta y una interpretación breve.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13"/>
        <w:gridCol w:w="3513"/>
        <w:gridCol w:w="3513"/>
      </w:tblGrid>
      <w:tr>
        <w:trPr>
          <w:tblHeader w:val="true"/>
          <w:cantSplit/>
        </w:trPr>
        <w:tc>
          <w:tcPr>
            <w:tcW w:type="dxa" w:w="1008"/>
            <w:vAlign w:val="center"/>
            <w:shd w:fill="E7E6E6"/>
          </w:tcPr>
          <w:p>
            <w:pPr>
              <w:spacing w:after="0"/>
              <w:jc w:val="left"/>
            </w:pPr>
            <w:r/>
            <w:r>
              <w:rPr>
                <w:rFonts w:ascii="Tahoma" w:hAnsi="Tahoma"/>
                <w:b/>
                <w:color w:val="000000"/>
                <w:sz w:val="18"/>
              </w:rPr>
              <w:t>Prueba</w:t>
            </w:r>
          </w:p>
        </w:tc>
        <w:tc>
          <w:tcPr>
            <w:tcW w:type="dxa" w:w="3600"/>
            <w:vAlign w:val="center"/>
            <w:shd w:fill="E7E6E6"/>
          </w:tcPr>
          <w:p>
            <w:pPr>
              <w:spacing w:after="0"/>
              <w:jc w:val="left"/>
            </w:pPr>
            <w:r/>
            <w:r>
              <w:rPr>
                <w:rFonts w:ascii="Tahoma" w:hAnsi="Tahoma"/>
                <w:b/>
                <w:color w:val="000000"/>
                <w:sz w:val="18"/>
              </w:rPr>
              <w:t>Objetivo</w:t>
            </w:r>
          </w:p>
        </w:tc>
        <w:tc>
          <w:tcPr>
            <w:tcW w:type="dxa" w:w="5184"/>
            <w:vAlign w:val="center"/>
            <w:shd w:fill="E7E6E6"/>
          </w:tcPr>
          <w:p>
            <w:pPr>
              <w:spacing w:after="0"/>
              <w:jc w:val="left"/>
            </w:pPr>
            <w:r/>
            <w:r>
              <w:rPr>
                <w:rFonts w:ascii="Tahoma" w:hAnsi="Tahoma"/>
                <w:b/>
                <w:color w:val="000000"/>
                <w:sz w:val="18"/>
              </w:rPr>
              <w:t>Comportamiento vulnerable que se busca demostrar</w:t>
            </w:r>
          </w:p>
        </w:tc>
      </w:tr>
      <w:tr>
        <w:trPr>
          <w:cantSplit/>
        </w:trPr>
        <w:tc>
          <w:tcPr>
            <w:tcW w:type="dxa" w:w="1008"/>
            <w:vAlign w:val="center"/>
          </w:tcPr>
          <w:p>
            <w:pPr>
              <w:spacing w:after="0"/>
              <w:jc w:val="left"/>
            </w:pPr>
            <w:r/>
            <w:r>
              <w:rPr>
                <w:rFonts w:ascii="Tahoma" w:hAnsi="Tahoma"/>
                <w:b w:val="0"/>
                <w:color w:val="000000"/>
                <w:sz w:val="18"/>
              </w:rPr>
              <w:t>A01</w:t>
            </w:r>
          </w:p>
        </w:tc>
        <w:tc>
          <w:tcPr>
            <w:tcW w:type="dxa" w:w="3600"/>
            <w:vAlign w:val="center"/>
          </w:tcPr>
          <w:p>
            <w:pPr>
              <w:spacing w:after="0"/>
              <w:jc w:val="left"/>
            </w:pPr>
            <w:r/>
            <w:r>
              <w:rPr>
                <w:rFonts w:ascii="Tahoma" w:hAnsi="Tahoma"/>
                <w:b w:val="0"/>
                <w:color w:val="000000"/>
                <w:sz w:val="18"/>
              </w:rPr>
              <w:t>Intentar modificar una zona de otro usuario.</w:t>
            </w:r>
          </w:p>
        </w:tc>
        <w:tc>
          <w:tcPr>
            <w:tcW w:type="dxa" w:w="5184"/>
            <w:vAlign w:val="center"/>
          </w:tcPr>
          <w:p>
            <w:pPr>
              <w:spacing w:after="0"/>
              <w:jc w:val="left"/>
            </w:pPr>
            <w:r/>
            <w:r>
              <w:rPr>
                <w:rFonts w:ascii="Tahoma" w:hAnsi="Tahoma"/>
                <w:b w:val="0"/>
                <w:color w:val="000000"/>
                <w:sz w:val="18"/>
              </w:rPr>
              <w:t>La operación es aceptada por no verificar propietario.</w:t>
            </w:r>
          </w:p>
        </w:tc>
      </w:tr>
      <w:tr>
        <w:trPr>
          <w:cantSplit/>
        </w:trPr>
        <w:tc>
          <w:tcPr>
            <w:tcW w:type="dxa" w:w="1008"/>
            <w:vAlign w:val="center"/>
          </w:tcPr>
          <w:p>
            <w:pPr>
              <w:spacing w:after="0"/>
              <w:jc w:val="left"/>
            </w:pPr>
            <w:r/>
            <w:r>
              <w:rPr>
                <w:rFonts w:ascii="Tahoma" w:hAnsi="Tahoma"/>
                <w:b w:val="0"/>
                <w:color w:val="000000"/>
                <w:sz w:val="18"/>
              </w:rPr>
              <w:t>A03</w:t>
            </w:r>
          </w:p>
        </w:tc>
        <w:tc>
          <w:tcPr>
            <w:tcW w:type="dxa" w:w="3600"/>
            <w:vAlign w:val="center"/>
          </w:tcPr>
          <w:p>
            <w:pPr>
              <w:spacing w:after="0"/>
              <w:jc w:val="left"/>
            </w:pPr>
            <w:r/>
            <w:r>
              <w:rPr>
                <w:rFonts w:ascii="Tahoma" w:hAnsi="Tahoma"/>
                <w:b w:val="0"/>
                <w:color w:val="000000"/>
                <w:sz w:val="18"/>
              </w:rPr>
              <w:t>Enviar un parámetro manipulado al historial.</w:t>
            </w:r>
          </w:p>
        </w:tc>
        <w:tc>
          <w:tcPr>
            <w:tcW w:type="dxa" w:w="5184"/>
            <w:vAlign w:val="center"/>
          </w:tcPr>
          <w:p>
            <w:pPr>
              <w:spacing w:after="0"/>
              <w:jc w:val="left"/>
            </w:pPr>
            <w:r/>
            <w:r>
              <w:rPr>
                <w:rFonts w:ascii="Tahoma" w:hAnsi="Tahoma"/>
                <w:b w:val="0"/>
                <w:color w:val="000000"/>
                <w:sz w:val="18"/>
              </w:rPr>
              <w:t>La entrada modifica la lógica de la consulta o provoca un error SQL revelador.</w:t>
            </w:r>
          </w:p>
        </w:tc>
      </w:tr>
      <w:tr>
        <w:trPr>
          <w:cantSplit/>
        </w:trPr>
        <w:tc>
          <w:tcPr>
            <w:tcW w:type="dxa" w:w="1008"/>
            <w:vAlign w:val="center"/>
          </w:tcPr>
          <w:p>
            <w:pPr>
              <w:spacing w:after="0"/>
              <w:jc w:val="left"/>
            </w:pPr>
            <w:r/>
            <w:r>
              <w:rPr>
                <w:rFonts w:ascii="Tahoma" w:hAnsi="Tahoma"/>
                <w:b w:val="0"/>
                <w:color w:val="000000"/>
                <w:sz w:val="18"/>
              </w:rPr>
              <w:t>A04</w:t>
            </w:r>
          </w:p>
        </w:tc>
        <w:tc>
          <w:tcPr>
            <w:tcW w:type="dxa" w:w="3600"/>
            <w:vAlign w:val="center"/>
          </w:tcPr>
          <w:p>
            <w:pPr>
              <w:spacing w:after="0"/>
              <w:jc w:val="left"/>
            </w:pPr>
            <w:r/>
            <w:r>
              <w:rPr>
                <w:rFonts w:ascii="Tahoma" w:hAnsi="Tahoma"/>
                <w:b w:val="0"/>
                <w:color w:val="000000"/>
                <w:sz w:val="18"/>
              </w:rPr>
              <w:t>Enviar parámetros fuera de los límites definidos.</w:t>
            </w:r>
          </w:p>
        </w:tc>
        <w:tc>
          <w:tcPr>
            <w:tcW w:type="dxa" w:w="5184"/>
            <w:vAlign w:val="center"/>
          </w:tcPr>
          <w:p>
            <w:pPr>
              <w:spacing w:after="0"/>
              <w:jc w:val="left"/>
            </w:pPr>
            <w:r/>
            <w:r>
              <w:rPr>
                <w:rFonts w:ascii="Tahoma" w:hAnsi="Tahoma"/>
                <w:b w:val="0"/>
                <w:color w:val="000000"/>
                <w:sz w:val="18"/>
              </w:rPr>
              <w:t>La aplicación acepta valores absurdos o peligrosos.</w:t>
            </w:r>
          </w:p>
        </w:tc>
      </w:tr>
      <w:tr>
        <w:trPr>
          <w:cantSplit/>
        </w:trPr>
        <w:tc>
          <w:tcPr>
            <w:tcW w:type="dxa" w:w="1008"/>
            <w:vAlign w:val="center"/>
          </w:tcPr>
          <w:p>
            <w:pPr>
              <w:spacing w:after="0"/>
              <w:jc w:val="left"/>
            </w:pPr>
            <w:r/>
            <w:r>
              <w:rPr>
                <w:rFonts w:ascii="Tahoma" w:hAnsi="Tahoma"/>
                <w:b w:val="0"/>
                <w:color w:val="000000"/>
                <w:sz w:val="18"/>
              </w:rPr>
              <w:t>A05</w:t>
            </w:r>
          </w:p>
        </w:tc>
        <w:tc>
          <w:tcPr>
            <w:tcW w:type="dxa" w:w="3600"/>
            <w:vAlign w:val="center"/>
          </w:tcPr>
          <w:p>
            <w:pPr>
              <w:spacing w:after="0"/>
              <w:jc w:val="left"/>
            </w:pPr>
            <w:r/>
            <w:r>
              <w:rPr>
                <w:rFonts w:ascii="Tahoma" w:hAnsi="Tahoma"/>
                <w:b w:val="0"/>
                <w:color w:val="000000"/>
                <w:sz w:val="18"/>
              </w:rPr>
              <w:t>Solicitar el endpoint administrativo sin credenciales.</w:t>
            </w:r>
          </w:p>
        </w:tc>
        <w:tc>
          <w:tcPr>
            <w:tcW w:type="dxa" w:w="5184"/>
            <w:vAlign w:val="center"/>
          </w:tcPr>
          <w:p>
            <w:pPr>
              <w:spacing w:after="0"/>
              <w:jc w:val="left"/>
            </w:pPr>
            <w:r/>
            <w:r>
              <w:rPr>
                <w:rFonts w:ascii="Tahoma" w:hAnsi="Tahoma"/>
                <w:b w:val="0"/>
                <w:color w:val="000000"/>
                <w:sz w:val="18"/>
              </w:rPr>
              <w:t>El servidor entrega el recurso con HTTP 200.</w:t>
            </w:r>
          </w:p>
        </w:tc>
      </w:tr>
      <w:tr>
        <w:trPr>
          <w:cantSplit/>
        </w:trPr>
        <w:tc>
          <w:tcPr>
            <w:tcW w:type="dxa" w:w="1008"/>
            <w:vAlign w:val="center"/>
          </w:tcPr>
          <w:p>
            <w:pPr>
              <w:spacing w:after="0"/>
              <w:jc w:val="left"/>
            </w:pPr>
            <w:r/>
            <w:r>
              <w:rPr>
                <w:rFonts w:ascii="Tahoma" w:hAnsi="Tahoma"/>
                <w:b w:val="0"/>
                <w:color w:val="000000"/>
                <w:sz w:val="18"/>
              </w:rPr>
              <w:t>A07</w:t>
            </w:r>
          </w:p>
        </w:tc>
        <w:tc>
          <w:tcPr>
            <w:tcW w:type="dxa" w:w="3600"/>
            <w:vAlign w:val="center"/>
          </w:tcPr>
          <w:p>
            <w:pPr>
              <w:spacing w:after="0"/>
              <w:jc w:val="left"/>
            </w:pPr>
            <w:r/>
            <w:r>
              <w:rPr>
                <w:rFonts w:ascii="Tahoma" w:hAnsi="Tahoma"/>
                <w:b w:val="0"/>
                <w:color w:val="000000"/>
                <w:sz w:val="18"/>
              </w:rPr>
              <w:t>Usar una clave conocida que estaba embebida en el código.</w:t>
            </w:r>
          </w:p>
        </w:tc>
        <w:tc>
          <w:tcPr>
            <w:tcW w:type="dxa" w:w="5184"/>
            <w:vAlign w:val="center"/>
          </w:tcPr>
          <w:p>
            <w:pPr>
              <w:spacing w:after="0"/>
              <w:jc w:val="left"/>
            </w:pPr>
            <w:r/>
            <w:r>
              <w:rPr>
                <w:rFonts w:ascii="Tahoma" w:hAnsi="Tahoma"/>
                <w:b w:val="0"/>
                <w:color w:val="000000"/>
                <w:sz w:val="18"/>
              </w:rPr>
              <w:t>La clave hardcoded permite autenticarse.</w:t>
            </w:r>
          </w:p>
        </w:tc>
      </w:tr>
    </w:tbl>
    <w:p>
      <w:pPr>
        <w:spacing w:after="40"/>
      </w:pPr>
    </w:p>
    <w:p>
      <w:pPr>
        <w:spacing w:after="120" w:line="259" w:lineRule="auto"/>
        <w:jc w:val="both"/>
      </w:pPr>
      <w:r>
        <w:rPr>
          <w:rFonts w:ascii="Tahoma" w:hAnsi="Tahoma"/>
          <w:b w:val="0"/>
          <w:i w:val="0"/>
          <w:color w:val="000000"/>
          <w:sz w:val="22"/>
        </w:rPr>
        <w:t>Importante: los comportamientos anteriores son hipótesis y resultados esperados del laboratorio. El informe final no debe afirmar que una prueba fue exitosa hasta contar con la evidencia real generada por la aplicación. Las respuestas .txt deben conservarse sin alteraciones manuales.</w:t>
      </w:r>
    </w:p>
    <w:p>
      <w:pPr>
        <w:keepNext/>
        <w:spacing w:before="200" w:after="160"/>
        <w:jc w:val="center"/>
      </w:pPr>
      <w:r>
        <w:rPr>
          <w:rFonts w:ascii="Tahoma" w:hAnsi="Tahoma"/>
          <w:color w:val="EE0000"/>
          <w:sz w:val="36"/>
        </w:rPr>
        <w:t>11 Refactorización y mitigación – Fase 2</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13"/>
        <w:gridCol w:w="3513"/>
        <w:gridCol w:w="3513"/>
      </w:tblGrid>
      <w:tr>
        <w:trPr>
          <w:tblHeader w:val="true"/>
          <w:cantSplit/>
        </w:trPr>
        <w:tc>
          <w:tcPr>
            <w:tcW w:type="dxa" w:w="1080"/>
            <w:vAlign w:val="center"/>
            <w:shd w:fill="E7E6E6"/>
          </w:tcPr>
          <w:p>
            <w:pPr>
              <w:spacing w:after="0"/>
              <w:jc w:val="left"/>
            </w:pPr>
            <w:r/>
            <w:r>
              <w:rPr>
                <w:rFonts w:ascii="Tahoma" w:hAnsi="Tahoma"/>
                <w:b/>
                <w:color w:val="000000"/>
                <w:sz w:val="18"/>
              </w:rPr>
              <w:t>Riesgo</w:t>
            </w:r>
          </w:p>
        </w:tc>
        <w:tc>
          <w:tcPr>
            <w:tcW w:type="dxa" w:w="3888"/>
            <w:vAlign w:val="center"/>
            <w:shd w:fill="E7E6E6"/>
          </w:tcPr>
          <w:p>
            <w:pPr>
              <w:spacing w:after="0"/>
              <w:jc w:val="left"/>
            </w:pPr>
            <w:r/>
            <w:r>
              <w:rPr>
                <w:rFonts w:ascii="Tahoma" w:hAnsi="Tahoma"/>
                <w:b/>
                <w:color w:val="000000"/>
                <w:sz w:val="18"/>
              </w:rPr>
              <w:t>Versión vulnerable</w:t>
            </w:r>
          </w:p>
        </w:tc>
        <w:tc>
          <w:tcPr>
            <w:tcW w:type="dxa" w:w="4824"/>
            <w:vAlign w:val="center"/>
            <w:shd w:fill="E7E6E6"/>
          </w:tcPr>
          <w:p>
            <w:pPr>
              <w:spacing w:after="0"/>
              <w:jc w:val="left"/>
            </w:pPr>
            <w:r/>
            <w:r>
              <w:rPr>
                <w:rFonts w:ascii="Tahoma" w:hAnsi="Tahoma"/>
                <w:b/>
                <w:color w:val="000000"/>
                <w:sz w:val="18"/>
              </w:rPr>
              <w:t>Versión segura</w:t>
            </w:r>
          </w:p>
        </w:tc>
      </w:tr>
      <w:tr>
        <w:trPr>
          <w:cantSplit/>
        </w:trPr>
        <w:tc>
          <w:tcPr>
            <w:tcW w:type="dxa" w:w="1080"/>
            <w:vAlign w:val="center"/>
          </w:tcPr>
          <w:p>
            <w:pPr>
              <w:spacing w:after="0"/>
              <w:jc w:val="left"/>
            </w:pPr>
            <w:r/>
            <w:r>
              <w:rPr>
                <w:rFonts w:ascii="Tahoma" w:hAnsi="Tahoma"/>
                <w:b w:val="0"/>
                <w:color w:val="000000"/>
                <w:sz w:val="18"/>
              </w:rPr>
              <w:t>A01</w:t>
            </w:r>
          </w:p>
        </w:tc>
        <w:tc>
          <w:tcPr>
            <w:tcW w:type="dxa" w:w="3888"/>
            <w:vAlign w:val="center"/>
          </w:tcPr>
          <w:p>
            <w:pPr>
              <w:spacing w:after="0"/>
              <w:jc w:val="left"/>
            </w:pPr>
            <w:r/>
            <w:r>
              <w:rPr>
                <w:rFonts w:ascii="Tahoma" w:hAnsi="Tahoma"/>
                <w:b w:val="0"/>
                <w:color w:val="000000"/>
                <w:sz w:val="18"/>
              </w:rPr>
              <w:t>Confía en el ID de zona enviado.</w:t>
            </w:r>
          </w:p>
        </w:tc>
        <w:tc>
          <w:tcPr>
            <w:tcW w:type="dxa" w:w="4824"/>
            <w:vAlign w:val="center"/>
          </w:tcPr>
          <w:p>
            <w:pPr>
              <w:spacing w:after="0"/>
              <w:jc w:val="left"/>
            </w:pPr>
            <w:r/>
            <w:r>
              <w:rPr>
                <w:rFonts w:ascii="Tahoma" w:hAnsi="Tahoma"/>
                <w:b w:val="0"/>
                <w:color w:val="000000"/>
                <w:sz w:val="18"/>
              </w:rPr>
              <w:t>Verifica autenticación, permisos y propietario antes de modificar.</w:t>
            </w:r>
          </w:p>
        </w:tc>
      </w:tr>
      <w:tr>
        <w:trPr>
          <w:cantSplit/>
        </w:trPr>
        <w:tc>
          <w:tcPr>
            <w:tcW w:type="dxa" w:w="1080"/>
            <w:vAlign w:val="center"/>
          </w:tcPr>
          <w:p>
            <w:pPr>
              <w:spacing w:after="0"/>
              <w:jc w:val="left"/>
            </w:pPr>
            <w:r/>
            <w:r>
              <w:rPr>
                <w:rFonts w:ascii="Tahoma" w:hAnsi="Tahoma"/>
                <w:b w:val="0"/>
                <w:color w:val="000000"/>
                <w:sz w:val="18"/>
              </w:rPr>
              <w:t>A03</w:t>
            </w:r>
          </w:p>
        </w:tc>
        <w:tc>
          <w:tcPr>
            <w:tcW w:type="dxa" w:w="3888"/>
            <w:vAlign w:val="center"/>
          </w:tcPr>
          <w:p>
            <w:pPr>
              <w:spacing w:after="0"/>
              <w:jc w:val="left"/>
            </w:pPr>
            <w:r/>
            <w:r>
              <w:rPr>
                <w:rFonts w:ascii="Tahoma" w:hAnsi="Tahoma"/>
                <w:b w:val="0"/>
                <w:color w:val="000000"/>
                <w:sz w:val="18"/>
              </w:rPr>
              <w:t>Concatena datos en SQL.</w:t>
            </w:r>
          </w:p>
        </w:tc>
        <w:tc>
          <w:tcPr>
            <w:tcW w:type="dxa" w:w="4824"/>
            <w:vAlign w:val="center"/>
          </w:tcPr>
          <w:p>
            <w:pPr>
              <w:spacing w:after="0"/>
              <w:jc w:val="left"/>
            </w:pPr>
            <w:r/>
            <w:r>
              <w:rPr>
                <w:rFonts w:ascii="Tahoma" w:hAnsi="Tahoma"/>
                <w:b w:val="0"/>
                <w:color w:val="000000"/>
                <w:sz w:val="18"/>
              </w:rPr>
              <w:t>Consulta parametrizada y validación estricta del identificador.</w:t>
            </w:r>
          </w:p>
        </w:tc>
      </w:tr>
      <w:tr>
        <w:trPr>
          <w:cantSplit/>
        </w:trPr>
        <w:tc>
          <w:tcPr>
            <w:tcW w:type="dxa" w:w="1080"/>
            <w:vAlign w:val="center"/>
          </w:tcPr>
          <w:p>
            <w:pPr>
              <w:spacing w:after="0"/>
              <w:jc w:val="left"/>
            </w:pPr>
            <w:r/>
            <w:r>
              <w:rPr>
                <w:rFonts w:ascii="Tahoma" w:hAnsi="Tahoma"/>
                <w:b w:val="0"/>
                <w:color w:val="000000"/>
                <w:sz w:val="18"/>
              </w:rPr>
              <w:t>A04</w:t>
            </w:r>
          </w:p>
        </w:tc>
        <w:tc>
          <w:tcPr>
            <w:tcW w:type="dxa" w:w="3888"/>
            <w:vAlign w:val="center"/>
          </w:tcPr>
          <w:p>
            <w:pPr>
              <w:spacing w:after="0"/>
              <w:jc w:val="left"/>
            </w:pPr>
            <w:r/>
            <w:r>
              <w:rPr>
                <w:rFonts w:ascii="Tahoma" w:hAnsi="Tahoma"/>
                <w:b w:val="0"/>
                <w:color w:val="000000"/>
                <w:sz w:val="18"/>
              </w:rPr>
              <w:t>Acepta cualquier valor numérico.</w:t>
            </w:r>
          </w:p>
        </w:tc>
        <w:tc>
          <w:tcPr>
            <w:tcW w:type="dxa" w:w="4824"/>
            <w:vAlign w:val="center"/>
          </w:tcPr>
          <w:p>
            <w:pPr>
              <w:spacing w:after="0"/>
              <w:jc w:val="left"/>
            </w:pPr>
            <w:r/>
            <w:r>
              <w:rPr>
                <w:rFonts w:ascii="Tahoma" w:hAnsi="Tahoma"/>
                <w:b w:val="0"/>
                <w:color w:val="000000"/>
                <w:sz w:val="18"/>
              </w:rPr>
              <w:t>Valida tipos y rangos de negocio aprobados.</w:t>
            </w:r>
          </w:p>
        </w:tc>
      </w:tr>
      <w:tr>
        <w:trPr>
          <w:cantSplit/>
        </w:trPr>
        <w:tc>
          <w:tcPr>
            <w:tcW w:type="dxa" w:w="1080"/>
            <w:vAlign w:val="center"/>
          </w:tcPr>
          <w:p>
            <w:pPr>
              <w:spacing w:after="0"/>
              <w:jc w:val="left"/>
            </w:pPr>
            <w:r/>
            <w:r>
              <w:rPr>
                <w:rFonts w:ascii="Tahoma" w:hAnsi="Tahoma"/>
                <w:b w:val="0"/>
                <w:color w:val="000000"/>
                <w:sz w:val="18"/>
              </w:rPr>
              <w:t>A05</w:t>
            </w:r>
          </w:p>
        </w:tc>
        <w:tc>
          <w:tcPr>
            <w:tcW w:type="dxa" w:w="3888"/>
            <w:vAlign w:val="center"/>
          </w:tcPr>
          <w:p>
            <w:pPr>
              <w:spacing w:after="0"/>
              <w:jc w:val="left"/>
            </w:pPr>
            <w:r/>
            <w:r>
              <w:rPr>
                <w:rFonts w:ascii="Tahoma" w:hAnsi="Tahoma"/>
                <w:b w:val="0"/>
                <w:color w:val="000000"/>
                <w:sz w:val="18"/>
              </w:rPr>
              <w:t>Endpoint /admin público.</w:t>
            </w:r>
          </w:p>
        </w:tc>
        <w:tc>
          <w:tcPr>
            <w:tcW w:type="dxa" w:w="4824"/>
            <w:vAlign w:val="center"/>
          </w:tcPr>
          <w:p>
            <w:pPr>
              <w:spacing w:after="0"/>
              <w:jc w:val="left"/>
            </w:pPr>
            <w:r/>
            <w:r>
              <w:rPr>
                <w:rFonts w:ascii="Tahoma" w:hAnsi="Tahoma"/>
                <w:b w:val="0"/>
                <w:color w:val="000000"/>
                <w:sz w:val="18"/>
              </w:rPr>
              <w:t>Middleware de autenticación y autorización por rol.</w:t>
            </w:r>
          </w:p>
        </w:tc>
      </w:tr>
      <w:tr>
        <w:trPr>
          <w:cantSplit/>
        </w:trPr>
        <w:tc>
          <w:tcPr>
            <w:tcW w:type="dxa" w:w="1080"/>
            <w:vAlign w:val="center"/>
          </w:tcPr>
          <w:p>
            <w:pPr>
              <w:spacing w:after="0"/>
              <w:jc w:val="left"/>
            </w:pPr>
            <w:r/>
            <w:r>
              <w:rPr>
                <w:rFonts w:ascii="Tahoma" w:hAnsi="Tahoma"/>
                <w:b w:val="0"/>
                <w:color w:val="000000"/>
                <w:sz w:val="18"/>
              </w:rPr>
              <w:t>A07</w:t>
            </w:r>
          </w:p>
        </w:tc>
        <w:tc>
          <w:tcPr>
            <w:tcW w:type="dxa" w:w="3888"/>
            <w:vAlign w:val="center"/>
          </w:tcPr>
          <w:p>
            <w:pPr>
              <w:spacing w:after="0"/>
              <w:jc w:val="left"/>
            </w:pPr>
            <w:r/>
            <w:r>
              <w:rPr>
                <w:rFonts w:ascii="Tahoma" w:hAnsi="Tahoma"/>
                <w:b w:val="0"/>
                <w:color w:val="000000"/>
                <w:sz w:val="18"/>
              </w:rPr>
              <w:t>API key escrita en el código.</w:t>
            </w:r>
          </w:p>
        </w:tc>
        <w:tc>
          <w:tcPr>
            <w:tcW w:type="dxa" w:w="4824"/>
            <w:vAlign w:val="center"/>
          </w:tcPr>
          <w:p>
            <w:pPr>
              <w:spacing w:after="0"/>
              <w:jc w:val="left"/>
            </w:pPr>
            <w:r/>
            <w:r>
              <w:rPr>
                <w:rFonts w:ascii="Tahoma" w:hAnsi="Tahoma"/>
                <w:b w:val="0"/>
                <w:color w:val="000000"/>
                <w:sz w:val="18"/>
              </w:rPr>
              <w:t>Secreto cargado desde entorno/gestor de secretos y excluido de Git.</w:t>
            </w:r>
          </w:p>
        </w:tc>
      </w:tr>
    </w:tbl>
    <w:p>
      <w:pPr>
        <w:spacing w:after="40"/>
      </w:pPr>
    </w:p>
    <w:p>
      <w:pPr>
        <w:keepNext/>
        <w:spacing w:before="160" w:after="100"/>
        <w:jc w:val="left"/>
      </w:pPr>
      <w:r>
        <w:rPr>
          <w:rFonts w:ascii="Tahoma" w:hAnsi="Tahoma"/>
          <w:color w:val="EE0000"/>
          <w:sz w:val="28"/>
        </w:rPr>
        <w:t>11.1 Zero Trust Input</w:t>
      </w:r>
    </w:p>
    <w:p>
      <w:pPr>
        <w:spacing w:after="120" w:line="259" w:lineRule="auto"/>
        <w:jc w:val="both"/>
      </w:pPr>
      <w:r>
        <w:rPr>
          <w:rFonts w:ascii="Tahoma" w:hAnsi="Tahoma"/>
          <w:b w:val="0"/>
          <w:i w:val="0"/>
          <w:color w:val="000000"/>
          <w:sz w:val="22"/>
        </w:rPr>
        <w:t>En el contexto de la evaluación se adopta el criterio de no confiar en datos provenientes del cliente. Los parámetros de ruta, query strings, cuerpos JSON, cabeceras e identificadores se validan antes de utilizarlos. Esto incluye tipo de dato, rango, longitud, formato y valores permitidos. Cuando sea apropiado se aplicarán listas blancas y expresiones regulares.</w:t>
      </w:r>
    </w:p>
    <w:p>
      <w:pPr>
        <w:keepNext/>
        <w:spacing w:before="160" w:after="100"/>
        <w:jc w:val="left"/>
      </w:pPr>
      <w:r>
        <w:rPr>
          <w:rFonts w:ascii="Tahoma" w:hAnsi="Tahoma"/>
          <w:color w:val="EE0000"/>
          <w:sz w:val="28"/>
        </w:rPr>
        <w:t>11.2 Gestión de errores</w:t>
      </w:r>
    </w:p>
    <w:p>
      <w:pPr>
        <w:spacing w:after="120" w:line="259" w:lineRule="auto"/>
        <w:jc w:val="both"/>
      </w:pPr>
      <w:r>
        <w:rPr>
          <w:rFonts w:ascii="Tahoma" w:hAnsi="Tahoma"/>
          <w:b w:val="0"/>
          <w:i w:val="0"/>
          <w:color w:val="000000"/>
          <w:sz w:val="22"/>
        </w:rPr>
        <w:t>Las respuestas deben ser útiles para el cliente sin revelar información interna. No se deben exponer consultas SQL, rutas del servidor, variables de entorno, API keys ni Stack Traces. Se propone el siguiente uso general de códigos HTTP: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2880"/>
            <w:vAlign w:val="center"/>
            <w:shd w:fill="E7E6E6"/>
          </w:tcPr>
          <w:p>
            <w:pPr>
              <w:spacing w:after="0"/>
              <w:jc w:val="left"/>
            </w:pPr>
            <w:r/>
            <w:r>
              <w:rPr>
                <w:rFonts w:ascii="Tahoma" w:hAnsi="Tahoma"/>
                <w:b/>
                <w:color w:val="000000"/>
                <w:sz w:val="19"/>
              </w:rPr>
              <w:t>Código</w:t>
            </w:r>
          </w:p>
        </w:tc>
        <w:tc>
          <w:tcPr>
            <w:tcW w:type="dxa" w:w="6624"/>
            <w:vAlign w:val="center"/>
            <w:shd w:fill="E7E6E6"/>
          </w:tcPr>
          <w:p>
            <w:pPr>
              <w:spacing w:after="0"/>
              <w:jc w:val="left"/>
            </w:pPr>
            <w:r/>
            <w:r>
              <w:rPr>
                <w:rFonts w:ascii="Tahoma" w:hAnsi="Tahoma"/>
                <w:b/>
                <w:color w:val="000000"/>
                <w:sz w:val="19"/>
              </w:rPr>
              <w:t>Uso propuesto</w:t>
            </w:r>
          </w:p>
        </w:tc>
      </w:tr>
      <w:tr>
        <w:trPr>
          <w:cantSplit/>
        </w:trPr>
        <w:tc>
          <w:tcPr>
            <w:tcW w:type="dxa" w:w="2880"/>
            <w:vAlign w:val="center"/>
          </w:tcPr>
          <w:p>
            <w:pPr>
              <w:spacing w:after="0"/>
              <w:jc w:val="left"/>
            </w:pPr>
            <w:r/>
            <w:r>
              <w:rPr>
                <w:rFonts w:ascii="Tahoma" w:hAnsi="Tahoma"/>
                <w:b w:val="0"/>
                <w:color w:val="000000"/>
                <w:sz w:val="19"/>
              </w:rPr>
              <w:t>400 Bad Request</w:t>
            </w:r>
          </w:p>
        </w:tc>
        <w:tc>
          <w:tcPr>
            <w:tcW w:type="dxa" w:w="6624"/>
            <w:vAlign w:val="center"/>
          </w:tcPr>
          <w:p>
            <w:pPr>
              <w:spacing w:after="0"/>
              <w:jc w:val="left"/>
            </w:pPr>
            <w:r/>
            <w:r>
              <w:rPr>
                <w:rFonts w:ascii="Tahoma" w:hAnsi="Tahoma"/>
                <w:b w:val="0"/>
                <w:color w:val="000000"/>
                <w:sz w:val="19"/>
              </w:rPr>
              <w:t>Entrada inválida o fuera de rango.</w:t>
            </w:r>
          </w:p>
        </w:tc>
      </w:tr>
      <w:tr>
        <w:trPr>
          <w:cantSplit/>
        </w:trPr>
        <w:tc>
          <w:tcPr>
            <w:tcW w:type="dxa" w:w="2880"/>
            <w:vAlign w:val="center"/>
          </w:tcPr>
          <w:p>
            <w:pPr>
              <w:spacing w:after="0"/>
              <w:jc w:val="left"/>
            </w:pPr>
            <w:r/>
            <w:r>
              <w:rPr>
                <w:rFonts w:ascii="Tahoma" w:hAnsi="Tahoma"/>
                <w:b w:val="0"/>
                <w:color w:val="000000"/>
                <w:sz w:val="19"/>
              </w:rPr>
              <w:t>401 Unauthorized</w:t>
            </w:r>
          </w:p>
        </w:tc>
        <w:tc>
          <w:tcPr>
            <w:tcW w:type="dxa" w:w="6624"/>
            <w:vAlign w:val="center"/>
          </w:tcPr>
          <w:p>
            <w:pPr>
              <w:spacing w:after="0"/>
              <w:jc w:val="left"/>
            </w:pPr>
            <w:r/>
            <w:r>
              <w:rPr>
                <w:rFonts w:ascii="Tahoma" w:hAnsi="Tahoma"/>
                <w:b w:val="0"/>
                <w:color w:val="000000"/>
                <w:sz w:val="19"/>
              </w:rPr>
              <w:t>Falta autenticación o credencial válida.</w:t>
            </w:r>
          </w:p>
        </w:tc>
      </w:tr>
      <w:tr>
        <w:trPr>
          <w:cantSplit/>
        </w:trPr>
        <w:tc>
          <w:tcPr>
            <w:tcW w:type="dxa" w:w="2880"/>
            <w:vAlign w:val="center"/>
          </w:tcPr>
          <w:p>
            <w:pPr>
              <w:spacing w:after="0"/>
              <w:jc w:val="left"/>
            </w:pPr>
            <w:r/>
            <w:r>
              <w:rPr>
                <w:rFonts w:ascii="Tahoma" w:hAnsi="Tahoma"/>
                <w:b w:val="0"/>
                <w:color w:val="000000"/>
                <w:sz w:val="19"/>
              </w:rPr>
              <w:t>403 Forbidden</w:t>
            </w:r>
          </w:p>
        </w:tc>
        <w:tc>
          <w:tcPr>
            <w:tcW w:type="dxa" w:w="6624"/>
            <w:vAlign w:val="center"/>
          </w:tcPr>
          <w:p>
            <w:pPr>
              <w:spacing w:after="0"/>
              <w:jc w:val="left"/>
            </w:pPr>
            <w:r/>
            <w:r>
              <w:rPr>
                <w:rFonts w:ascii="Tahoma" w:hAnsi="Tahoma"/>
                <w:b w:val="0"/>
                <w:color w:val="000000"/>
                <w:sz w:val="19"/>
              </w:rPr>
              <w:t>Usuario autenticado sin permiso para el recurso.</w:t>
            </w:r>
          </w:p>
        </w:tc>
      </w:tr>
      <w:tr>
        <w:trPr>
          <w:cantSplit/>
        </w:trPr>
        <w:tc>
          <w:tcPr>
            <w:tcW w:type="dxa" w:w="2880"/>
            <w:vAlign w:val="center"/>
          </w:tcPr>
          <w:p>
            <w:pPr>
              <w:spacing w:after="0"/>
              <w:jc w:val="left"/>
            </w:pPr>
            <w:r/>
            <w:r>
              <w:rPr>
                <w:rFonts w:ascii="Tahoma" w:hAnsi="Tahoma"/>
                <w:b w:val="0"/>
                <w:color w:val="000000"/>
                <w:sz w:val="19"/>
              </w:rPr>
              <w:t>404 Not Found</w:t>
            </w:r>
          </w:p>
        </w:tc>
        <w:tc>
          <w:tcPr>
            <w:tcW w:type="dxa" w:w="6624"/>
            <w:vAlign w:val="center"/>
          </w:tcPr>
          <w:p>
            <w:pPr>
              <w:spacing w:after="0"/>
              <w:jc w:val="left"/>
            </w:pPr>
            <w:r/>
            <w:r>
              <w:rPr>
                <w:rFonts w:ascii="Tahoma" w:hAnsi="Tahoma"/>
                <w:b w:val="0"/>
                <w:color w:val="000000"/>
                <w:sz w:val="19"/>
              </w:rPr>
              <w:t>Recurso inexistente.</w:t>
            </w:r>
          </w:p>
        </w:tc>
      </w:tr>
      <w:tr>
        <w:trPr>
          <w:cantSplit/>
        </w:trPr>
        <w:tc>
          <w:tcPr>
            <w:tcW w:type="dxa" w:w="2880"/>
            <w:vAlign w:val="center"/>
          </w:tcPr>
          <w:p>
            <w:pPr>
              <w:spacing w:after="0"/>
              <w:jc w:val="left"/>
            </w:pPr>
            <w:r/>
            <w:r>
              <w:rPr>
                <w:rFonts w:ascii="Tahoma" w:hAnsi="Tahoma"/>
                <w:b w:val="0"/>
                <w:color w:val="000000"/>
                <w:sz w:val="19"/>
              </w:rPr>
              <w:t>500 Internal Server Error</w:t>
            </w:r>
          </w:p>
        </w:tc>
        <w:tc>
          <w:tcPr>
            <w:tcW w:type="dxa" w:w="6624"/>
            <w:vAlign w:val="center"/>
          </w:tcPr>
          <w:p>
            <w:pPr>
              <w:spacing w:after="0"/>
              <w:jc w:val="left"/>
            </w:pPr>
            <w:r/>
            <w:r>
              <w:rPr>
                <w:rFonts w:ascii="Tahoma" w:hAnsi="Tahoma"/>
                <w:b w:val="0"/>
                <w:color w:val="000000"/>
                <w:sz w:val="19"/>
              </w:rPr>
              <w:t>Error interno manejado sin exponer detalles sensibles.</w:t>
            </w:r>
          </w:p>
        </w:tc>
      </w:tr>
    </w:tbl>
    <w:p>
      <w:pPr>
        <w:spacing w:after="40"/>
      </w:pPr>
    </w:p>
    <w:p>
      <w:pPr>
        <w:keepNext/>
        <w:spacing w:before="200" w:after="160"/>
        <w:jc w:val="center"/>
      </w:pPr>
      <w:r>
        <w:rPr>
          <w:rFonts w:ascii="Tahoma" w:hAnsi="Tahoma"/>
          <w:color w:val="EE0000"/>
          <w:sz w:val="36"/>
        </w:rPr>
        <w:t>12 Pruebas de cierre</w:t>
      </w:r>
    </w:p>
    <w:p>
      <w:pPr>
        <w:spacing w:after="120" w:line="259" w:lineRule="auto"/>
        <w:jc w:val="both"/>
      </w:pPr>
      <w:r>
        <w:rPr>
          <w:rFonts w:ascii="Tahoma" w:hAnsi="Tahoma"/>
          <w:b w:val="0"/>
          <w:i w:val="0"/>
          <w:color w:val="000000"/>
          <w:sz w:val="22"/>
        </w:rPr>
        <w:t>Después de implementar las mitigaciones se deben repetir las mismas solicitudes utilizadas en Fase 1. Mantener el mismo caso de prueba permite comparar objetivamente el comportamiento antes y después de la refactorización.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4608"/>
            <w:vAlign w:val="center"/>
            <w:shd w:fill="E7E6E6"/>
          </w:tcPr>
          <w:p>
            <w:pPr>
              <w:spacing w:after="0"/>
              <w:jc w:val="left"/>
            </w:pPr>
            <w:r/>
            <w:r>
              <w:rPr>
                <w:rFonts w:ascii="Tahoma" w:hAnsi="Tahoma"/>
                <w:b/>
                <w:color w:val="000000"/>
                <w:sz w:val="19"/>
              </w:rPr>
              <w:t>Prueba</w:t>
            </w:r>
          </w:p>
        </w:tc>
        <w:tc>
          <w:tcPr>
            <w:tcW w:type="dxa" w:w="4896"/>
            <w:vAlign w:val="center"/>
            <w:shd w:fill="E7E6E6"/>
          </w:tcPr>
          <w:p>
            <w:pPr>
              <w:spacing w:after="0"/>
              <w:jc w:val="left"/>
            </w:pPr>
            <w:r/>
            <w:r>
              <w:rPr>
                <w:rFonts w:ascii="Tahoma" w:hAnsi="Tahoma"/>
                <w:b/>
                <w:color w:val="000000"/>
                <w:sz w:val="19"/>
              </w:rPr>
              <w:t>Resultado defensivo esperado</w:t>
            </w:r>
          </w:p>
        </w:tc>
      </w:tr>
      <w:tr>
        <w:trPr>
          <w:cantSplit/>
        </w:trPr>
        <w:tc>
          <w:tcPr>
            <w:tcW w:type="dxa" w:w="4608"/>
            <w:vAlign w:val="center"/>
          </w:tcPr>
          <w:p>
            <w:pPr>
              <w:spacing w:after="0"/>
              <w:jc w:val="left"/>
            </w:pPr>
            <w:r/>
            <w:r>
              <w:rPr>
                <w:rFonts w:ascii="Tahoma" w:hAnsi="Tahoma"/>
                <w:b w:val="0"/>
                <w:color w:val="000000"/>
                <w:sz w:val="19"/>
              </w:rPr>
              <w:t>Acceso a zona ajena</w:t>
            </w:r>
          </w:p>
        </w:tc>
        <w:tc>
          <w:tcPr>
            <w:tcW w:type="dxa" w:w="4896"/>
            <w:vAlign w:val="center"/>
          </w:tcPr>
          <w:p>
            <w:pPr>
              <w:spacing w:after="0"/>
              <w:jc w:val="left"/>
            </w:pPr>
            <w:r/>
            <w:r>
              <w:rPr>
                <w:rFonts w:ascii="Tahoma" w:hAnsi="Tahoma"/>
                <w:b w:val="0"/>
                <w:color w:val="000000"/>
                <w:sz w:val="19"/>
              </w:rPr>
              <w:t>HTTP 403 Forbidden.</w:t>
            </w:r>
          </w:p>
        </w:tc>
      </w:tr>
      <w:tr>
        <w:trPr>
          <w:cantSplit/>
        </w:trPr>
        <w:tc>
          <w:tcPr>
            <w:tcW w:type="dxa" w:w="4608"/>
            <w:vAlign w:val="center"/>
          </w:tcPr>
          <w:p>
            <w:pPr>
              <w:spacing w:after="0"/>
              <w:jc w:val="left"/>
            </w:pPr>
            <w:r/>
            <w:r>
              <w:rPr>
                <w:rFonts w:ascii="Tahoma" w:hAnsi="Tahoma"/>
                <w:b w:val="0"/>
                <w:color w:val="000000"/>
                <w:sz w:val="19"/>
              </w:rPr>
              <w:t>Parámetro SQL inválido</w:t>
            </w:r>
          </w:p>
        </w:tc>
        <w:tc>
          <w:tcPr>
            <w:tcW w:type="dxa" w:w="4896"/>
            <w:vAlign w:val="center"/>
          </w:tcPr>
          <w:p>
            <w:pPr>
              <w:spacing w:after="0"/>
              <w:jc w:val="left"/>
            </w:pPr>
            <w:r/>
            <w:r>
              <w:rPr>
                <w:rFonts w:ascii="Tahoma" w:hAnsi="Tahoma"/>
                <w:b w:val="0"/>
                <w:color w:val="000000"/>
                <w:sz w:val="19"/>
              </w:rPr>
              <w:t>HTTP 400 Bad Request o respuesta controlada sin alterar la consulta.</w:t>
            </w:r>
          </w:p>
        </w:tc>
      </w:tr>
      <w:tr>
        <w:trPr>
          <w:cantSplit/>
        </w:trPr>
        <w:tc>
          <w:tcPr>
            <w:tcW w:type="dxa" w:w="4608"/>
            <w:vAlign w:val="center"/>
          </w:tcPr>
          <w:p>
            <w:pPr>
              <w:spacing w:after="0"/>
              <w:jc w:val="left"/>
            </w:pPr>
            <w:r/>
            <w:r>
              <w:rPr>
                <w:rFonts w:ascii="Tahoma" w:hAnsi="Tahoma"/>
                <w:b w:val="0"/>
                <w:color w:val="000000"/>
                <w:sz w:val="19"/>
              </w:rPr>
              <w:t>Umbral fuera de rango</w:t>
            </w:r>
          </w:p>
        </w:tc>
        <w:tc>
          <w:tcPr>
            <w:tcW w:type="dxa" w:w="4896"/>
            <w:vAlign w:val="center"/>
          </w:tcPr>
          <w:p>
            <w:pPr>
              <w:spacing w:after="0"/>
              <w:jc w:val="left"/>
            </w:pPr>
            <w:r/>
            <w:r>
              <w:rPr>
                <w:rFonts w:ascii="Tahoma" w:hAnsi="Tahoma"/>
                <w:b w:val="0"/>
                <w:color w:val="000000"/>
                <w:sz w:val="19"/>
              </w:rPr>
              <w:t>HTTP 400 Bad Request.</w:t>
            </w:r>
          </w:p>
        </w:tc>
      </w:tr>
      <w:tr>
        <w:trPr>
          <w:cantSplit/>
        </w:trPr>
        <w:tc>
          <w:tcPr>
            <w:tcW w:type="dxa" w:w="4608"/>
            <w:vAlign w:val="center"/>
          </w:tcPr>
          <w:p>
            <w:pPr>
              <w:spacing w:after="0"/>
              <w:jc w:val="left"/>
            </w:pPr>
            <w:r/>
            <w:r>
              <w:rPr>
                <w:rFonts w:ascii="Tahoma" w:hAnsi="Tahoma"/>
                <w:b w:val="0"/>
                <w:color w:val="000000"/>
                <w:sz w:val="19"/>
              </w:rPr>
              <w:t>Administrador sin autenticación</w:t>
            </w:r>
          </w:p>
        </w:tc>
        <w:tc>
          <w:tcPr>
            <w:tcW w:type="dxa" w:w="4896"/>
            <w:vAlign w:val="center"/>
          </w:tcPr>
          <w:p>
            <w:pPr>
              <w:spacing w:after="0"/>
              <w:jc w:val="left"/>
            </w:pPr>
            <w:r/>
            <w:r>
              <w:rPr>
                <w:rFonts w:ascii="Tahoma" w:hAnsi="Tahoma"/>
                <w:b w:val="0"/>
                <w:color w:val="000000"/>
                <w:sz w:val="19"/>
              </w:rPr>
              <w:t>HTTP 401 Unauthorized.</w:t>
            </w:r>
          </w:p>
        </w:tc>
      </w:tr>
      <w:tr>
        <w:trPr>
          <w:cantSplit/>
        </w:trPr>
        <w:tc>
          <w:tcPr>
            <w:tcW w:type="dxa" w:w="4608"/>
            <w:vAlign w:val="center"/>
          </w:tcPr>
          <w:p>
            <w:pPr>
              <w:spacing w:after="0"/>
              <w:jc w:val="left"/>
            </w:pPr>
            <w:r/>
            <w:r>
              <w:rPr>
                <w:rFonts w:ascii="Tahoma" w:hAnsi="Tahoma"/>
                <w:b w:val="0"/>
                <w:color w:val="000000"/>
                <w:sz w:val="19"/>
              </w:rPr>
              <w:t>Usuario sin rol administrador</w:t>
            </w:r>
          </w:p>
        </w:tc>
        <w:tc>
          <w:tcPr>
            <w:tcW w:type="dxa" w:w="4896"/>
            <w:vAlign w:val="center"/>
          </w:tcPr>
          <w:p>
            <w:pPr>
              <w:spacing w:after="0"/>
              <w:jc w:val="left"/>
            </w:pPr>
            <w:r/>
            <w:r>
              <w:rPr>
                <w:rFonts w:ascii="Tahoma" w:hAnsi="Tahoma"/>
                <w:b w:val="0"/>
                <w:color w:val="000000"/>
                <w:sz w:val="19"/>
              </w:rPr>
              <w:t>HTTP 403 Forbidden.</w:t>
            </w:r>
          </w:p>
        </w:tc>
      </w:tr>
      <w:tr>
        <w:trPr>
          <w:cantSplit/>
        </w:trPr>
        <w:tc>
          <w:tcPr>
            <w:tcW w:type="dxa" w:w="4608"/>
            <w:vAlign w:val="center"/>
          </w:tcPr>
          <w:p>
            <w:pPr>
              <w:spacing w:after="0"/>
              <w:jc w:val="left"/>
            </w:pPr>
            <w:r/>
            <w:r>
              <w:rPr>
                <w:rFonts w:ascii="Tahoma" w:hAnsi="Tahoma"/>
                <w:b w:val="0"/>
                <w:color w:val="000000"/>
                <w:sz w:val="19"/>
              </w:rPr>
              <w:t>API key inválida</w:t>
            </w:r>
          </w:p>
        </w:tc>
        <w:tc>
          <w:tcPr>
            <w:tcW w:type="dxa" w:w="4896"/>
            <w:vAlign w:val="center"/>
          </w:tcPr>
          <w:p>
            <w:pPr>
              <w:spacing w:after="0"/>
              <w:jc w:val="left"/>
            </w:pPr>
            <w:r/>
            <w:r>
              <w:rPr>
                <w:rFonts w:ascii="Tahoma" w:hAnsi="Tahoma"/>
                <w:b w:val="0"/>
                <w:color w:val="000000"/>
                <w:sz w:val="19"/>
              </w:rPr>
              <w:t>HTTP 401 Unauthorized.</w:t>
            </w:r>
          </w:p>
        </w:tc>
      </w:tr>
    </w:tbl>
    <w:p>
      <w:pPr>
        <w:spacing w:after="40"/>
      </w:pPr>
    </w:p>
    <w:p>
      <w:pPr>
        <w:spacing w:after="120" w:line="259" w:lineRule="auto"/>
        <w:jc w:val="both"/>
      </w:pPr>
      <w:r>
        <w:rPr>
          <w:rFonts w:ascii="Tahoma" w:hAnsi="Tahoma"/>
          <w:b w:val="0"/>
          <w:i w:val="0"/>
          <w:color w:val="000000"/>
          <w:sz w:val="22"/>
        </w:rPr>
        <w:t>El criterio de cierre no consiste solamente en obtener un código distinto, sino en comprobar que la operación no autorizada dejó de ejecutarse, que el servidor no entrega información sensible y que la evidencia demuestra el control implementado.</w:t>
      </w:r>
    </w:p>
    <w:p>
      <w:pPr>
        <w:keepNext/>
        <w:spacing w:before="200" w:after="160"/>
        <w:jc w:val="center"/>
      </w:pPr>
      <w:r>
        <w:rPr>
          <w:rFonts w:ascii="Tahoma" w:hAnsi="Tahoma"/>
          <w:color w:val="EE0000"/>
          <w:sz w:val="36"/>
        </w:rPr>
        <w:t>13 Automatización de auditoría</w:t>
      </w:r>
    </w:p>
    <w:p>
      <w:pPr>
        <w:spacing w:after="120" w:line="259" w:lineRule="auto"/>
        <w:jc w:val="both"/>
      </w:pPr>
      <w:r>
        <w:rPr>
          <w:rFonts w:ascii="Tahoma" w:hAnsi="Tahoma"/>
          <w:b w:val="0"/>
          <w:i w:val="0"/>
          <w:color w:val="000000"/>
          <w:sz w:val="22"/>
        </w:rPr>
        <w:t>La evaluación solicita un script automatizado para optimizar la demostración de la aplicación vulnerable y de la aplicación segura. Se propone utilizar el mismo script con una URL base configurable, de modo que las cinco pruebas se ejecuten contra ambas versiones y sus resultados puedan compararse.</w:t>
      </w:r>
    </w:p>
    <w:p>
      <w:pPr>
        <w:spacing w:after="40"/>
        <w:ind w:left="317" w:hanging="216"/>
        <w:jc w:val="left"/>
      </w:pPr>
      <w:r>
        <w:rPr>
          <w:rFonts w:ascii="Tahoma" w:hAnsi="Tahoma"/>
          <w:sz w:val="22"/>
        </w:rPr>
        <w:t>• Ejecutar las cinco solicitudes en un orden definido.</w:t>
      </w:r>
    </w:p>
    <w:p>
      <w:pPr>
        <w:spacing w:after="40"/>
        <w:ind w:left="317" w:hanging="216"/>
        <w:jc w:val="left"/>
      </w:pPr>
      <w:r>
        <w:rPr>
          <w:rFonts w:ascii="Tahoma" w:hAnsi="Tahoma"/>
          <w:sz w:val="22"/>
        </w:rPr>
        <w:t>• Mostrar en pantalla el nombre de cada prueba y el código de respuesta.</w:t>
      </w:r>
    </w:p>
    <w:p>
      <w:pPr>
        <w:spacing w:after="40"/>
        <w:ind w:left="317" w:hanging="216"/>
        <w:jc w:val="left"/>
      </w:pPr>
      <w:r>
        <w:rPr>
          <w:rFonts w:ascii="Tahoma" w:hAnsi="Tahoma"/>
          <w:sz w:val="22"/>
        </w:rPr>
        <w:t>• Guardar la evidencia en archivos separados por fase.</w:t>
      </w:r>
    </w:p>
    <w:p>
      <w:pPr>
        <w:spacing w:after="40"/>
        <w:ind w:left="317" w:hanging="216"/>
        <w:jc w:val="left"/>
      </w:pPr>
      <w:r>
        <w:rPr>
          <w:rFonts w:ascii="Tahoma" w:hAnsi="Tahoma"/>
          <w:sz w:val="22"/>
        </w:rPr>
        <w:t>• Evitar modificar los resultados después de su ejecución.</w:t>
      </w:r>
    </w:p>
    <w:p>
      <w:pPr>
        <w:spacing w:after="40"/>
        <w:ind w:left="317" w:hanging="216"/>
        <w:jc w:val="left"/>
      </w:pPr>
      <w:r>
        <w:rPr>
          <w:rFonts w:ascii="Tahoma" w:hAnsi="Tahoma"/>
          <w:sz w:val="22"/>
        </w:rPr>
        <w:t>• No incluir secretos reales dentro del script.</w:t>
      </w:r>
    </w:p>
    <w:p>
      <w:pPr>
        <w:keepNext/>
        <w:spacing w:before="200" w:after="160"/>
        <w:jc w:val="center"/>
      </w:pPr>
      <w:r>
        <w:rPr>
          <w:rFonts w:ascii="Tahoma" w:hAnsi="Tahoma"/>
          <w:color w:val="EE0000"/>
          <w:sz w:val="36"/>
        </w:rPr>
        <w:t>14 Organización Docs-as-Code</w:t>
      </w:r>
    </w:p>
    <w:p>
      <w:pPr>
        <w:spacing w:after="120" w:line="259" w:lineRule="auto"/>
        <w:jc w:val="both"/>
      </w:pPr>
      <w:r>
        <w:rPr>
          <w:rFonts w:ascii="Tahoma" w:hAnsi="Tahoma"/>
          <w:b w:val="0"/>
          <w:i w:val="0"/>
          <w:color w:val="000000"/>
          <w:sz w:val="22"/>
        </w:rPr>
        <w:t>El repositorio debe mantener una separación clara entre gobierno, versión vulnerable, versión segura y evidencias. Una estructura propuesta es la siguiente:</w:t>
      </w:r>
    </w:p>
    <w:p>
      <w:pPr>
        <w:spacing w:after="120"/>
        <w:ind w:left="360" w:right="216"/>
        <w:jc w:val="left"/>
      </w:pPr>
      <w:r>
        <w:rPr>
          <w:rFonts w:ascii="Consolas" w:hAnsi="Consolas"/>
          <w:sz w:val="18"/>
        </w:rPr>
        <w:t>proyecto-grupo-X-devsecops/</w:t>
        <w:br/>
      </w:r>
      <w:r>
        <w:rPr>
          <w:rFonts w:ascii="Consolas" w:hAnsi="Consolas"/>
          <w:sz w:val="18"/>
        </w:rPr>
        <w:t>├── README.md</w:t>
        <w:br/>
      </w:r>
      <w:r>
        <w:rPr>
          <w:rFonts w:ascii="Consolas" w:hAnsi="Consolas"/>
          <w:sz w:val="18"/>
        </w:rPr>
        <w:t>├── .gitignore</w:t>
        <w:br/>
      </w:r>
      <w:r>
        <w:rPr>
          <w:rFonts w:ascii="Consolas" w:hAnsi="Consolas"/>
          <w:sz w:val="18"/>
        </w:rPr>
        <w:t>├── .env.example</w:t>
        <w:br/>
      </w:r>
      <w:r>
        <w:rPr>
          <w:rFonts w:ascii="Consolas" w:hAnsi="Consolas"/>
          <w:sz w:val="18"/>
        </w:rPr>
        <w:t>├── gobierno-seguridad/</w:t>
        <w:br/>
      </w:r>
      <w:r>
        <w:rPr>
          <w:rFonts w:ascii="Consolas" w:hAnsi="Consolas"/>
          <w:sz w:val="18"/>
        </w:rPr>
        <w:t>│   ├── manifiesto-etico.md</w:t>
        <w:br/>
      </w:r>
      <w:r>
        <w:rPr>
          <w:rFonts w:ascii="Consolas" w:hAnsi="Consolas"/>
          <w:sz w:val="18"/>
        </w:rPr>
        <w:t>│   ├── ONF.md</w:t>
        <w:br/>
      </w:r>
      <w:r>
        <w:rPr>
          <w:rFonts w:ascii="Consolas" w:hAnsi="Consolas"/>
          <w:sz w:val="18"/>
        </w:rPr>
        <w:t>│   └── ASC.md</w:t>
        <w:br/>
      </w:r>
      <w:r>
        <w:rPr>
          <w:rFonts w:ascii="Consolas" w:hAnsi="Consolas"/>
          <w:sz w:val="18"/>
        </w:rPr>
        <w:t>├── src/</w:t>
        <w:br/>
      </w:r>
      <w:r>
        <w:rPr>
          <w:rFonts w:ascii="Consolas" w:hAnsi="Consolas"/>
          <w:sz w:val="18"/>
        </w:rPr>
        <w:t>│   ├── vulnerable/</w:t>
        <w:br/>
      </w:r>
      <w:r>
        <w:rPr>
          <w:rFonts w:ascii="Consolas" w:hAnsi="Consolas"/>
          <w:sz w:val="18"/>
        </w:rPr>
        <w:t>│   └── seguro/</w:t>
        <w:br/>
      </w:r>
      <w:r>
        <w:rPr>
          <w:rFonts w:ascii="Consolas" w:hAnsi="Consolas"/>
          <w:sz w:val="18"/>
        </w:rPr>
        <w:t>├── auditoria/</w:t>
        <w:br/>
      </w:r>
      <w:r>
        <w:rPr>
          <w:rFonts w:ascii="Consolas" w:hAnsi="Consolas"/>
          <w:sz w:val="18"/>
        </w:rPr>
        <w:t>│   ├── fase1/</w:t>
        <w:br/>
      </w:r>
      <w:r>
        <w:rPr>
          <w:rFonts w:ascii="Consolas" w:hAnsi="Consolas"/>
          <w:sz w:val="18"/>
        </w:rPr>
        <w:t>│   └── fase2/</w:t>
        <w:br/>
      </w:r>
      <w:r>
        <w:rPr>
          <w:rFonts w:ascii="Consolas" w:hAnsi="Consolas"/>
          <w:sz w:val="18"/>
        </w:rPr>
        <w:t>└── scripts/</w:t>
        <w:br/>
      </w:r>
      <w:r>
        <w:rPr>
          <w:rFonts w:ascii="Consolas" w:hAnsi="Consolas"/>
          <w:sz w:val="18"/>
        </w:rPr>
        <w:t xml:space="preserve">    └── auditoria.sh</w:t>
      </w:r>
    </w:p>
    <w:p>
      <w:pPr>
        <w:spacing w:after="120" w:line="259" w:lineRule="auto"/>
        <w:jc w:val="both"/>
      </w:pPr>
      <w:r>
        <w:rPr>
          <w:rFonts w:ascii="Tahoma" w:hAnsi="Tahoma"/>
          <w:b w:val="0"/>
          <w:i w:val="0"/>
          <w:color w:val="000000"/>
          <w:sz w:val="22"/>
        </w:rPr>
        <w:t>El historial de Git debe reflejar el proceso real de trabajo. Es preferible registrar cambios por etapas —por ejemplo, implementación de la versión vulnerable, evidencias de Fase 1, mitigación de cada riesgo y pruebas de cierre— en lugar de subir el proyecto completo mediante un único commit.</w:t>
      </w:r>
    </w:p>
    <w:p>
      <w:pPr>
        <w:keepNext/>
        <w:spacing w:before="200" w:after="160"/>
        <w:jc w:val="center"/>
      </w:pPr>
      <w:r>
        <w:rPr>
          <w:rFonts w:ascii="Tahoma" w:hAnsi="Tahoma"/>
          <w:color w:val="EE0000"/>
          <w:sz w:val="36"/>
        </w:rPr>
        <w:t>15 Conclusiones</w:t>
      </w:r>
    </w:p>
    <w:p>
      <w:pPr>
        <w:spacing w:after="120" w:line="259" w:lineRule="auto"/>
        <w:jc w:val="both"/>
      </w:pPr>
      <w:r>
        <w:rPr>
          <w:rFonts w:ascii="Tahoma" w:hAnsi="Tahoma"/>
          <w:b w:val="0"/>
          <w:i w:val="0"/>
          <w:color w:val="000000"/>
          <w:sz w:val="22"/>
        </w:rPr>
        <w:t>El análisis de AgriSmart demuestra que la seguridad de aplicaciones adquiere una importancia adicional cuando el software interactúa con procesos físicos. Una falla de autorización, inyección o diseño puede afectar no sólo la confidencialidad de datos, sino también la integridad y disponibilidad de un sistema de riego.</w:t>
      </w:r>
    </w:p>
    <w:p>
      <w:pPr>
        <w:spacing w:after="120" w:line="259" w:lineRule="auto"/>
        <w:jc w:val="both"/>
      </w:pPr>
      <w:r>
        <w:rPr>
          <w:rFonts w:ascii="Tahoma" w:hAnsi="Tahoma"/>
          <w:b w:val="0"/>
          <w:i w:val="0"/>
          <w:color w:val="000000"/>
          <w:sz w:val="22"/>
        </w:rPr>
        <w:t>Las cinco vulnerabilidades seleccionadas muestran problemas en distintas capas. A01 y A05 evidencian controles de acceso insuficientes; A03 demuestra el riesgo de utilizar entradas no confiables en consultas; A04 muestra que determinados problemas deben abordarse desde el diseño; y A07 evidencia la necesidad de gestionar credenciales de forma independiente al código fuente.</w:t>
      </w:r>
    </w:p>
    <w:p>
      <w:pPr>
        <w:spacing w:after="120" w:line="259" w:lineRule="auto"/>
        <w:jc w:val="both"/>
      </w:pPr>
      <w:r>
        <w:rPr>
          <w:rFonts w:ascii="Tahoma" w:hAnsi="Tahoma"/>
          <w:b w:val="0"/>
          <w:i w:val="0"/>
          <w:color w:val="000000"/>
          <w:sz w:val="22"/>
        </w:rPr>
        <w:t>ISO/IEC 27034 entrega una base de gobernanza para integrar seguridad en la administración de aplicaciones, mientras que OWASP Top 10 facilita la identificación y comunicación de riesgos frecuentes. NIST SSDF complementa este enfoque al proponer prácticas de desarrollo seguro integrables al ciclo de vida. La combinación de estos marcos permite justificar técnicamente los controles propuestos para AgriSmart.</w:t>
      </w:r>
    </w:p>
    <w:p>
      <w:pPr>
        <w:spacing w:after="120" w:line="259" w:lineRule="auto"/>
        <w:jc w:val="both"/>
      </w:pPr>
      <w:r>
        <w:rPr>
          <w:rFonts w:ascii="Tahoma" w:hAnsi="Tahoma"/>
          <w:b w:val="0"/>
          <w:i w:val="0"/>
          <w:color w:val="000000"/>
          <w:sz w:val="22"/>
        </w:rPr>
        <w:t>Finalmente, la validez de la parte práctica dependerá de evidencias reproducibles. Por ello, los resultados de auditoría no deben inventarse ni editarse: las respuestas reales obtenidas durante las pruebas de Fase 1 y Fase 2 son las que demostrarán que las vulnerabilidades fueron identificadas y posteriormente mitigadas.</w:t>
      </w:r>
    </w:p>
    <w:p>
      <w:pPr>
        <w:keepNext/>
        <w:spacing w:before="200" w:after="160"/>
        <w:jc w:val="center"/>
      </w:pPr>
      <w:r>
        <w:rPr>
          <w:rFonts w:ascii="Tahoma" w:hAnsi="Tahoma"/>
          <w:color w:val="EE0000"/>
          <w:sz w:val="36"/>
        </w:rPr>
        <w:t>16 Referencias</w:t>
      </w:r>
    </w:p>
    <w:p>
      <w:pPr>
        <w:spacing w:after="100" w:line="259" w:lineRule="auto"/>
        <w:jc w:val="left"/>
      </w:pPr>
      <w:r>
        <w:rPr>
          <w:rFonts w:ascii="Tahoma" w:hAnsi="Tahoma"/>
          <w:b w:val="0"/>
          <w:i w:val="0"/>
          <w:color w:val="000000"/>
          <w:sz w:val="19"/>
        </w:rPr>
        <w:t>[1] International Organization for Standardization (ISO). ISO/IEC 27034-1:2011, Information technology — Security techniques — Application security — Part 1: Overview and concepts. https://www.iso.org/standard/44378.html</w:t>
      </w:r>
    </w:p>
    <w:p>
      <w:pPr>
        <w:spacing w:after="100" w:line="259" w:lineRule="auto"/>
        <w:jc w:val="left"/>
      </w:pPr>
      <w:r>
        <w:rPr>
          <w:rFonts w:ascii="Tahoma" w:hAnsi="Tahoma"/>
          <w:b w:val="0"/>
          <w:i w:val="0"/>
          <w:color w:val="000000"/>
          <w:sz w:val="19"/>
        </w:rPr>
        <w:t>[2] International Organization for Standardization (ISO). ISO/IEC 27034-2:2015, Application security — Part 2: Organization normative framework. https://www.iso.org/standard/55582.html</w:t>
      </w:r>
    </w:p>
    <w:p>
      <w:pPr>
        <w:spacing w:after="100" w:line="259" w:lineRule="auto"/>
        <w:jc w:val="left"/>
      </w:pPr>
      <w:r>
        <w:rPr>
          <w:rFonts w:ascii="Tahoma" w:hAnsi="Tahoma"/>
          <w:b w:val="0"/>
          <w:i w:val="0"/>
          <w:color w:val="000000"/>
          <w:sz w:val="19"/>
        </w:rPr>
        <w:t>[3] National Institute of Standards and Technology (NIST). SP 800-218, Secure Software Development Framework (SSDF) Version 1.1. Febrero de 2022. https://csrc.nist.gov/pubs/sp/800/218/final</w:t>
      </w:r>
    </w:p>
    <w:p>
      <w:pPr>
        <w:spacing w:after="100" w:line="259" w:lineRule="auto"/>
        <w:jc w:val="left"/>
      </w:pPr>
      <w:r>
        <w:rPr>
          <w:rFonts w:ascii="Tahoma" w:hAnsi="Tahoma"/>
          <w:b w:val="0"/>
          <w:i w:val="0"/>
          <w:color w:val="000000"/>
          <w:sz w:val="19"/>
        </w:rPr>
        <w:t>[4] OWASP Foundation. OWASP Top 10:2021. https://top10.owasp.org/2021/</w:t>
      </w:r>
    </w:p>
    <w:p>
      <w:pPr>
        <w:spacing w:after="100" w:line="259" w:lineRule="auto"/>
        <w:jc w:val="left"/>
      </w:pPr>
      <w:r>
        <w:rPr>
          <w:rFonts w:ascii="Tahoma" w:hAnsi="Tahoma"/>
          <w:b w:val="0"/>
          <w:i w:val="0"/>
          <w:color w:val="000000"/>
          <w:sz w:val="19"/>
        </w:rPr>
        <w:t>[5] Biblioteca del Congreso Nacional de Chile. Ley N.º 21.663, Ley Marco de Ciberseguridad. https://www.bcn.cl/leychile/navegar?idNorma=1202434</w:t>
      </w:r>
    </w:p>
    <w:p>
      <w:pPr>
        <w:spacing w:after="100" w:line="259" w:lineRule="auto"/>
        <w:jc w:val="left"/>
      </w:pPr>
      <w:r>
        <w:rPr>
          <w:rFonts w:ascii="Tahoma" w:hAnsi="Tahoma"/>
          <w:b w:val="0"/>
          <w:i w:val="0"/>
          <w:color w:val="000000"/>
          <w:sz w:val="19"/>
        </w:rPr>
        <w:t>[6] OWASP Foundation. A01:2021 – Broken Access Control / Pérdida de Control de Acceso. https://top10.owasp.org/2021/es/A01_2021-Broken_Access_Control/</w:t>
      </w:r>
    </w:p>
    <w:p>
      <w:pPr>
        <w:spacing w:after="100" w:line="259" w:lineRule="auto"/>
        <w:jc w:val="left"/>
      </w:pPr>
      <w:r>
        <w:rPr>
          <w:rFonts w:ascii="Tahoma" w:hAnsi="Tahoma"/>
          <w:b w:val="0"/>
          <w:i w:val="0"/>
          <w:color w:val="000000"/>
          <w:sz w:val="19"/>
        </w:rPr>
        <w:t>[7] OWASP Foundation. A07:2021 – Identification and Authentication Failures. https://top10.owasp.org/2021/es/A07_2021-Identification_and_Authentication_Failures/</w:t>
      </w:r>
    </w:p>
    <w:p>
      <w:pPr>
        <w:spacing w:after="100" w:line="259" w:lineRule="auto"/>
        <w:jc w:val="left"/>
      </w:pPr>
      <w:r>
        <w:rPr>
          <w:rFonts w:ascii="Tahoma" w:hAnsi="Tahoma"/>
          <w:b w:val="0"/>
          <w:i w:val="0"/>
          <w:color w:val="000000"/>
          <w:sz w:val="19"/>
        </w:rPr>
        <w:t>[8] OWASP Cheat Sheet Series. Secrets Management Cheat Sheet. https://cheatsheetseries.owasp.org/cheatsheets/Secrets_Management_Cheat_Sheet.html</w:t>
      </w:r>
    </w:p>
    <w:p>
      <w:pPr>
        <w:spacing w:after="100" w:line="259" w:lineRule="auto"/>
        <w:jc w:val="left"/>
      </w:pPr>
      <w:r>
        <w:rPr>
          <w:rFonts w:ascii="Tahoma" w:hAnsi="Tahoma"/>
          <w:b w:val="0"/>
          <w:i w:val="0"/>
          <w:color w:val="000000"/>
          <w:sz w:val="19"/>
        </w:rPr>
        <w:t>[9] Material de evaluación de la asignatura: “2.4 Evaluación 02 (Individual)” y “Lista de Casos 1 al 10”, Caso 10 AgriTech – AgriSmart API.</w:t>
      </w:r>
    </w:p>
    <w:p>
      <w:r>
        <w:br w:type="page"/>
      </w:r>
    </w:p>
    <w:p>
      <w:pPr>
        <w:jc w:val="center"/>
      </w:pPr>
      <w:r>
        <w:rPr>
          <w:rFonts w:ascii="Tahoma" w:hAnsi="Tahoma"/>
          <w:b/>
          <w:color w:val="EE0000"/>
          <w:sz w:val="36"/>
        </w:rPr>
        <w:t>ANEXO TEMPORAL – INSTRUCCIONES PARA EL CÓDIGO</w:t>
      </w:r>
    </w:p>
    <w:p>
      <w:pPr>
        <w:jc w:val="center"/>
      </w:pPr>
      <w:r>
        <w:rPr>
          <w:rFonts w:ascii="Tahoma" w:hAnsi="Tahoma"/>
          <w:b/>
          <w:color w:val="EE0000"/>
          <w:sz w:val="26"/>
        </w:rPr>
        <w:t>BORRAR ESTA SECCIÓN ANTES DE ENTREGAR EL INFORME</w:t>
      </w:r>
    </w:p>
    <w:p>
      <w:pPr>
        <w:spacing w:after="120" w:line="259" w:lineRule="auto"/>
        <w:jc w:val="both"/>
      </w:pPr>
      <w:r>
        <w:rPr>
          <w:rFonts w:ascii="Tahoma" w:hAnsi="Tahoma"/>
          <w:b w:val="0"/>
          <w:i w:val="0"/>
          <w:color w:val="000000"/>
          <w:sz w:val="22"/>
        </w:rPr>
        <w:t>Esta sección resume lo que debe implementar la persona encargada del código. Está pensada para un laboratorio local autorizado y no debe utilizarse contra sistemas externos.</w:t>
      </w:r>
    </w:p>
    <w:p>
      <w:pPr>
        <w:keepNext/>
        <w:spacing w:before="160" w:after="100"/>
        <w:jc w:val="left"/>
      </w:pPr>
      <w:r>
        <w:rPr>
          <w:rFonts w:ascii="Tahoma" w:hAnsi="Tahoma"/>
          <w:color w:val="EE0000"/>
          <w:sz w:val="28"/>
        </w:rPr>
        <w:t>A.1 Estructura mínima del proyecto</w:t>
      </w:r>
    </w:p>
    <w:p>
      <w:pPr>
        <w:spacing w:after="120"/>
        <w:ind w:left="360" w:right="216"/>
        <w:jc w:val="left"/>
      </w:pPr>
      <w:r>
        <w:rPr>
          <w:rFonts w:ascii="Consolas" w:hAnsi="Consolas"/>
          <w:sz w:val="18"/>
        </w:rPr>
        <w:t>src/vulnerable/</w:t>
        <w:br/>
      </w:r>
      <w:r>
        <w:rPr>
          <w:rFonts w:ascii="Consolas" w:hAnsi="Consolas"/>
          <w:sz w:val="18"/>
        </w:rPr>
        <w:t>src/seguro/</w:t>
        <w:br/>
      </w:r>
      <w:r>
        <w:rPr>
          <w:rFonts w:ascii="Consolas" w:hAnsi="Consolas"/>
          <w:sz w:val="18"/>
        </w:rPr>
        <w:t>auditoria/fase1/</w:t>
        <w:br/>
      </w:r>
      <w:r>
        <w:rPr>
          <w:rFonts w:ascii="Consolas" w:hAnsi="Consolas"/>
          <w:sz w:val="18"/>
        </w:rPr>
        <w:t>auditoria/fase2/</w:t>
        <w:br/>
      </w:r>
      <w:r>
        <w:rPr>
          <w:rFonts w:ascii="Consolas" w:hAnsi="Consolas"/>
          <w:sz w:val="18"/>
        </w:rPr>
        <w:t>scripts/</w:t>
        <w:br/>
      </w:r>
      <w:r>
        <w:rPr>
          <w:rFonts w:ascii="Consolas" w:hAnsi="Consolas"/>
          <w:sz w:val="18"/>
        </w:rPr>
        <w:t>gobierno-seguridad/</w:t>
      </w:r>
    </w:p>
    <w:p>
      <w:pPr>
        <w:spacing w:after="120" w:line="259" w:lineRule="auto"/>
        <w:jc w:val="both"/>
      </w:pPr>
      <w:r>
        <w:rPr>
          <w:rFonts w:ascii="Tahoma" w:hAnsi="Tahoma"/>
          <w:b w:val="0"/>
          <w:i w:val="0"/>
          <w:color w:val="000000"/>
          <w:sz w:val="22"/>
        </w:rPr>
        <w:t>Crear dos versiones de la misma API Node.js/Express: una intencionalmente vulnerable para demostrar los cinco casos y una segura con los controles aplicados. Utilizar datos ficticios y no conectar el laboratorio a bombas, sensores o servicios reales.</w:t>
      </w:r>
    </w:p>
    <w:p>
      <w:pPr>
        <w:keepNext/>
        <w:spacing w:before="160" w:after="100"/>
        <w:jc w:val="left"/>
      </w:pPr>
      <w:r>
        <w:rPr>
          <w:rFonts w:ascii="Tahoma" w:hAnsi="Tahoma"/>
          <w:color w:val="EE0000"/>
          <w:sz w:val="28"/>
        </w:rPr>
        <w:t>A.2 Dependencias y datos de laboratorio</w:t>
      </w:r>
    </w:p>
    <w:p>
      <w:pPr>
        <w:spacing w:after="120"/>
        <w:ind w:left="360" w:right="216"/>
        <w:jc w:val="left"/>
      </w:pPr>
      <w:r>
        <w:rPr>
          <w:rFonts w:ascii="Consolas" w:hAnsi="Consolas"/>
          <w:sz w:val="18"/>
        </w:rPr>
        <w:t>npm init -y</w:t>
        <w:br/>
      </w:r>
      <w:r>
        <w:rPr>
          <w:rFonts w:ascii="Consolas" w:hAnsi="Consolas"/>
          <w:sz w:val="18"/>
        </w:rPr>
        <w:t>npm install express sqlite3 dotenv helmet</w:t>
      </w:r>
    </w:p>
    <w:p>
      <w:pPr>
        <w:spacing w:after="120" w:line="259" w:lineRule="auto"/>
        <w:jc w:val="both"/>
      </w:pPr>
      <w:r>
        <w:rPr>
          <w:rFonts w:ascii="Tahoma" w:hAnsi="Tahoma"/>
          <w:b w:val="0"/>
          <w:i w:val="0"/>
          <w:color w:val="000000"/>
          <w:sz w:val="22"/>
        </w:rPr>
        <w:t>Preparar usuarios y zonas ficticias suficientes para demostrar separación de recursos. Como mínimo: dos usuarios, una zona perteneciente a cada usuario y varios registros históricos de sensores.</w:t>
      </w:r>
    </w:p>
    <w:p>
      <w:pPr>
        <w:keepNext/>
        <w:spacing w:before="160" w:after="100"/>
        <w:jc w:val="left"/>
      </w:pPr>
      <w:r>
        <w:rPr>
          <w:rFonts w:ascii="Tahoma" w:hAnsi="Tahoma"/>
          <w:color w:val="EE0000"/>
          <w:sz w:val="28"/>
        </w:rPr>
        <w:t>A.3 Endpoints sugeridos</w:t>
      </w:r>
    </w:p>
    <w:p>
      <w:pPr>
        <w:spacing w:after="120"/>
        <w:ind w:left="360" w:right="216"/>
        <w:jc w:val="left"/>
      </w:pPr>
      <w:r>
        <w:rPr>
          <w:rFonts w:ascii="Consolas" w:hAnsi="Consolas"/>
          <w:sz w:val="18"/>
        </w:rPr>
        <w:t>PUT /api/zones/:id/irrigation</w:t>
        <w:br/>
      </w:r>
      <w:r>
        <w:rPr>
          <w:rFonts w:ascii="Consolas" w:hAnsi="Consolas"/>
          <w:sz w:val="18"/>
        </w:rPr>
        <w:t>GET /api/history</w:t>
        <w:br/>
      </w:r>
      <w:r>
        <w:rPr>
          <w:rFonts w:ascii="Consolas" w:hAnsi="Consolas"/>
          <w:sz w:val="18"/>
        </w:rPr>
        <w:t>PUT /api/zones/:id/settings</w:t>
        <w:br/>
      </w:r>
      <w:r>
        <w:rPr>
          <w:rFonts w:ascii="Consolas" w:hAnsi="Consolas"/>
          <w:sz w:val="18"/>
        </w:rPr>
        <w:t>GET /admin/sensors</w:t>
        <w:br/>
      </w:r>
      <w:r>
        <w:rPr>
          <w:rFonts w:ascii="Consolas" w:hAnsi="Consolas"/>
          <w:sz w:val="18"/>
        </w:rPr>
        <w:t>GET /api/sensors</w:t>
      </w:r>
    </w:p>
    <w:p>
      <w:pPr>
        <w:keepNext/>
        <w:spacing w:before="160" w:after="100"/>
        <w:jc w:val="left"/>
      </w:pPr>
      <w:r>
        <w:rPr>
          <w:rFonts w:ascii="Tahoma" w:hAnsi="Tahoma"/>
          <w:color w:val="EE0000"/>
          <w:sz w:val="28"/>
        </w:rPr>
        <w:t>A.4 Qué debe demostrar A01</w:t>
      </w:r>
    </w:p>
    <w:p>
      <w:pPr>
        <w:spacing w:after="120" w:line="259" w:lineRule="auto"/>
        <w:jc w:val="both"/>
      </w:pPr>
      <w:r>
        <w:rPr>
          <w:rFonts w:ascii="Tahoma" w:hAnsi="Tahoma"/>
          <w:b w:val="0"/>
          <w:i w:val="0"/>
          <w:color w:val="000000"/>
          <w:sz w:val="22"/>
        </w:rPr>
        <w:t>Versión vulnerable: el endpoint de riego valida que la zona exista pero no verifica que pertenezca al usuario. Versión segura: obtener la zona y comparar su propietario con el usuario autenticado. Si no corresponde, responder 403 y no modificar el estado.</w:t>
      </w:r>
    </w:p>
    <w:p>
      <w:pPr>
        <w:keepNext/>
        <w:spacing w:before="160" w:after="100"/>
        <w:jc w:val="left"/>
      </w:pPr>
      <w:r>
        <w:rPr>
          <w:rFonts w:ascii="Tahoma" w:hAnsi="Tahoma"/>
          <w:color w:val="EE0000"/>
          <w:sz w:val="28"/>
        </w:rPr>
        <w:t>A.5 Qué debe demostrar A03</w:t>
      </w:r>
    </w:p>
    <w:p>
      <w:pPr>
        <w:spacing w:after="120" w:line="259" w:lineRule="auto"/>
        <w:jc w:val="both"/>
      </w:pPr>
      <w:r>
        <w:rPr>
          <w:rFonts w:ascii="Tahoma" w:hAnsi="Tahoma"/>
          <w:b w:val="0"/>
          <w:i w:val="0"/>
          <w:color w:val="000000"/>
          <w:sz w:val="22"/>
        </w:rPr>
        <w:t>Versión vulnerable: construir la consulta histórica utilizando directamente el parámetro recibido, sólo dentro del laboratorio. Versión segura: utilizar una consulta parametrizada, por ejemplo SELECT ... WHERE zone_id = ?, y validar que zone_id sea un entero positivo. Una entrada inválida debe terminar en 400 sin exponer mensajes internos de SQLite.</w:t>
      </w:r>
    </w:p>
    <w:p>
      <w:pPr>
        <w:keepNext/>
        <w:spacing w:before="160" w:after="100"/>
        <w:jc w:val="left"/>
      </w:pPr>
      <w:r>
        <w:rPr>
          <w:rFonts w:ascii="Tahoma" w:hAnsi="Tahoma"/>
          <w:color w:val="EE0000"/>
          <w:sz w:val="28"/>
        </w:rPr>
        <w:t>A.6 Qué debe demostrar A04</w:t>
      </w:r>
    </w:p>
    <w:p>
      <w:pPr>
        <w:spacing w:after="120" w:line="259" w:lineRule="auto"/>
        <w:jc w:val="both"/>
      </w:pPr>
      <w:r>
        <w:rPr>
          <w:rFonts w:ascii="Tahoma" w:hAnsi="Tahoma"/>
          <w:b w:val="0"/>
          <w:i w:val="0"/>
          <w:color w:val="000000"/>
          <w:sz w:val="22"/>
        </w:rPr>
        <w:t>Versión vulnerable: aceptar parámetros numéricos sin límites. Versión segura: definir límites demostrativos documentados y rechazar valores fuera de rango. No presentar esos límites académicos como especificaciones reales de bombas agrícolas; una implementación productiva requiere valores aprobados por especialistas y fabricantes.</w:t>
      </w:r>
    </w:p>
    <w:p>
      <w:pPr>
        <w:keepNext/>
        <w:spacing w:before="160" w:after="100"/>
        <w:jc w:val="left"/>
      </w:pPr>
      <w:r>
        <w:rPr>
          <w:rFonts w:ascii="Tahoma" w:hAnsi="Tahoma"/>
          <w:color w:val="EE0000"/>
          <w:sz w:val="28"/>
        </w:rPr>
        <w:t>A.7 Qué debe demostrar A05</w:t>
      </w:r>
    </w:p>
    <w:p>
      <w:pPr>
        <w:spacing w:after="120" w:line="259" w:lineRule="auto"/>
        <w:jc w:val="both"/>
      </w:pPr>
      <w:r>
        <w:rPr>
          <w:rFonts w:ascii="Tahoma" w:hAnsi="Tahoma"/>
          <w:b w:val="0"/>
          <w:i w:val="0"/>
          <w:color w:val="000000"/>
          <w:sz w:val="22"/>
        </w:rPr>
        <w:t>Versión vulnerable: /admin/sensors responde sin autenticación. Versión segura: aplicar middleware de autenticación y de rol administrador. Sin credenciales debe responder 401; un usuario común, 403; un administrador válido, 200. Incorporar helmet y un manejador de errores que no entregue Stack Traces.</w:t>
      </w:r>
    </w:p>
    <w:p>
      <w:pPr>
        <w:keepNext/>
        <w:spacing w:before="160" w:after="100"/>
        <w:jc w:val="left"/>
      </w:pPr>
      <w:r>
        <w:rPr>
          <w:rFonts w:ascii="Tahoma" w:hAnsi="Tahoma"/>
          <w:color w:val="EE0000"/>
          <w:sz w:val="28"/>
        </w:rPr>
        <w:t>A.8 Qué debe demostrar A07</w:t>
      </w:r>
    </w:p>
    <w:p>
      <w:pPr>
        <w:spacing w:after="120" w:line="259" w:lineRule="auto"/>
        <w:jc w:val="both"/>
      </w:pPr>
      <w:r>
        <w:rPr>
          <w:rFonts w:ascii="Tahoma" w:hAnsi="Tahoma"/>
          <w:b w:val="0"/>
          <w:i w:val="0"/>
          <w:color w:val="000000"/>
          <w:sz w:val="22"/>
        </w:rPr>
        <w:t>Versión vulnerable: utilizar una clave ficticia hardcoded creada sólo para el laboratorio. Versión segura: obtener la clave desde process.env, incluir .env en .gitignore y publicar únicamente un .env.example sin secretos. Nunca usar una credencial personal ni una clave de un servicio real.</w:t>
      </w:r>
    </w:p>
    <w:p>
      <w:pPr>
        <w:keepNext/>
        <w:spacing w:before="160" w:after="100"/>
        <w:jc w:val="left"/>
      </w:pPr>
      <w:r>
        <w:rPr>
          <w:rFonts w:ascii="Tahoma" w:hAnsi="Tahoma"/>
          <w:color w:val="EE0000"/>
          <w:sz w:val="28"/>
        </w:rPr>
        <w:t>A.9 Evidencias</w:t>
      </w:r>
    </w:p>
    <w:p>
      <w:pPr>
        <w:spacing w:after="120" w:line="259" w:lineRule="auto"/>
        <w:jc w:val="both"/>
      </w:pPr>
      <w:r>
        <w:rPr>
          <w:rFonts w:ascii="Tahoma" w:hAnsi="Tahoma"/>
          <w:b w:val="0"/>
          <w:i w:val="0"/>
          <w:color w:val="000000"/>
          <w:sz w:val="22"/>
        </w:rPr>
        <w:t>Por cada vulnerabilidad guardar el comando curl, código HTTP y cuerpo de respuesta en archivos A01.txt, A03.txt, A04.txt, A05.txt y A07.txt dentro de auditoria/fase1 y auditoria/fase2. No editar manualmente los resultados para hacer que una prueba parezca exitosa.</w:t>
      </w:r>
    </w:p>
    <w:p>
      <w:pPr>
        <w:spacing w:after="120"/>
        <w:ind w:left="360" w:right="216"/>
        <w:jc w:val="left"/>
      </w:pPr>
      <w:r>
        <w:rPr>
          <w:rFonts w:ascii="Consolas" w:hAnsi="Consolas"/>
          <w:sz w:val="18"/>
        </w:rPr>
        <w:t>curl -i http://localhost:3000/admin/sensors &gt; auditoria/fase1/A05.txt</w:t>
        <w:br/>
      </w:r>
      <w:r>
        <w:rPr>
          <w:rFonts w:ascii="Consolas" w:hAnsi="Consolas"/>
          <w:sz w:val="18"/>
        </w:rPr>
        <w:t>curl -i http://localhost:3001/admin/sensors &gt; auditoria/fase2/A05.txt</w:t>
      </w:r>
    </w:p>
    <w:p>
      <w:pPr>
        <w:keepNext/>
        <w:spacing w:before="160" w:after="100"/>
        <w:jc w:val="left"/>
      </w:pPr>
      <w:r>
        <w:rPr>
          <w:rFonts w:ascii="Tahoma" w:hAnsi="Tahoma"/>
          <w:color w:val="EE0000"/>
          <w:sz w:val="28"/>
        </w:rPr>
        <w:t>A.10 Script de auditoría</w:t>
      </w:r>
    </w:p>
    <w:p>
      <w:pPr>
        <w:spacing w:after="120" w:line="259" w:lineRule="auto"/>
        <w:jc w:val="both"/>
      </w:pPr>
      <w:r>
        <w:rPr>
          <w:rFonts w:ascii="Tahoma" w:hAnsi="Tahoma"/>
          <w:b w:val="0"/>
          <w:i w:val="0"/>
          <w:color w:val="000000"/>
          <w:sz w:val="22"/>
        </w:rPr>
        <w:t>Crear scripts/auditoria.sh para ejecutar las cinco solicitudes utilizando una URL base como argumento. De esta forma se utiliza exactamente la misma batería de pruebas contra la versión vulnerable y la versión segura.</w:t>
      </w:r>
    </w:p>
    <w:p>
      <w:pPr>
        <w:spacing w:after="120"/>
        <w:ind w:left="360" w:right="216"/>
        <w:jc w:val="left"/>
      </w:pPr>
      <w:r>
        <w:rPr>
          <w:rFonts w:ascii="Consolas" w:hAnsi="Consolas"/>
          <w:sz w:val="18"/>
        </w:rPr>
        <w:t>./scripts/auditoria.sh http://localhost:3000</w:t>
        <w:br/>
      </w:r>
      <w:r>
        <w:rPr>
          <w:rFonts w:ascii="Consolas" w:hAnsi="Consolas"/>
          <w:sz w:val="18"/>
        </w:rPr>
        <w:t>./scripts/auditoria.sh http://localhost:3001</w:t>
      </w:r>
    </w:p>
    <w:p>
      <w:pPr>
        <w:keepNext/>
        <w:spacing w:before="160" w:after="100"/>
        <w:jc w:val="left"/>
      </w:pPr>
      <w:r>
        <w:rPr>
          <w:rFonts w:ascii="Tahoma" w:hAnsi="Tahoma"/>
          <w:color w:val="EE0000"/>
          <w:sz w:val="28"/>
        </w:rPr>
        <w:t>A.11 Commits recomendados</w:t>
      </w:r>
    </w:p>
    <w:p>
      <w:pPr>
        <w:spacing w:after="40"/>
        <w:ind w:left="317" w:hanging="216"/>
        <w:jc w:val="left"/>
      </w:pPr>
      <w:r>
        <w:rPr>
          <w:rFonts w:ascii="Tahoma" w:hAnsi="Tahoma"/>
          <w:sz w:val="22"/>
        </w:rPr>
        <w:t>• Inicialización de AgriSmart.</w:t>
      </w:r>
    </w:p>
    <w:p>
      <w:pPr>
        <w:spacing w:after="40"/>
        <w:ind w:left="317" w:hanging="216"/>
        <w:jc w:val="left"/>
      </w:pPr>
      <w:r>
        <w:rPr>
          <w:rFonts w:ascii="Tahoma" w:hAnsi="Tahoma"/>
          <w:sz w:val="22"/>
        </w:rPr>
        <w:t>• Implementación de API vulnerable.</w:t>
      </w:r>
    </w:p>
    <w:p>
      <w:pPr>
        <w:spacing w:after="40"/>
        <w:ind w:left="317" w:hanging="216"/>
        <w:jc w:val="left"/>
      </w:pPr>
      <w:r>
        <w:rPr>
          <w:rFonts w:ascii="Tahoma" w:hAnsi="Tahoma"/>
          <w:sz w:val="22"/>
        </w:rPr>
        <w:t>• Agregar evidencias de auditoría Fase 1.</w:t>
      </w:r>
    </w:p>
    <w:p>
      <w:pPr>
        <w:spacing w:after="40"/>
        <w:ind w:left="317" w:hanging="216"/>
        <w:jc w:val="left"/>
      </w:pPr>
      <w:r>
        <w:rPr>
          <w:rFonts w:ascii="Tahoma" w:hAnsi="Tahoma"/>
          <w:sz w:val="22"/>
        </w:rPr>
        <w:t>• Mitigar A01, A03, A04, A05 y A07 mediante commits separados o claramente identificados.</w:t>
      </w:r>
    </w:p>
    <w:p>
      <w:pPr>
        <w:spacing w:after="40"/>
        <w:ind w:left="317" w:hanging="216"/>
        <w:jc w:val="left"/>
      </w:pPr>
      <w:r>
        <w:rPr>
          <w:rFonts w:ascii="Tahoma" w:hAnsi="Tahoma"/>
          <w:sz w:val="22"/>
        </w:rPr>
        <w:t>• Agregar evidencias de auditoría Fase 2.</w:t>
      </w:r>
    </w:p>
    <w:p>
      <w:pPr>
        <w:spacing w:after="40"/>
        <w:ind w:left="317" w:hanging="216"/>
        <w:jc w:val="left"/>
      </w:pPr>
      <w:r>
        <w:rPr>
          <w:rFonts w:ascii="Tahoma" w:hAnsi="Tahoma"/>
          <w:sz w:val="22"/>
        </w:rPr>
        <w:t>• Completar gobierno de seguridad y README.</w:t>
      </w:r>
    </w:p>
    <w:sectPr w:rsidR="000D17BF" w:rsidRPr="00696697" w:rsidSect="003158F4">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sz w:val="22"/>
    </w:rPr>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