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color w:val="666666"/>
          <w:sz w:val="24"/>
          <w:szCs w:val="24"/>
        </w:rPr>
        <w:t xml:space="preserve">FERNS Knowledge Service Specification</w:t>
      </w:r>
    </w:p>
    <w:p>
      <w:pPr>
        <w:spacing w:after="80" w:before="0"/>
      </w:pPr>
      <w:r>
        <w:rPr>
          <w:rFonts w:ascii="Arial" w:cs="Arial" w:eastAsia="Arial" w:hAnsi="Arial"/>
          <w:b/>
          <w:bCs/>
          <w:color w:val="1F4E79"/>
          <w:sz w:val="40"/>
          <w:szCs w:val="40"/>
        </w:rPr>
        <w:t xml:space="preserve">FERNS Source Registry</w:t>
      </w:r>
    </w:p>
    <w:p>
      <w:pPr>
        <w:spacing w:after="80" w:before="0"/>
      </w:pPr>
      <w:r>
        <w:rPr>
          <w:rFonts w:ascii="Arial" w:cs="Arial" w:eastAsia="Arial" w:hAnsi="Arial"/>
          <w:color w:val="666666"/>
          <w:sz w:val="22"/>
          <w:szCs w:val="22"/>
        </w:rPr>
        <w:t xml:space="preserve">Version 1  •  Draft for Review</w:t>
      </w:r>
    </w:p>
    <w:p>
      <w:pPr>
        <w:pBdr>
          <w:bottom w:val="single" w:color="2E75B6" w:sz="6" w:space="1"/>
        </w:pBdr>
        <w:spacing w:after="240" w:before="0"/>
      </w:pPr>
      <w:r>
        <w:rPr>
          <w:rFonts w:ascii="Arial" w:cs="Arial" w:eastAsia="Arial" w:hAnsi="Arial"/>
          <w:color w:val="888888"/>
          <w:sz w:val="20"/>
          <w:szCs w:val="20"/>
        </w:rPr>
        <w:t xml:space="preserve">Companion documents: None — this is a FERNS system service, not a source wrapper</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1: Document Header</w:t>
      </w:r>
    </w:p>
    <w:p>
      <w:pPr>
        <w:spacing w:after="80" w:before="80"/>
      </w:pPr>
      <w:r>
        <w:rPr>
          <w:rFonts w:ascii="Arial" w:cs="Arial" w:eastAsia="Arial" w:hAnsi="Arial"/>
          <w:sz w:val="22"/>
          <w:szCs w:val="22"/>
        </w:rPr>
        <w:t xml:space="preserve">This is a FERNS Knowledge Service Specification for the FERNS Source Registry — the system-level service that makes all other FERNS Knowledge Services discoverable. Unlike source-wrapper specs, this service does not wrap an external scientific data source. It describes what FERNS itself exposes about its own knowledge layer.</w:t>
      </w:r>
    </w:p>
    <w:p>
      <w:pPr>
        <w:spacing w:after="80" w:before="80"/>
      </w:pPr>
      <w:r>
        <w:rPr>
          <w:rFonts w:ascii="Arial" w:cs="Arial" w:eastAsia="Arial" w:hAnsi="Arial"/>
          <w:sz w:val="22"/>
          <w:szCs w:val="22"/>
        </w:rPr>
        <w:t xml:space="preserve">This spec governs: the /api/v1/sources registry endpoint, the /api/v1/sources/metadata system metadata endpoint, and the Registry Explorer — the human-facing interface that serves as the home page of the FERNS Data Layer.</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2: Service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Service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FERNS Source Registry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Knowledge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service — not a source wrapper, derived synthesis, or aggregation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Maintained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Seeds to Community / FERNS project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Registry Explorer IS the FERNS Data Layer home page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catalog of all registered FERNS Knowledge Services, including their identity, capabilities, inputs, outputs, and links to their individual metadata endpoints and Source Explorers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(API), HTML (Explorer)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the registry is public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documented at this time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License and terms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 FERNS is non-commercial open data infrastructure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Update frequency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 reflects the current registered services at time of request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vintage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 — the registry reflects system state, not a dated dataset</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3: What This Service Is</w:t>
      </w:r>
    </w:p>
    <w:p>
      <w:pPr>
        <w:spacing w:after="80" w:before="80"/>
      </w:pPr>
      <w:r>
        <w:rPr>
          <w:rFonts w:ascii="Arial" w:cs="Arial" w:eastAsia="Arial" w:hAnsi="Arial"/>
          <w:sz w:val="22"/>
          <w:szCs w:val="22"/>
        </w:rPr>
        <w:t xml:space="preserve">The FERNS Source Registry is the front door to the entire FERNS Data Layer. When a developer, researcher, or AI agent encounters FERNS for the first time, the registry is where they learn what FERNS knows about and how to access it.</w:t>
      </w:r>
    </w:p>
    <w:p>
      <w:pPr>
        <w:spacing w:after="80" w:before="80"/>
      </w:pPr>
      <w:r>
        <w:rPr>
          <w:rFonts w:ascii="Arial" w:cs="Arial" w:eastAsia="Arial" w:hAnsi="Arial"/>
          <w:sz w:val="22"/>
          <w:szCs w:val="22"/>
        </w:rPr>
        <w:t xml:space="preserve">Every FERNS Knowledge Service registers itself here. The registry does not curate or editorialize — it reports what is registered. A service that is registered and live appears in the registry. A service that is not yet built does not.</w:t>
      </w:r>
    </w:p>
    <w:p>
      <w:pPr>
        <w:spacing w:after="80" w:before="80"/>
      </w:pPr>
      <w:r>
        <w:rPr>
          <w:rFonts w:ascii="Arial" w:cs="Arial" w:eastAsia="Arial" w:hAnsi="Arial"/>
          <w:sz w:val="22"/>
          <w:szCs w:val="22"/>
        </w:rPr>
        <w:t xml:space="preserve">The registry serves two audiences:</w:t>
      </w:r>
    </w:p>
    <w:p>
      <w:pPr>
        <w:pStyle w:val="ListParagraph"/>
        <w:numPr>
          <w:ilvl w:val="0"/>
          <w:numId w:val="2"/>
        </w:numPr>
        <w:spacing w:after="60" w:before="60"/>
      </w:pPr>
      <w:r>
        <w:rPr>
          <w:rFonts w:ascii="Arial" w:cs="Arial" w:eastAsia="Arial" w:hAnsi="Arial"/>
          <w:sz w:val="22"/>
          <w:szCs w:val="22"/>
        </w:rPr>
        <w:t xml:space="preserve">Developers and agents who need to make a programmatic routing decision — which source can answer my question? The /api/v1/sources endpoint gives them enough information to decide without requiring a second call to each source’s individual /metadata endpoint.</w:t>
      </w:r>
    </w:p>
    <w:p>
      <w:pPr>
        <w:pStyle w:val="ListParagraph"/>
        <w:numPr>
          <w:ilvl w:val="0"/>
          <w:numId w:val="2"/>
        </w:numPr>
        <w:spacing w:after="60" w:before="60"/>
      </w:pPr>
      <w:r>
        <w:rPr>
          <w:rFonts w:ascii="Arial" w:cs="Arial" w:eastAsia="Arial" w:hAnsi="Arial"/>
          <w:sz w:val="22"/>
          <w:szCs w:val="22"/>
        </w:rPr>
        <w:t xml:space="preserve">Human users browsing the FERNS Data Layer — what is available here, and where do I go to explore a specific source? The Registry Explorer gives them a clean, linked overview of every registered service.</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4: Relationship to Other FERNS Services</w:t>
      </w:r>
    </w:p>
    <w:p>
      <w:pPr>
        <w:spacing w:after="80" w:before="80"/>
      </w:pPr>
      <w:r>
        <w:rPr>
          <w:rFonts w:ascii="Arial" w:cs="Arial" w:eastAsia="Arial" w:hAnsi="Arial"/>
          <w:sz w:val="22"/>
          <w:szCs w:val="22"/>
        </w:rPr>
        <w:t xml:space="preserve">The registry is the only FERNS service with no upstream dependency on an external data source. Its data comes entirely from the FERNS system itself — specifically from the ferns_sources table, which every source service populates when it is built and registered.</w:t>
      </w:r>
    </w:p>
    <w:p>
      <w:pPr>
        <w:spacing w:after="80" w:before="80"/>
      </w:pPr>
      <w:r>
        <w:rPr>
          <w:rFonts w:ascii="Arial" w:cs="Arial" w:eastAsia="Arial" w:hAnsi="Arial"/>
          <w:sz w:val="22"/>
          <w:szCs w:val="22"/>
        </w:rPr>
        <w:t xml:space="preserve">Every other FERNS service is a dependent of the registry in the sense that it must register an entry here to be discoverable. The registry does not depend on any of them.</w:t>
      </w:r>
    </w:p>
    <w:p>
      <w:pPr>
        <w:spacing w:after="80" w:before="80"/>
      </w:pPr>
      <w:r>
        <w:rPr>
          <w:rFonts w:ascii="Arial" w:cs="Arial" w:eastAsia="Arial" w:hAnsi="Arial"/>
          <w:sz w:val="22"/>
          <w:szCs w:val="22"/>
        </w:rPr>
        <w:t xml:space="preserve">Position in the FERNS source relationships graph: root node. No derivation from other sources. All other services derive visibility from registration here.</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5: API Endpoints</w:t>
      </w:r>
    </w:p>
    <w:p>
      <w:pPr>
        <w:pStyle w:val="Heading2"/>
        <w:spacing w:after="120" w:before="240"/>
      </w:pPr>
      <w:r>
        <w:rPr>
          <w:rFonts w:ascii="Arial" w:cs="Arial" w:eastAsia="Arial" w:hAnsi="Arial"/>
          <w:b/>
          <w:bCs/>
          <w:color w:val="2E75B6"/>
          <w:sz w:val="26"/>
          <w:szCs w:val="26"/>
        </w:rPr>
        <w:t xml:space="preserve">5.1  GET /api/v1/sources</w:t>
      </w:r>
    </w:p>
    <w:p>
      <w:pPr>
        <w:spacing w:after="80" w:before="80"/>
      </w:pPr>
      <w:r>
        <w:rPr>
          <w:rFonts w:ascii="Arial" w:cs="Arial" w:eastAsia="Arial" w:hAnsi="Arial"/>
          <w:sz w:val="22"/>
          <w:szCs w:val="22"/>
        </w:rPr>
        <w:t xml:space="preserve">The primary registry index endpoint. Returns a summary entry for every registered FERNS Knowledge Service. This is the entry point for discovery.</w:t>
      </w:r>
    </w:p>
    <w:p>
      <w:pPr>
        <w:spacing w:after="80" w:before="80"/>
      </w:pPr>
      <w:r>
        <w:t xml:space="preserve"/>
      </w:r>
    </w:p>
    <w:p>
      <w:pPr>
        <w:spacing w:after="100" w:before="200"/>
      </w:pPr>
      <w:r>
        <w:rPr>
          <w:rFonts w:ascii="Arial" w:cs="Arial" w:eastAsia="Arial" w:hAnsi="Arial"/>
          <w:b/>
          <w:bCs/>
          <w:color w:val="1A1A1A"/>
          <w:sz w:val="24"/>
          <w:szCs w:val="24"/>
        </w:rPr>
        <w:t xml:space="preserve">Response envelope</w:t>
      </w:r>
    </w:p>
    <w:p>
      <w:pPr>
        <w:pBdr>
          <w:top w:val="single" w:color="CCCCCC" w:sz="1"/>
          <w:bottom w:val="single" w:color="CCCCCC" w:sz="1"/>
          <w:left w:val="single" w:color="CCCCCC" w:sz="1"/>
          <w:right w:val="single" w:color="CCCCCC" w:sz="1"/>
        </w:pBdr>
        <w:shd w:fill="F5F5F5" w:val="clear"/>
        <w:spacing w:after="0" w:before="100"/>
        <w:ind w:left="360" w:right="360"/>
      </w:pPr>
      <w:r>
        <w:rPr>
          <w:sz w:val="20"/>
          <w:szCs w:val="20"/>
        </w:rPr>
        <w:t xml:space="preserve"/>
      </w:r>
    </w:p>
    <w:p>
      <w:pPr>
        <w:spacing w:after="0" w:before="0"/>
        <w:ind w:left="360" w:right="360"/>
      </w:pPr>
      <w:r>
        <w:rPr>
          <w:rFonts w:ascii="Courier New" w:cs="Courier New" w:eastAsia="Courier New" w:hAnsi="Courier New"/>
          <w:color w:val="333333"/>
          <w:sz w:val="20"/>
          <w:szCs w:val="20"/>
        </w:rPr>
        <w:t xml:space="preserve">{</w:t>
      </w:r>
    </w:p>
    <w:p>
      <w:pPr>
        <w:spacing w:after="0" w:before="0"/>
        <w:ind w:left="360" w:right="360"/>
      </w:pPr>
      <w:r>
        <w:rPr>
          <w:rFonts w:ascii="Courier New" w:cs="Courier New" w:eastAsia="Courier New" w:hAnsi="Courier New"/>
          <w:color w:val="333333"/>
          <w:sz w:val="20"/>
          <w:szCs w:val="20"/>
        </w:rPr>
        <w:t xml:space="preserve">  source_url: string,          // canonical URL for this endpoint</w:t>
      </w:r>
    </w:p>
    <w:p>
      <w:pPr>
        <w:spacing w:after="0" w:before="0"/>
        <w:ind w:left="360" w:right="360"/>
      </w:pPr>
      <w:r>
        <w:rPr>
          <w:rFonts w:ascii="Courier New" w:cs="Courier New" w:eastAsia="Courier New" w:hAnsi="Courier New"/>
          <w:color w:val="333333"/>
          <w:sz w:val="20"/>
          <w:szCs w:val="20"/>
        </w:rPr>
        <w:t xml:space="preserve">  data: {</w:t>
      </w:r>
    </w:p>
    <w:p>
      <w:pPr>
        <w:spacing w:after="0" w:before="0"/>
        <w:ind w:left="360" w:right="360"/>
      </w:pPr>
      <w:r>
        <w:rPr>
          <w:rFonts w:ascii="Courier New" w:cs="Courier New" w:eastAsia="Courier New" w:hAnsi="Courier New"/>
          <w:color w:val="333333"/>
          <w:sz w:val="20"/>
          <w:szCs w:val="20"/>
        </w:rPr>
        <w:t xml:space="preserve">    sources: SourceSummary[]   // one entry per registered service</w:t>
      </w:r>
    </w:p>
    <w:p>
      <w:pPr>
        <w:spacing w:after="0" w:before="0"/>
        <w:ind w:left="360" w:right="360"/>
      </w:pPr>
      <w:r>
        <w:rPr>
          <w:rFonts w:ascii="Courier New" w:cs="Courier New" w:eastAsia="Courier New" w:hAnsi="Courier New"/>
          <w:color w:val="333333"/>
          <w:sz w:val="20"/>
          <w:szCs w:val="20"/>
        </w:rPr>
        <w:t xml:space="preserve">  },</w:t>
      </w:r>
    </w:p>
    <w:p>
      <w:pPr>
        <w:spacing w:after="0" w:before="0"/>
        <w:ind w:left="360" w:right="360"/>
      </w:pPr>
      <w:r>
        <w:rPr>
          <w:rFonts w:ascii="Courier New" w:cs="Courier New" w:eastAsia="Courier New" w:hAnsi="Courier New"/>
          <w:color w:val="333333"/>
          <w:sz w:val="20"/>
          <w:szCs w:val="20"/>
        </w:rPr>
        <w:t xml:space="preserve">  provenance: {</w:t>
      </w:r>
    </w:p>
    <w:p>
      <w:pPr>
        <w:spacing w:after="0" w:before="0"/>
        <w:ind w:left="360" w:right="360"/>
      </w:pPr>
      <w:r>
        <w:rPr>
          <w:rFonts w:ascii="Courier New" w:cs="Courier New" w:eastAsia="Courier New" w:hAnsi="Courier New"/>
          <w:color w:val="333333"/>
          <w:sz w:val="20"/>
          <w:szCs w:val="20"/>
        </w:rPr>
        <w:t xml:space="preserve">    source_id: 'ferns-registry',</w:t>
      </w:r>
    </w:p>
    <w:p>
      <w:pPr>
        <w:spacing w:after="0" w:before="0"/>
        <w:ind w:left="360" w:right="360"/>
      </w:pPr>
      <w:r>
        <w:rPr>
          <w:rFonts w:ascii="Courier New" w:cs="Courier New" w:eastAsia="Courier New" w:hAnsi="Courier New"/>
          <w:color w:val="333333"/>
          <w:sz w:val="20"/>
          <w:szCs w:val="20"/>
        </w:rPr>
        <w:t xml:space="preserve">    fetched_at: timestamp,</w:t>
      </w:r>
    </w:p>
    <w:p>
      <w:pPr>
        <w:spacing w:after="0" w:before="0"/>
        <w:ind w:left="360" w:right="360"/>
      </w:pPr>
      <w:r>
        <w:rPr>
          <w:rFonts w:ascii="Courier New" w:cs="Courier New" w:eastAsia="Courier New" w:hAnsi="Courier New"/>
          <w:color w:val="333333"/>
          <w:sz w:val="20"/>
          <w:szCs w:val="20"/>
        </w:rPr>
        <w:t xml:space="preserve">    method: 'system',</w:t>
      </w:r>
    </w:p>
    <w:p>
      <w:pPr>
        <w:spacing w:after="0" w:before="0"/>
        <w:ind w:left="360" w:right="360"/>
      </w:pPr>
      <w:r>
        <w:rPr>
          <w:rFonts w:ascii="Courier New" w:cs="Courier New" w:eastAsia="Courier New" w:hAnsi="Courier New"/>
          <w:color w:val="333333"/>
          <w:sz w:val="20"/>
          <w:szCs w:val="20"/>
        </w:rPr>
        <w:t xml:space="preserve">    upstream_url: 'internal:ferns_sources',</w:t>
      </w:r>
    </w:p>
    <w:p>
      <w:pPr>
        <w:spacing w:after="0" w:before="0"/>
        <w:ind w:left="360" w:right="360"/>
      </w:pPr>
      <w:r>
        <w:rPr>
          <w:rFonts w:ascii="Courier New" w:cs="Courier New" w:eastAsia="Courier New" w:hAnsi="Courier New"/>
          <w:color w:val="333333"/>
          <w:sz w:val="20"/>
          <w:szCs w:val="20"/>
        </w:rPr>
        <w:t xml:space="preserve">    derivation_summary: string,</w:t>
      </w:r>
    </w:p>
    <w:p>
      <w:pPr>
        <w:spacing w:after="0" w:before="0"/>
        <w:ind w:left="360" w:right="360"/>
      </w:pPr>
      <w:r>
        <w:rPr>
          <w:rFonts w:ascii="Courier New" w:cs="Courier New" w:eastAsia="Courier New" w:hAnsi="Courier New"/>
          <w:color w:val="333333"/>
          <w:sz w:val="20"/>
          <w:szCs w:val="20"/>
        </w:rPr>
        <w:t xml:space="preserve">    derivation_scientific: string</w:t>
      </w:r>
    </w:p>
    <w:p>
      <w:pPr>
        <w:spacing w:after="0" w:before="0"/>
        <w:ind w:left="360" w:right="360"/>
      </w:pPr>
      <w:r>
        <w:rPr>
          <w:rFonts w:ascii="Courier New" w:cs="Courier New" w:eastAsia="Courier New" w:hAnsi="Courier New"/>
          <w:color w:val="333333"/>
          <w:sz w:val="20"/>
          <w:szCs w:val="20"/>
        </w:rPr>
        <w:t xml:space="preserve">  },</w:t>
      </w:r>
    </w:p>
    <w:p>
      <w:pPr>
        <w:spacing w:after="0" w:before="0"/>
        <w:ind w:left="360" w:right="360"/>
      </w:pPr>
      <w:r>
        <w:rPr>
          <w:rFonts w:ascii="Courier New" w:cs="Courier New" w:eastAsia="Courier New" w:hAnsi="Courier New"/>
          <w:color w:val="333333"/>
          <w:sz w:val="20"/>
          <w:szCs w:val="20"/>
        </w:rPr>
        <w:t xml:space="preserve">  found: true                  // always true for the index</w:t>
      </w:r>
    </w:p>
    <w:p>
      <w:pPr>
        <w:spacing w:after="0" w:before="0"/>
        <w:ind w:left="360" w:right="360"/>
      </w:pPr>
      <w:r>
        <w:rPr>
          <w:rFonts w:ascii="Courier New" w:cs="Courier New" w:eastAsia="Courier New" w:hAnsi="Courier New"/>
          <w:color w:val="333333"/>
          <w:sz w:val="20"/>
          <w:szCs w:val="20"/>
        </w:rPr>
        <w:t xml:space="preserve">}</w:t>
      </w:r>
    </w:p>
    <w:p>
      <w:pPr>
        <w:shd w:fill="F5F5F5" w:val="clear"/>
        <w:spacing w:after="100" w:before="0"/>
        <w:ind w:left="360" w:right="360"/>
      </w:pPr>
      <w:r>
        <w:rPr>
          <w:sz w:val="20"/>
          <w:szCs w:val="20"/>
        </w:rPr>
        <w:t xml:space="preserve"/>
      </w:r>
    </w:p>
    <w:p>
      <w:pPr>
        <w:spacing w:after="80" w:before="80"/>
      </w:pPr>
      <w:r>
        <w:t xml:space="preserve"/>
      </w:r>
    </w:p>
    <w:p>
      <w:pPr>
        <w:spacing w:after="100" w:before="200"/>
      </w:pPr>
      <w:r>
        <w:rPr>
          <w:rFonts w:ascii="Arial" w:cs="Arial" w:eastAsia="Arial" w:hAnsi="Arial"/>
          <w:b/>
          <w:bCs/>
          <w:color w:val="1A1A1A"/>
          <w:sz w:val="24"/>
          <w:szCs w:val="24"/>
        </w:rPr>
        <w:t xml:space="preserve">SourceSummary object</w:t>
      </w:r>
    </w:p>
    <w:p>
      <w:pPr>
        <w:spacing w:after="80" w:before="80"/>
      </w:pPr>
      <w:r>
        <w:rPr>
          <w:rFonts w:ascii="Arial" w:cs="Arial" w:eastAsia="Arial" w:hAnsi="Arial"/>
          <w:sz w:val="22"/>
          <w:szCs w:val="22"/>
        </w:rPr>
        <w:t xml:space="preserve">Each entry in the sources array contains enough for a caller to make a routing decision without a follow-up call:</w:t>
      </w:r>
    </w:p>
    <w:p>
      <w:pPr>
        <w:pBdr>
          <w:top w:val="single" w:color="CCCCCC" w:sz="1"/>
          <w:bottom w:val="single" w:color="CCCCCC" w:sz="1"/>
          <w:left w:val="single" w:color="CCCCCC" w:sz="1"/>
          <w:right w:val="single" w:color="CCCCCC" w:sz="1"/>
        </w:pBdr>
        <w:shd w:fill="F5F5F5" w:val="clear"/>
        <w:spacing w:after="0" w:before="100"/>
        <w:ind w:left="360" w:right="360"/>
      </w:pPr>
      <w:r>
        <w:rPr>
          <w:sz w:val="20"/>
          <w:szCs w:val="20"/>
        </w:rPr>
        <w:t xml:space="preserve"/>
      </w:r>
    </w:p>
    <w:p>
      <w:pPr>
        <w:spacing w:after="0" w:before="0"/>
        <w:ind w:left="360" w:right="360"/>
      </w:pPr>
      <w:r>
        <w:rPr>
          <w:rFonts w:ascii="Courier New" w:cs="Courier New" w:eastAsia="Courier New" w:hAnsi="Courier New"/>
          <w:color w:val="333333"/>
          <w:sz w:val="20"/>
          <w:szCs w:val="20"/>
        </w:rPr>
        <w:t xml:space="preserve">{</w:t>
      </w:r>
    </w:p>
    <w:p>
      <w:pPr>
        <w:spacing w:after="0" w:before="0"/>
        <w:ind w:left="360" w:right="360"/>
      </w:pPr>
      <w:r>
        <w:rPr>
          <w:rFonts w:ascii="Courier New" w:cs="Courier New" w:eastAsia="Courier New" w:hAnsi="Courier New"/>
          <w:color w:val="333333"/>
          <w:sz w:val="20"/>
          <w:szCs w:val="20"/>
        </w:rPr>
        <w:t xml:space="preserve">  source_id: string,           // stable identifier, e.g. 'bonap', 'gbif', 'michigan-flora'</w:t>
      </w:r>
    </w:p>
    <w:p>
      <w:pPr>
        <w:spacing w:after="0" w:before="0"/>
        <w:ind w:left="360" w:right="360"/>
      </w:pPr>
      <w:r>
        <w:rPr>
          <w:rFonts w:ascii="Courier New" w:cs="Courier New" w:eastAsia="Courier New" w:hAnsi="Courier New"/>
          <w:color w:val="333333"/>
          <w:sz w:val="20"/>
          <w:szCs w:val="20"/>
        </w:rPr>
        <w:t xml:space="preserve">  name: string,                // human-readable service name</w:t>
      </w:r>
    </w:p>
    <w:p>
      <w:pPr>
        <w:spacing w:after="0" w:before="0"/>
        <w:ind w:left="360" w:right="360"/>
      </w:pPr>
      <w:r>
        <w:rPr>
          <w:rFonts w:ascii="Courier New" w:cs="Courier New" w:eastAsia="Courier New" w:hAnsi="Courier New"/>
          <w:color w:val="333333"/>
          <w:sz w:val="20"/>
          <w:szCs w:val="20"/>
        </w:rPr>
        <w:t xml:space="preserve">  knowledge_type: string,      // 'source_wrapper' | 'derived_synthesis' | 'aggregation' | 'system'</w:t>
      </w:r>
    </w:p>
    <w:p>
      <w:pPr>
        <w:spacing w:after="0" w:before="0"/>
        <w:ind w:left="360" w:right="360"/>
      </w:pPr>
      <w:r>
        <w:rPr>
          <w:rFonts w:ascii="Courier New" w:cs="Courier New" w:eastAsia="Courier New" w:hAnsi="Courier New"/>
          <w:color w:val="333333"/>
          <w:sz w:val="20"/>
          <w:szCs w:val="20"/>
        </w:rPr>
        <w:t xml:space="preserve">  status: string,              // 'live' | 'draft' | 'deprecated'</w:t>
      </w:r>
    </w:p>
    <w:p>
      <w:pPr>
        <w:spacing w:after="0" w:before="0"/>
        <w:ind w:left="360" w:right="360"/>
      </w:pPr>
      <w:r>
        <w:rPr>
          <w:rFonts w:ascii="Courier New" w:cs="Courier New" w:eastAsia="Courier New" w:hAnsi="Courier New"/>
          <w:color w:val="333333"/>
          <w:sz w:val="20"/>
          <w:szCs w:val="20"/>
        </w:rPr>
        <w:t xml:space="preserve">  description: string,         // one paragraph, plain English, no jargon</w:t>
      </w:r>
    </w:p>
    <w:p>
      <w:pPr>
        <w:spacing w:after="0" w:before="0"/>
        <w:ind w:left="360" w:right="360"/>
      </w:pPr>
      <w:r>
        <w:rPr>
          <w:rFonts w:ascii="Courier New" w:cs="Courier New" w:eastAsia="Courier New" w:hAnsi="Courier New"/>
          <w:color w:val="333333"/>
          <w:sz w:val="20"/>
          <w:szCs w:val="20"/>
        </w:rPr>
        <w:t xml:space="preserve">  input_summary: string,       // what you send to query this service</w:t>
      </w:r>
    </w:p>
    <w:p>
      <w:pPr>
        <w:spacing w:after="0" w:before="0"/>
        <w:ind w:left="360" w:right="360"/>
      </w:pPr>
      <w:r>
        <w:rPr>
          <w:rFonts w:ascii="Courier New" w:cs="Courier New" w:eastAsia="Courier New" w:hAnsi="Courier New"/>
          <w:color w:val="333333"/>
          <w:sz w:val="20"/>
          <w:szCs w:val="20"/>
        </w:rPr>
        <w:t xml:space="preserve">  output_summary: string,      // what you get back</w:t>
      </w:r>
    </w:p>
    <w:p>
      <w:pPr>
        <w:spacing w:after="0" w:before="0"/>
        <w:ind w:left="360" w:right="360"/>
      </w:pPr>
      <w:r>
        <w:rPr>
          <w:rFonts w:ascii="Courier New" w:cs="Courier New" w:eastAsia="Courier New" w:hAnsi="Courier New"/>
          <w:color w:val="333333"/>
          <w:sz w:val="20"/>
          <w:szCs w:val="20"/>
        </w:rPr>
        <w:t xml:space="preserve">  dependencies: string[],      // source_ids this service depends on</w:t>
      </w:r>
    </w:p>
    <w:p>
      <w:pPr>
        <w:spacing w:after="0" w:before="0"/>
        <w:ind w:left="360" w:right="360"/>
      </w:pPr>
      <w:r>
        <w:rPr>
          <w:rFonts w:ascii="Courier New" w:cs="Courier New" w:eastAsia="Courier New" w:hAnsi="Courier New"/>
          <w:color w:val="333333"/>
          <w:sz w:val="20"/>
          <w:szCs w:val="20"/>
        </w:rPr>
        <w:t xml:space="preserve">  update_frequency: string,    // e.g. 'live', 'annual', 'static'</w:t>
      </w:r>
    </w:p>
    <w:p>
      <w:pPr>
        <w:spacing w:after="0" w:before="0"/>
        <w:ind w:left="360" w:right="360"/>
      </w:pPr>
      <w:r>
        <w:rPr>
          <w:rFonts w:ascii="Courier New" w:cs="Courier New" w:eastAsia="Courier New" w:hAnsi="Courier New"/>
          <w:color w:val="333333"/>
          <w:sz w:val="20"/>
          <w:szCs w:val="20"/>
        </w:rPr>
        <w:t xml:space="preserve">  known_limitations: string,   // brief, honest statement of gaps</w:t>
      </w:r>
    </w:p>
    <w:p>
      <w:pPr>
        <w:spacing w:after="0" w:before="0"/>
        <w:ind w:left="360" w:right="360"/>
      </w:pPr>
      <w:r>
        <w:rPr>
          <w:rFonts w:ascii="Courier New" w:cs="Courier New" w:eastAsia="Courier New" w:hAnsi="Courier New"/>
          <w:color w:val="333333"/>
          <w:sz w:val="20"/>
          <w:szCs w:val="20"/>
        </w:rPr>
        <w:t xml:space="preserve">  metadata_url: string,        // link to /api/v1/{source-id}/metadata</w:t>
      </w:r>
    </w:p>
    <w:p>
      <w:pPr>
        <w:spacing w:after="0" w:before="0"/>
        <w:ind w:left="360" w:right="360"/>
      </w:pPr>
      <w:r>
        <w:rPr>
          <w:rFonts w:ascii="Courier New" w:cs="Courier New" w:eastAsia="Courier New" w:hAnsi="Courier New"/>
          <w:color w:val="333333"/>
          <w:sz w:val="20"/>
          <w:szCs w:val="20"/>
        </w:rPr>
        <w:t xml:space="preserve">  explorer_url: string         // link to this source's Source Explorer UI</w:t>
      </w:r>
    </w:p>
    <w:p>
      <w:pPr>
        <w:spacing w:after="0" w:before="0"/>
        <w:ind w:left="360" w:right="360"/>
      </w:pPr>
      <w:r>
        <w:rPr>
          <w:rFonts w:ascii="Courier New" w:cs="Courier New" w:eastAsia="Courier New" w:hAnsi="Courier New"/>
          <w:color w:val="333333"/>
          <w:sz w:val="20"/>
          <w:szCs w:val="20"/>
        </w:rPr>
        <w:t xml:space="preserve">}</w:t>
      </w:r>
    </w:p>
    <w:p>
      <w:pPr>
        <w:shd w:fill="F5F5F5" w:val="clear"/>
        <w:spacing w:after="100" w:before="0"/>
        <w:ind w:left="360" w:right="360"/>
      </w:pPr>
      <w:r>
        <w:rPr>
          <w:sz w:val="20"/>
          <w:szCs w:val="20"/>
        </w:rP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GET /api/v1/sources/metadata</w:t>
      </w:r>
    </w:p>
    <w:p>
      <w:pPr>
        <w:spacing w:after="80" w:before="80"/>
      </w:pPr>
      <w:r>
        <w:rPr>
          <w:rFonts w:ascii="Arial" w:cs="Arial" w:eastAsia="Arial" w:hAnsi="Arial"/>
          <w:sz w:val="22"/>
          <w:szCs w:val="22"/>
        </w:rPr>
        <w:t xml:space="preserve">Returns metadata about the registry service itself — its identity, descriptions, and its own registry entry. Follows the same pattern as all other FERNS /metadata endpoints. Applications that want to describe the registry to their users call this endpoint.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Future: query parameters on /api/v1/sources</w:t>
      </w:r>
    </w:p>
    <w:p>
      <w:pPr>
        <w:spacing w:after="80" w:before="80"/>
      </w:pPr>
      <w:r>
        <w:rPr>
          <w:rFonts w:ascii="Arial" w:cs="Arial" w:eastAsia="Arial" w:hAnsi="Arial"/>
          <w:sz w:val="22"/>
          <w:szCs w:val="22"/>
        </w:rPr>
        <w:t xml:space="preserve">The index endpoint is designed to support filtering and search in a future version. No filtering is implemented in v1. The architecture must not preclude adding it. Anticipated future parameters:</w:t>
      </w:r>
    </w:p>
    <w:p>
      <w:pPr>
        <w:pStyle w:val="ListParagraph"/>
        <w:numPr>
          <w:ilvl w:val="0"/>
          <w:numId w:val="2"/>
        </w:numPr>
        <w:spacing w:after="60" w:before="60"/>
      </w:pPr>
      <w:r>
        <w:rPr>
          <w:rFonts w:ascii="Arial" w:cs="Arial" w:eastAsia="Arial" w:hAnsi="Arial"/>
          <w:sz w:val="22"/>
          <w:szCs w:val="22"/>
        </w:rPr>
        <w:t xml:space="preserve">?knowledge_type= — filter by source_wrapper, derived_synthesis, aggregation</w:t>
      </w:r>
    </w:p>
    <w:p>
      <w:pPr>
        <w:pStyle w:val="ListParagraph"/>
        <w:numPr>
          <w:ilvl w:val="0"/>
          <w:numId w:val="2"/>
        </w:numPr>
        <w:spacing w:after="60" w:before="60"/>
      </w:pPr>
      <w:r>
        <w:rPr>
          <w:rFonts w:ascii="Arial" w:cs="Arial" w:eastAsia="Arial" w:hAnsi="Arial"/>
          <w:sz w:val="22"/>
          <w:szCs w:val="22"/>
        </w:rPr>
        <w:t xml:space="preserve">?status= — filter by live, draft, deprecated</w:t>
      </w:r>
    </w:p>
    <w:p>
      <w:pPr>
        <w:pStyle w:val="ListParagraph"/>
        <w:numPr>
          <w:ilvl w:val="0"/>
          <w:numId w:val="2"/>
        </w:numPr>
        <w:spacing w:after="60" w:before="60"/>
      </w:pPr>
      <w:r>
        <w:rPr>
          <w:rFonts w:ascii="Arial" w:cs="Arial" w:eastAsia="Arial" w:hAnsi="Arial"/>
          <w:sz w:val="22"/>
          <w:szCs w:val="22"/>
        </w:rPr>
        <w:t xml:space="preserve">?q= — keyword search across name, description, output_summary</w:t>
      </w:r>
    </w:p>
    <w:p>
      <w:pPr>
        <w:spacing w:after="80" w:before="80"/>
      </w:pPr>
      <w:r>
        <w:rPr>
          <w:rFonts w:ascii="Arial" w:cs="Arial" w:eastAsia="Arial" w:hAnsi="Arial"/>
          <w:sz w:val="22"/>
          <w:szCs w:val="22"/>
        </w:rPr>
        <w:t xml:space="preserve">These are not built in v1. The response structure must accommodate them without breaking changes when they are added.</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6: Database</w:t>
      </w:r>
    </w:p>
    <w:p>
      <w:pPr>
        <w:spacing w:after="80" w:before="80"/>
      </w:pPr>
      <w:r>
        <w:rPr>
          <w:rFonts w:ascii="Arial" w:cs="Arial" w:eastAsia="Arial" w:hAnsi="Arial"/>
          <w:sz w:val="22"/>
          <w:szCs w:val="22"/>
        </w:rPr>
        <w:t xml:space="preserve">The registry reads from the ferns_sources table, which is part of the fixed core schema shared by all FERNS services. This table is not unique to the registry — it is the shared registration table that every source service writes to when it is built.</w:t>
      </w:r>
    </w:p>
    <w:p>
      <w:pPr>
        <w:spacing w:after="80" w:before="80"/>
      </w:pPr>
      <w:r>
        <w:rPr>
          <w:rFonts w:ascii="Arial" w:cs="Arial" w:eastAsia="Arial" w:hAnsi="Arial"/>
          <w:sz w:val="22"/>
          <w:szCs w:val="22"/>
        </w:rPr>
        <w:t xml:space="preserve">The registry service does not own or manage writes to ferns_sources. It reads from it. Writes happen at service build time, not through the registry API.</w:t>
      </w:r>
    </w:p>
    <w:p>
      <w:pPr>
        <w:spacing w:after="100" w:before="200"/>
      </w:pPr>
      <w:r>
        <w:rPr>
          <w:rFonts w:ascii="Arial" w:cs="Arial" w:eastAsia="Arial" w:hAnsi="Arial"/>
          <w:b/>
          <w:bCs/>
          <w:color w:val="1A1A1A"/>
          <w:sz w:val="24"/>
          <w:szCs w:val="24"/>
        </w:rPr>
        <w:t xml:space="preserve">ferns_sources table (existing shared table)</w:t>
      </w:r>
    </w:p>
    <w:p>
      <w:pPr>
        <w:pBdr>
          <w:top w:val="single" w:color="CCCCCC" w:sz="1"/>
          <w:bottom w:val="single" w:color="CCCCCC" w:sz="1"/>
          <w:left w:val="single" w:color="CCCCCC" w:sz="1"/>
          <w:right w:val="single" w:color="CCCCCC" w:sz="1"/>
        </w:pBdr>
        <w:shd w:fill="F5F5F5" w:val="clear"/>
        <w:spacing w:after="0" w:before="100"/>
        <w:ind w:left="360" w:right="360"/>
      </w:pPr>
      <w:r>
        <w:rPr>
          <w:sz w:val="20"/>
          <w:szCs w:val="20"/>
        </w:rPr>
        <w:t xml:space="preserve"/>
      </w:r>
    </w:p>
    <w:p>
      <w:pPr>
        <w:spacing w:after="0" w:before="0"/>
        <w:ind w:left="360" w:right="360"/>
      </w:pPr>
      <w:r>
        <w:rPr>
          <w:rFonts w:ascii="Courier New" w:cs="Courier New" w:eastAsia="Courier New" w:hAnsi="Courier New"/>
          <w:color w:val="333333"/>
          <w:sz w:val="20"/>
          <w:szCs w:val="20"/>
        </w:rPr>
        <w:t xml:space="preserve">source_id          string PRIMARY KEY</w:t>
      </w:r>
    </w:p>
    <w:p>
      <w:pPr>
        <w:spacing w:after="0" w:before="0"/>
        <w:ind w:left="360" w:right="360"/>
      </w:pPr>
      <w:r>
        <w:rPr>
          <w:rFonts w:ascii="Courier New" w:cs="Courier New" w:eastAsia="Courier New" w:hAnsi="Courier New"/>
          <w:color w:val="333333"/>
          <w:sz w:val="20"/>
          <w:szCs w:val="20"/>
        </w:rPr>
        <w:t xml:space="preserve">name               string</w:t>
      </w:r>
    </w:p>
    <w:p>
      <w:pPr>
        <w:spacing w:after="0" w:before="0"/>
        <w:ind w:left="360" w:right="360"/>
      </w:pPr>
      <w:r>
        <w:rPr>
          <w:rFonts w:ascii="Courier New" w:cs="Courier New" w:eastAsia="Courier New" w:hAnsi="Courier New"/>
          <w:color w:val="333333"/>
          <w:sz w:val="20"/>
          <w:szCs w:val="20"/>
        </w:rPr>
        <w:t xml:space="preserve">knowledge_type     string</w:t>
      </w:r>
    </w:p>
    <w:p>
      <w:pPr>
        <w:spacing w:after="0" w:before="0"/>
        <w:ind w:left="360" w:right="360"/>
      </w:pPr>
      <w:r>
        <w:rPr>
          <w:rFonts w:ascii="Courier New" w:cs="Courier New" w:eastAsia="Courier New" w:hAnsi="Courier New"/>
          <w:color w:val="333333"/>
          <w:sz w:val="20"/>
          <w:szCs w:val="20"/>
        </w:rPr>
        <w:t xml:space="preserve">status             string</w:t>
      </w:r>
    </w:p>
    <w:p>
      <w:pPr>
        <w:spacing w:after="0" w:before="0"/>
        <w:ind w:left="360" w:right="360"/>
      </w:pPr>
      <w:r>
        <w:rPr>
          <w:rFonts w:ascii="Courier New" w:cs="Courier New" w:eastAsia="Courier New" w:hAnsi="Courier New"/>
          <w:color w:val="333333"/>
          <w:sz w:val="20"/>
          <w:szCs w:val="20"/>
        </w:rPr>
        <w:t xml:space="preserve">description        string</w:t>
      </w:r>
    </w:p>
    <w:p>
      <w:pPr>
        <w:spacing w:after="0" w:before="0"/>
        <w:ind w:left="360" w:right="360"/>
      </w:pPr>
      <w:r>
        <w:rPr>
          <w:rFonts w:ascii="Courier New" w:cs="Courier New" w:eastAsia="Courier New" w:hAnsi="Courier New"/>
          <w:color w:val="333333"/>
          <w:sz w:val="20"/>
          <w:szCs w:val="20"/>
        </w:rPr>
        <w:t xml:space="preserve">input_summary      string</w:t>
      </w:r>
    </w:p>
    <w:p>
      <w:pPr>
        <w:spacing w:after="0" w:before="0"/>
        <w:ind w:left="360" w:right="360"/>
      </w:pPr>
      <w:r>
        <w:rPr>
          <w:rFonts w:ascii="Courier New" w:cs="Courier New" w:eastAsia="Courier New" w:hAnsi="Courier New"/>
          <w:color w:val="333333"/>
          <w:sz w:val="20"/>
          <w:szCs w:val="20"/>
        </w:rPr>
        <w:t xml:space="preserve">output_summary     string</w:t>
      </w:r>
    </w:p>
    <w:p>
      <w:pPr>
        <w:spacing w:after="0" w:before="0"/>
        <w:ind w:left="360" w:right="360"/>
      </w:pPr>
      <w:r>
        <w:rPr>
          <w:rFonts w:ascii="Courier New" w:cs="Courier New" w:eastAsia="Courier New" w:hAnsi="Courier New"/>
          <w:color w:val="333333"/>
          <w:sz w:val="20"/>
          <w:szCs w:val="20"/>
        </w:rPr>
        <w:t xml:space="preserve">dependencies       string[]   // array of source_ids</w:t>
      </w:r>
    </w:p>
    <w:p>
      <w:pPr>
        <w:spacing w:after="0" w:before="0"/>
        <w:ind w:left="360" w:right="360"/>
      </w:pPr>
      <w:r>
        <w:rPr>
          <w:rFonts w:ascii="Courier New" w:cs="Courier New" w:eastAsia="Courier New" w:hAnsi="Courier New"/>
          <w:color w:val="333333"/>
          <w:sz w:val="20"/>
          <w:szCs w:val="20"/>
        </w:rPr>
        <w:t xml:space="preserve">update_frequency   string</w:t>
      </w:r>
    </w:p>
    <w:p>
      <w:pPr>
        <w:spacing w:after="0" w:before="0"/>
        <w:ind w:left="360" w:right="360"/>
      </w:pPr>
      <w:r>
        <w:rPr>
          <w:rFonts w:ascii="Courier New" w:cs="Courier New" w:eastAsia="Courier New" w:hAnsi="Courier New"/>
          <w:color w:val="333333"/>
          <w:sz w:val="20"/>
          <w:szCs w:val="20"/>
        </w:rPr>
        <w:t xml:space="preserve">known_limitations  string</w:t>
      </w:r>
    </w:p>
    <w:p>
      <w:pPr>
        <w:spacing w:after="0" w:before="0"/>
        <w:ind w:left="360" w:right="360"/>
      </w:pPr>
      <w:r>
        <w:rPr>
          <w:rFonts w:ascii="Courier New" w:cs="Courier New" w:eastAsia="Courier New" w:hAnsi="Courier New"/>
          <w:color w:val="333333"/>
          <w:sz w:val="20"/>
          <w:szCs w:val="20"/>
        </w:rPr>
        <w:t xml:space="preserve">metadata_url       string</w:t>
      </w:r>
    </w:p>
    <w:p>
      <w:pPr>
        <w:spacing w:after="0" w:before="0"/>
        <w:ind w:left="360" w:right="360"/>
      </w:pPr>
      <w:r>
        <w:rPr>
          <w:rFonts w:ascii="Courier New" w:cs="Courier New" w:eastAsia="Courier New" w:hAnsi="Courier New"/>
          <w:color w:val="333333"/>
          <w:sz w:val="20"/>
          <w:szCs w:val="20"/>
        </w:rPr>
        <w:t xml:space="preserve">explorer_url       string</w:t>
      </w:r>
    </w:p>
    <w:p>
      <w:pPr>
        <w:spacing w:after="0" w:before="0"/>
        <w:ind w:left="360" w:right="360"/>
      </w:pPr>
      <w:r>
        <w:rPr>
          <w:rFonts w:ascii="Courier New" w:cs="Courier New" w:eastAsia="Courier New" w:hAnsi="Courier New"/>
          <w:color w:val="333333"/>
          <w:sz w:val="20"/>
          <w:szCs w:val="20"/>
        </w:rPr>
        <w:t xml:space="preserve">registered_at      timestamp</w:t>
      </w:r>
    </w:p>
    <w:p>
      <w:pPr>
        <w:spacing w:after="0" w:before="0"/>
        <w:ind w:left="360" w:right="360"/>
      </w:pPr>
      <w:r>
        <w:rPr>
          <w:rFonts w:ascii="Courier New" w:cs="Courier New" w:eastAsia="Courier New" w:hAnsi="Courier New"/>
          <w:color w:val="333333"/>
          <w:sz w:val="20"/>
          <w:szCs w:val="20"/>
        </w:rPr>
        <w:t xml:space="preserve">updated_at         timestamp</w:t>
      </w:r>
    </w:p>
    <w:p>
      <w:pPr>
        <w:shd w:fill="F5F5F5" w:val="clear"/>
        <w:spacing w:after="100" w:before="0"/>
        <w:ind w:left="360" w:right="360"/>
      </w:pPr>
      <w:r>
        <w:rPr>
          <w:sz w:val="20"/>
          <w:szCs w:val="20"/>
        </w:rPr>
        <w:t xml:space="preserve"/>
      </w:r>
    </w:p>
    <w:p>
      <w:pPr>
        <w:spacing w:after="80" w:before="80"/>
      </w:pPr>
      <w:r>
        <w:rPr>
          <w:rFonts w:ascii="Arial" w:cs="Arial" w:eastAsia="Arial" w:hAnsi="Arial"/>
          <w:sz w:val="22"/>
          <w:szCs w:val="22"/>
        </w:rPr>
        <w:t xml:space="preserve">No additional tables are required for the registry service. The registry is a read-only view of ferns_sources.</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7: Caching</w:t>
      </w:r>
    </w:p>
    <w:p>
      <w:pPr>
        <w:spacing w:after="80" w:before="80"/>
      </w:pPr>
      <w:r>
        <w:rPr>
          <w:rFonts w:ascii="Arial" w:cs="Arial" w:eastAsia="Arial" w:hAnsi="Arial"/>
          <w:sz w:val="22"/>
          <w:szCs w:val="22"/>
        </w:rPr>
        <w:t xml:space="preserve">The registry index is not cached in the same way as source data. It reflects live system state. A cache would mean a newly registered service does not appear until cache expiry, which would be confusing.</w:t>
      </w:r>
    </w:p>
    <w:p>
      <w:pPr>
        <w:spacing w:after="80" w:before="80"/>
      </w:pPr>
      <w:r>
        <w:rPr>
          <w:rFonts w:ascii="Arial" w:cs="Arial" w:eastAsia="Arial" w:hAnsi="Arial"/>
          <w:sz w:val="22"/>
          <w:szCs w:val="22"/>
        </w:rPr>
        <w:t xml:space="preserve">The registry endpoint should respond directly from ferns_sources with no intermediate cache layer. If query volume becomes a concern, a short TTL cache (30–60 seconds) is acceptable, but this is an operational decision, not a specification requirement.</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8: Known Behaviors and Edge Cases</w:t>
      </w:r>
    </w:p>
    <w:p>
      <w:pPr>
        <w:pStyle w:val="ListParagraph"/>
        <w:numPr>
          <w:ilvl w:val="0"/>
          <w:numId w:val="2"/>
        </w:numPr>
        <w:spacing w:after="60" w:before="60"/>
      </w:pPr>
      <w:r>
        <w:rPr>
          <w:rFonts w:ascii="Arial" w:cs="Arial" w:eastAsia="Arial" w:hAnsi="Arial"/>
          <w:sz w:val="22"/>
          <w:szCs w:val="22"/>
        </w:rPr>
        <w:t xml:space="preserve">An empty registry (no services registered yet) returns an empty sources array, not a 404. The response envelope is always structurally valid.</w:t>
      </w:r>
    </w:p>
    <w:p>
      <w:pPr>
        <w:pStyle w:val="ListParagraph"/>
        <w:numPr>
          <w:ilvl w:val="0"/>
          <w:numId w:val="2"/>
        </w:numPr>
        <w:spacing w:after="60" w:before="60"/>
      </w:pPr>
      <w:r>
        <w:rPr>
          <w:rFonts w:ascii="Arial" w:cs="Arial" w:eastAsia="Arial" w:hAnsi="Arial"/>
          <w:sz w:val="22"/>
          <w:szCs w:val="22"/>
        </w:rPr>
        <w:t xml:space="preserve">The registry includes itself as a registered service with source_id 'ferns-registry'. This is intentional — the registry is a FERNS service and should be discoverable through the same mechanism as all others.</w:t>
      </w:r>
    </w:p>
    <w:p>
      <w:pPr>
        <w:pStyle w:val="ListParagraph"/>
        <w:numPr>
          <w:ilvl w:val="0"/>
          <w:numId w:val="2"/>
        </w:numPr>
        <w:spacing w:after="60" w:before="60"/>
      </w:pPr>
      <w:r>
        <w:rPr>
          <w:rFonts w:ascii="Arial" w:cs="Arial" w:eastAsia="Arial" w:hAnsi="Arial"/>
          <w:sz w:val="22"/>
          <w:szCs w:val="22"/>
        </w:rPr>
        <w:t xml:space="preserve">Services with status 'draft' or 'deprecated' are included in the index by default. Callers who want only live services should filter by status. A future ?status=live query parameter will make this easier.</w:t>
      </w:r>
    </w:p>
    <w:p>
      <w:pPr>
        <w:pStyle w:val="ListParagraph"/>
        <w:numPr>
          <w:ilvl w:val="0"/>
          <w:numId w:val="2"/>
        </w:numPr>
        <w:spacing w:after="60" w:before="60"/>
      </w:pPr>
      <w:r>
        <w:rPr>
          <w:rFonts w:ascii="Arial" w:cs="Arial" w:eastAsia="Arial" w:hAnsi="Arial"/>
          <w:sz w:val="22"/>
          <w:szCs w:val="22"/>
        </w:rPr>
        <w:t xml:space="preserve">The metadata_url and explorer_url fields must be absolute URLs, not relative paths. Applications may be hosted at different origins than the FERNS data layer.</w:t>
      </w:r>
    </w:p>
    <w:p>
      <w:pPr>
        <w:pStyle w:val="ListParagraph"/>
        <w:numPr>
          <w:ilvl w:val="0"/>
          <w:numId w:val="2"/>
        </w:numPr>
        <w:spacing w:after="60" w:before="60"/>
      </w:pPr>
      <w:r>
        <w:rPr>
          <w:rFonts w:ascii="Arial" w:cs="Arial" w:eastAsia="Arial" w:hAnsi="Arial"/>
          <w:sz w:val="22"/>
          <w:szCs w:val="22"/>
        </w:rPr>
        <w:t xml:space="preserve">The dependencies field lists source_ids, not names. Callers needing names must look them up in the same index response — all registered sources are present.</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9: Service Descriptions</w:t>
      </w:r>
    </w:p>
    <w:p>
      <w:pPr>
        <w:pStyle w:val="Heading2"/>
        <w:spacing w:after="120" w:before="240"/>
      </w:pPr>
      <w:r>
        <w:rPr>
          <w:rFonts w:ascii="Arial" w:cs="Arial" w:eastAsia="Arial" w:hAnsi="Arial"/>
          <w:b/>
          <w:bCs/>
          <w:color w:val="2E75B6"/>
          <w:sz w:val="26"/>
          <w:szCs w:val="26"/>
        </w:rPr>
        <w:t xml:space="preserve">Plain English (for homeowners, volunteers, general public)</w:t>
      </w:r>
    </w:p>
    <w:p>
      <w:pPr>
        <w:spacing w:after="80" w:before="80"/>
      </w:pPr>
      <w:r>
        <w:rPr>
          <w:rFonts w:ascii="Arial" w:cs="Arial" w:eastAsia="Arial" w:hAnsi="Arial"/>
          <w:sz w:val="22"/>
          <w:szCs w:val="22"/>
        </w:rPr>
        <w:t xml:space="preserve">This page is the starting point for everything FERNS knows. FERNS is a system that connects many different scientific data sources — plant distribution maps, soil surveys, wildlife observations, species attributes — and makes them available through a consistent, trustworthy interface. This page lists all of those sources in one place.</w:t>
      </w:r>
    </w:p>
    <w:p>
      <w:pPr>
        <w:spacing w:after="80" w:before="80"/>
      </w:pPr>
      <w:r>
        <w:rPr>
          <w:rFonts w:ascii="Arial" w:cs="Arial" w:eastAsia="Arial" w:hAnsi="Arial"/>
          <w:sz w:val="22"/>
          <w:szCs w:val="22"/>
        </w:rPr>
        <w:t xml:space="preserve">Each entry tells you what the source is, where the information originally came from, and what you can look up using it. Every entry links to an exploration page where you can search that source directly. If you are not sure which source has the information you need, start here.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Scientific / Research Version</w:t>
      </w:r>
    </w:p>
    <w:p>
      <w:pPr>
        <w:spacing w:after="80" w:before="80"/>
      </w:pPr>
      <w:r>
        <w:rPr>
          <w:rFonts w:ascii="Arial" w:cs="Arial" w:eastAsia="Arial" w:hAnsi="Arial"/>
          <w:sz w:val="22"/>
          <w:szCs w:val="22"/>
        </w:rPr>
        <w:t xml:space="preserve">The FERNS Source Registry is the discovery layer for the FERNS federated ecological knowledge infrastructure. It exposes a structured catalog of all registered Knowledge Services — source wrappers, derived syntheses, and aggregations — through a single endpoint at /api/v1/sources.</w:t>
      </w:r>
    </w:p>
    <w:p>
      <w:pPr>
        <w:spacing w:after="80" w:before="80"/>
      </w:pPr>
      <w:r>
        <w:rPr>
          <w:rFonts w:ascii="Arial" w:cs="Arial" w:eastAsia="Arial" w:hAnsi="Arial"/>
          <w:sz w:val="22"/>
          <w:szCs w:val="22"/>
        </w:rPr>
        <w:t xml:space="preserve">Each registry entry carries sufficient metadata for an application or AI agent to make a service routing decision without secondary requests: knowledge type, input and output contracts, dependency declarations, update frequency, and known methodological limitations. Full service metadata, including derivation chains at both plain-language and research-grade levels, is available at each service’s individual /metadata endpoint, linked from the registry entry.</w:t>
      </w:r>
    </w:p>
    <w:p>
      <w:pPr>
        <w:spacing w:after="80" w:before="80"/>
      </w:pPr>
      <w:r>
        <w:rPr>
          <w:rFonts w:ascii="Arial" w:cs="Arial" w:eastAsia="Arial" w:hAnsi="Arial"/>
          <w:sz w:val="22"/>
          <w:szCs w:val="22"/>
        </w:rPr>
        <w:t xml:space="preserve">The registry reads from the ferns_sources table, which is populated at service build time. It does not perform taxonomy reconciliation, trust tier assignment, or cross-source synthesis — those are application-layer concerns. The registry reports what is registered; it does not evaluate it.</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10: Registry Explorer Specification</w:t>
      </w:r>
    </w:p>
    <w:p>
      <w:pPr>
        <w:spacing w:after="80" w:before="80"/>
      </w:pPr>
      <w:r>
        <w:rPr>
          <w:rFonts w:ascii="Arial" w:cs="Arial" w:eastAsia="Arial" w:hAnsi="Arial"/>
          <w:sz w:val="22"/>
          <w:szCs w:val="22"/>
        </w:rPr>
        <w:t xml:space="preserve">The Registry Explorer is the human-facing interface to the FERNS Source Registry API. It is the home page of the FERNS Data Layer. It is a pure consumer of /api/v1/sources — it displays exactly what the API returns and nothing more.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10.1  Purpose and audience</w:t>
      </w:r>
    </w:p>
    <w:p>
      <w:pPr>
        <w:spacing w:after="80" w:before="80"/>
      </w:pPr>
      <w:r>
        <w:rPr>
          <w:rFonts w:ascii="Arial" w:cs="Arial" w:eastAsia="Arial" w:hAnsi="Arial"/>
          <w:sz w:val="22"/>
          <w:szCs w:val="22"/>
        </w:rPr>
        <w:t xml:space="preserve">The Registry Explorer serves three audiences simultaneously:</w:t>
      </w:r>
    </w:p>
    <w:p>
      <w:pPr>
        <w:pStyle w:val="ListParagraph"/>
        <w:numPr>
          <w:ilvl w:val="0"/>
          <w:numId w:val="2"/>
        </w:numPr>
        <w:spacing w:after="60" w:before="60"/>
      </w:pPr>
      <w:r>
        <w:rPr>
          <w:rFonts w:ascii="Arial" w:cs="Arial" w:eastAsia="Arial" w:hAnsi="Arial"/>
          <w:sz w:val="22"/>
          <w:szCs w:val="22"/>
        </w:rPr>
        <w:t xml:space="preserve">A homeowner or volunteer who wants to understand what FERNS is and what it knows — they read the plain-English descriptions and follow links to explore specific sources</w:t>
      </w:r>
    </w:p>
    <w:p>
      <w:pPr>
        <w:pStyle w:val="ListParagraph"/>
        <w:numPr>
          <w:ilvl w:val="0"/>
          <w:numId w:val="2"/>
        </w:numPr>
        <w:spacing w:after="60" w:before="60"/>
      </w:pPr>
      <w:r>
        <w:rPr>
          <w:rFonts w:ascii="Arial" w:cs="Arial" w:eastAsia="Arial" w:hAnsi="Arial"/>
          <w:sz w:val="22"/>
          <w:szCs w:val="22"/>
        </w:rPr>
        <w:t xml:space="preserve">A developer or researcher evaluating FERNS — they scan the list for sources relevant to their use case and follow metadata or explorer links for technical details</w:t>
      </w:r>
    </w:p>
    <w:p>
      <w:pPr>
        <w:pStyle w:val="ListParagraph"/>
        <w:numPr>
          <w:ilvl w:val="0"/>
          <w:numId w:val="2"/>
        </w:numPr>
        <w:spacing w:after="60" w:before="60"/>
      </w:pPr>
      <w:r>
        <w:rPr>
          <w:rFonts w:ascii="Arial" w:cs="Arial" w:eastAsia="Arial" w:hAnsi="Arial"/>
          <w:sz w:val="22"/>
          <w:szCs w:val="22"/>
        </w:rPr>
        <w:t xml:space="preserve">An application builder who wants to understand what services are available before deciding which ones to integrate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10.2  Interface elements</w:t>
      </w:r>
    </w:p>
    <w:p>
      <w:pPr>
        <w:spacing w:after="100" w:before="200"/>
      </w:pPr>
      <w:r>
        <w:rPr>
          <w:rFonts w:ascii="Arial" w:cs="Arial" w:eastAsia="Arial" w:hAnsi="Arial"/>
          <w:b/>
          <w:bCs/>
          <w:color w:val="1A1A1A"/>
          <w:sz w:val="24"/>
          <w:szCs w:val="24"/>
        </w:rPr>
        <w:t xml:space="preserve">Page header</w:t>
      </w:r>
    </w:p>
    <w:p>
      <w:pPr>
        <w:pStyle w:val="ListParagraph"/>
        <w:numPr>
          <w:ilvl w:val="0"/>
          <w:numId w:val="2"/>
        </w:numPr>
        <w:spacing w:after="60" w:before="60"/>
      </w:pPr>
      <w:r>
        <w:rPr>
          <w:rFonts w:ascii="Arial" w:cs="Arial" w:eastAsia="Arial" w:hAnsi="Arial"/>
          <w:sz w:val="22"/>
          <w:szCs w:val="22"/>
        </w:rPr>
        <w:t xml:space="preserve">Title: FERNS Data Layer</w:t>
      </w:r>
    </w:p>
    <w:p>
      <w:pPr>
        <w:pStyle w:val="ListParagraph"/>
        <w:numPr>
          <w:ilvl w:val="0"/>
          <w:numId w:val="2"/>
        </w:numPr>
        <w:spacing w:after="60" w:before="60"/>
      </w:pPr>
      <w:r>
        <w:rPr>
          <w:rFonts w:ascii="Arial" w:cs="Arial" w:eastAsia="Arial" w:hAnsi="Arial"/>
          <w:sz w:val="22"/>
          <w:szCs w:val="22"/>
        </w:rPr>
        <w:t xml:space="preserve">Subtitle: A plain-English one-sentence description of what FERNS is, drawn from the /api/v1/sources/metadata endpoint</w:t>
      </w:r>
    </w:p>
    <w:p>
      <w:pPr>
        <w:pStyle w:val="ListParagraph"/>
        <w:numPr>
          <w:ilvl w:val="0"/>
          <w:numId w:val="2"/>
        </w:numPr>
        <w:spacing w:after="60" w:before="60"/>
      </w:pPr>
      <w:r>
        <w:rPr>
          <w:rFonts w:ascii="Arial" w:cs="Arial" w:eastAsia="Arial" w:hAnsi="Arial"/>
          <w:sz w:val="22"/>
          <w:szCs w:val="22"/>
        </w:rPr>
        <w:t xml:space="preserve">Source count: “[N] knowledge services registered” — dynamically populated from the API response</w:t>
      </w:r>
    </w:p>
    <w:p>
      <w:pPr>
        <w:spacing w:after="80" w:before="80"/>
      </w:pPr>
      <w:r>
        <w:t xml:space="preserve"/>
      </w:r>
    </w:p>
    <w:p>
      <w:pPr>
        <w:spacing w:after="100" w:before="200"/>
      </w:pPr>
      <w:r>
        <w:rPr>
          <w:rFonts w:ascii="Arial" w:cs="Arial" w:eastAsia="Arial" w:hAnsi="Arial"/>
          <w:b/>
          <w:bCs/>
          <w:color w:val="1A1A1A"/>
          <w:sz w:val="24"/>
          <w:szCs w:val="24"/>
        </w:rPr>
        <w:t xml:space="preserve">Source list</w:t>
      </w:r>
    </w:p>
    <w:p>
      <w:pPr>
        <w:spacing w:after="80" w:before="80"/>
      </w:pPr>
      <w:r>
        <w:rPr>
          <w:rFonts w:ascii="Arial" w:cs="Arial" w:eastAsia="Arial" w:hAnsi="Arial"/>
          <w:sz w:val="22"/>
          <w:szCs w:val="22"/>
        </w:rPr>
        <w:t xml:space="preserve">One card per registered source. Cards are ordered by knowledge_type (source wrappers first, then derived syntheses, then aggregations, then system services) and alphabetically within each group.</w:t>
      </w:r>
    </w:p>
    <w:p>
      <w:pPr>
        <w:spacing w:after="80" w:before="80"/>
      </w:pPr>
      <w:r>
        <w:rPr>
          <w:rFonts w:ascii="Arial" w:cs="Arial" w:eastAsia="Arial" w:hAnsi="Arial"/>
          <w:sz w:val="22"/>
          <w:szCs w:val="22"/>
        </w:rPr>
        <w:t xml:space="preserve">Each card displays:</w:t>
      </w:r>
    </w:p>
    <w:p>
      <w:pPr>
        <w:pStyle w:val="ListParagraph"/>
        <w:numPr>
          <w:ilvl w:val="0"/>
          <w:numId w:val="2"/>
        </w:numPr>
        <w:spacing w:after="60" w:before="60"/>
      </w:pPr>
      <w:r>
        <w:rPr>
          <w:rFonts w:ascii="Arial" w:cs="Arial" w:eastAsia="Arial" w:hAnsi="Arial"/>
          <w:sz w:val="22"/>
          <w:szCs w:val="22"/>
        </w:rPr>
        <w:t xml:space="preserve">Source name (bold, prominent)</w:t>
      </w:r>
    </w:p>
    <w:p>
      <w:pPr>
        <w:pStyle w:val="ListParagraph"/>
        <w:numPr>
          <w:ilvl w:val="0"/>
          <w:numId w:val="2"/>
        </w:numPr>
        <w:spacing w:after="60" w:before="60"/>
      </w:pPr>
      <w:r>
        <w:rPr>
          <w:rFonts w:ascii="Arial" w:cs="Arial" w:eastAsia="Arial" w:hAnsi="Arial"/>
          <w:sz w:val="22"/>
          <w:szCs w:val="22"/>
        </w:rPr>
        <w:t xml:space="preserve">Knowledge type badge (small label: Source, Synthesis, Aggregation, System)</w:t>
      </w:r>
    </w:p>
    <w:p>
      <w:pPr>
        <w:pStyle w:val="ListParagraph"/>
        <w:numPr>
          <w:ilvl w:val="0"/>
          <w:numId w:val="2"/>
        </w:numPr>
        <w:spacing w:after="60" w:before="60"/>
      </w:pPr>
      <w:r>
        <w:rPr>
          <w:rFonts w:ascii="Arial" w:cs="Arial" w:eastAsia="Arial" w:hAnsi="Arial"/>
          <w:sz w:val="22"/>
          <w:szCs w:val="22"/>
        </w:rPr>
        <w:t xml:space="preserve">Status badge — only shown if status is not 'live' (e.g. Draft, Deprecated)</w:t>
      </w:r>
    </w:p>
    <w:p>
      <w:pPr>
        <w:pStyle w:val="ListParagraph"/>
        <w:numPr>
          <w:ilvl w:val="0"/>
          <w:numId w:val="2"/>
        </w:numPr>
        <w:spacing w:after="60" w:before="60"/>
      </w:pPr>
      <w:r>
        <w:rPr>
          <w:rFonts w:ascii="Arial" w:cs="Arial" w:eastAsia="Arial" w:hAnsi="Arial"/>
          <w:sz w:val="22"/>
          <w:szCs w:val="22"/>
        </w:rPr>
        <w:t xml:space="preserve">Description (the plain-English paragraph from the API)</w:t>
      </w:r>
    </w:p>
    <w:p>
      <w:pPr>
        <w:pStyle w:val="ListParagraph"/>
        <w:numPr>
          <w:ilvl w:val="0"/>
          <w:numId w:val="2"/>
        </w:numPr>
        <w:spacing w:after="60" w:before="60"/>
      </w:pPr>
      <w:r>
        <w:rPr>
          <w:rFonts w:ascii="Arial" w:cs="Arial" w:eastAsia="Arial" w:hAnsi="Arial"/>
          <w:sz w:val="22"/>
          <w:szCs w:val="22"/>
        </w:rPr>
        <w:t xml:space="preserve">Output summary (one line: what you get back)</w:t>
      </w:r>
    </w:p>
    <w:p>
      <w:pPr>
        <w:pStyle w:val="ListParagraph"/>
        <w:numPr>
          <w:ilvl w:val="0"/>
          <w:numId w:val="2"/>
        </w:numPr>
        <w:spacing w:after="60" w:before="60"/>
      </w:pPr>
      <w:r>
        <w:rPr>
          <w:rFonts w:ascii="Arial" w:cs="Arial" w:eastAsia="Arial" w:hAnsi="Arial"/>
          <w:sz w:val="22"/>
          <w:szCs w:val="22"/>
        </w:rPr>
        <w:t xml:space="preserve">Update frequency (one line)</w:t>
      </w:r>
    </w:p>
    <w:p>
      <w:pPr>
        <w:pStyle w:val="ListParagraph"/>
        <w:numPr>
          <w:ilvl w:val="0"/>
          <w:numId w:val="2"/>
        </w:numPr>
        <w:spacing w:after="60" w:before="60"/>
      </w:pPr>
      <w:r>
        <w:rPr>
          <w:rFonts w:ascii="Arial" w:cs="Arial" w:eastAsia="Arial" w:hAnsi="Arial"/>
          <w:sz w:val="22"/>
          <w:szCs w:val="22"/>
        </w:rPr>
        <w:t xml:space="preserve">Known limitations (one line, if present)</w:t>
      </w:r>
    </w:p>
    <w:p>
      <w:pPr>
        <w:pStyle w:val="ListParagraph"/>
        <w:numPr>
          <w:ilvl w:val="0"/>
          <w:numId w:val="2"/>
        </w:numPr>
        <w:spacing w:after="60" w:before="60"/>
      </w:pPr>
      <w:r>
        <w:rPr>
          <w:rFonts w:ascii="Arial" w:cs="Arial" w:eastAsia="Arial" w:hAnsi="Arial"/>
          <w:sz w:val="22"/>
          <w:szCs w:val="22"/>
        </w:rPr>
        <w:t xml:space="preserve">Two action links: Explore this source (links to explorer_url) and API metadata (links to metadata_url)</w:t>
      </w:r>
    </w:p>
    <w:p>
      <w:pPr>
        <w:spacing w:after="80" w:before="80"/>
      </w:pPr>
      <w:r>
        <w:t xml:space="preserve"/>
      </w:r>
    </w:p>
    <w:p>
      <w:pPr>
        <w:spacing w:after="100" w:before="200"/>
      </w:pPr>
      <w:r>
        <w:rPr>
          <w:rFonts w:ascii="Arial" w:cs="Arial" w:eastAsia="Arial" w:hAnsi="Arial"/>
          <w:b/>
          <w:bCs/>
          <w:color w:val="1A1A1A"/>
          <w:sz w:val="24"/>
          <w:szCs w:val="24"/>
        </w:rPr>
        <w:t xml:space="preserve">No filtering in v1</w:t>
      </w:r>
    </w:p>
    <w:p>
      <w:pPr>
        <w:spacing w:after="80" w:before="80"/>
      </w:pPr>
      <w:r>
        <w:rPr>
          <w:rFonts w:ascii="Arial" w:cs="Arial" w:eastAsia="Arial" w:hAnsi="Arial"/>
          <w:sz w:val="22"/>
          <w:szCs w:val="22"/>
        </w:rPr>
        <w:t xml:space="preserve">v1 renders the complete list with no filter controls. The architecture must not preclude adding filtering later. Group headings by knowledge_type provide visual organization without requiring filter UI.</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10.3  Constraints</w:t>
      </w:r>
    </w:p>
    <w:p>
      <w:pPr>
        <w:pStyle w:val="ListParagraph"/>
        <w:numPr>
          <w:ilvl w:val="0"/>
          <w:numId w:val="2"/>
        </w:numPr>
        <w:spacing w:after="60" w:before="60"/>
      </w:pPr>
      <w:r>
        <w:rPr>
          <w:rFonts w:ascii="Arial" w:cs="Arial" w:eastAsia="Arial" w:hAnsi="Arial"/>
          <w:sz w:val="22"/>
          <w:szCs w:val="22"/>
        </w:rPr>
        <w:t xml:space="preserve">The Explorer calls /api/v1/sources once on load. It does not make additional calls to individual source endpoints.</w:t>
      </w:r>
    </w:p>
    <w:p>
      <w:pPr>
        <w:pStyle w:val="ListParagraph"/>
        <w:numPr>
          <w:ilvl w:val="0"/>
          <w:numId w:val="2"/>
        </w:numPr>
        <w:spacing w:after="60" w:before="60"/>
      </w:pPr>
      <w:r>
        <w:rPr>
          <w:rFonts w:ascii="Arial" w:cs="Arial" w:eastAsia="Arial" w:hAnsi="Arial"/>
          <w:sz w:val="22"/>
          <w:szCs w:val="22"/>
        </w:rPr>
        <w:t xml:space="preserve">The Explorer displays nothing that is not in the API response. No hardcoded descriptions, no external data.</w:t>
      </w:r>
    </w:p>
    <w:p>
      <w:pPr>
        <w:pStyle w:val="ListParagraph"/>
        <w:numPr>
          <w:ilvl w:val="0"/>
          <w:numId w:val="2"/>
        </w:numPr>
        <w:spacing w:after="60" w:before="60"/>
      </w:pPr>
      <w:r>
        <w:rPr>
          <w:rFonts w:ascii="Arial" w:cs="Arial" w:eastAsia="Arial" w:hAnsi="Arial"/>
          <w:sz w:val="22"/>
          <w:szCs w:val="22"/>
        </w:rPr>
        <w:t xml:space="preserve">If the API returns an empty sources array, the Explorer displays a message: “No sources are currently registered.”</w:t>
      </w:r>
    </w:p>
    <w:p>
      <w:pPr>
        <w:pStyle w:val="ListParagraph"/>
        <w:numPr>
          <w:ilvl w:val="0"/>
          <w:numId w:val="2"/>
        </w:numPr>
        <w:spacing w:after="60" w:before="60"/>
      </w:pPr>
      <w:r>
        <w:rPr>
          <w:rFonts w:ascii="Arial" w:cs="Arial" w:eastAsia="Arial" w:hAnsi="Arial"/>
          <w:sz w:val="22"/>
          <w:szCs w:val="22"/>
        </w:rPr>
        <w:t xml:space="preserve">If the API call fails, the Explorer displays a clear error message with the API endpoint URL so a developer can debug directly.</w:t>
      </w:r>
    </w:p>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11: Registry Entry for This Service</w:t>
      </w:r>
    </w:p>
    <w:p>
      <w:pPr>
        <w:spacing w:after="80" w:before="80"/>
      </w:pPr>
      <w:r>
        <w:rPr>
          <w:rFonts w:ascii="Arial" w:cs="Arial" w:eastAsia="Arial" w:hAnsi="Arial"/>
          <w:sz w:val="22"/>
          <w:szCs w:val="22"/>
        </w:rPr>
        <w:t xml:space="preserve">The registry registers itself. This is the entry that the ferns-registry service writes to ferns_sources at build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source_id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ferns-registry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FERNS Source Registry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knowledge_type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discovery layer for the FERNS Data Layer. Lists all registered FERNS Knowledge Services with enough detail to make a routing decision. This is the starting point for any developer, researcher, or application that wants to know what FERNS knows.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input_summary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input required — the index returns all registered services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output_summary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SourceSummary objects, one per registered service, each with identity, description, input/output summary, dependencies, and links to full metadata and Source Explorer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dependencies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reads from internal ferns_sources table only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update_frequency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 reflects registered services at time of request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known_limitations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 what is registered; does not evaluate data quality, trust tier, or methodological soundness of registered services. Those are application-layer concerns.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metadata_url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/api/v1/sources/metadata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explorer_url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(the FERNS Data Layer home page)</w:t>
            </w:r>
          </w:p>
        </w:tc>
      </w:tr>
    </w:tbl>
    <w:p>
      <w:pPr>
        <w:spacing w:after="80" w:before="80"/>
      </w:pPr>
      <w:r>
        <w:t xml:space="preserve"/>
      </w:r>
    </w:p>
    <w:p>
      <w:pPr>
        <w:pStyle w:val="Heading1"/>
        <w:spacing w:after="160" w:before="320"/>
      </w:pPr>
      <w:r>
        <w:rPr>
          <w:rFonts w:ascii="Arial" w:cs="Arial" w:eastAsia="Arial" w:hAnsi="Arial"/>
          <w:b/>
          <w:bCs/>
          <w:color w:val="1F4E79"/>
          <w:sz w:val="32"/>
          <w:szCs w:val="32"/>
        </w:rPr>
        <w:t xml:space="preserve">Section 12: Open Questions</w:t>
      </w:r>
    </w:p>
    <w:p>
      <w:pPr>
        <w:spacing w:after="80" w:before="80"/>
      </w:pPr>
      <w:r>
        <w:rPr>
          <w:rFonts w:ascii="Arial" w:cs="Arial" w:eastAsia="Arial" w:hAnsi="Arial"/>
          <w:sz w:val="22"/>
          <w:szCs w:val="22"/>
        </w:rPr>
        <w:t xml:space="preserve">The following questions are unresolved at the time of this draft and should be addressed before the spec is marked approved:</w:t>
      </w:r>
    </w:p>
    <w:p>
      <w:pPr>
        <w:pStyle w:val="ListParagraph"/>
        <w:numPr>
          <w:ilvl w:val="0"/>
          <w:numId w:val="2"/>
        </w:numPr>
        <w:spacing w:after="60" w:before="60"/>
      </w:pPr>
      <w:r>
        <w:rPr>
          <w:rFonts w:ascii="Arial" w:cs="Arial" w:eastAsia="Arial" w:hAnsi="Arial"/>
          <w:sz w:val="22"/>
          <w:szCs w:val="22"/>
        </w:rPr>
        <w:t xml:space="preserve">Should the registry endpoint support a ?status=live filter in v1, or strictly defer all filtering to a future version?</w:t>
      </w:r>
    </w:p>
    <w:p>
      <w:pPr>
        <w:pStyle w:val="ListParagraph"/>
        <w:numPr>
          <w:ilvl w:val="0"/>
          <w:numId w:val="2"/>
        </w:numPr>
        <w:spacing w:after="60" w:before="60"/>
      </w:pPr>
      <w:r>
        <w:rPr>
          <w:rFonts w:ascii="Arial" w:cs="Arial" w:eastAsia="Arial" w:hAnsi="Arial"/>
          <w:sz w:val="22"/>
          <w:szCs w:val="22"/>
        </w:rPr>
        <w:t xml:space="preserve">Should deprecated services be included in the default index response, or excluded unless explicitly requested?</w:t>
      </w:r>
    </w:p>
    <w:p>
      <w:pPr>
        <w:pStyle w:val="ListParagraph"/>
        <w:numPr>
          <w:ilvl w:val="0"/>
          <w:numId w:val="2"/>
        </w:numPr>
        <w:spacing w:after="60" w:before="60"/>
      </w:pPr>
      <w:r>
        <w:rPr>
          <w:rFonts w:ascii="Arial" w:cs="Arial" w:eastAsia="Arial" w:hAnsi="Arial"/>
          <w:sz w:val="22"/>
          <w:szCs w:val="22"/>
        </w:rPr>
        <w:t xml:space="preserve">What is the registration mechanism? Does a source service register itself via an internal API call at startup, or is registration a manual step during the build process? This affects ferns_sources write ownership.</w:t>
      </w:r>
    </w:p>
    <w:p>
      <w:pPr>
        <w:pStyle w:val="ListParagraph"/>
        <w:numPr>
          <w:ilvl w:val="0"/>
          <w:numId w:val="2"/>
        </w:numPr>
        <w:spacing w:after="60" w:before="60"/>
      </w:pPr>
      <w:r>
        <w:rPr>
          <w:rFonts w:ascii="Arial" w:cs="Arial" w:eastAsia="Arial" w:hAnsi="Arial"/>
          <w:sz w:val="22"/>
          <w:szCs w:val="22"/>
        </w:rPr>
        <w:t xml:space="preserve">Should the Registry Explorer include a copy-to-clipboard button for the API endpoint URL of each source? Useful for developers but adds UI complexity.</w:t>
      </w:r>
    </w:p>
    <w:p>
      <w:pPr>
        <w:pStyle w:val="ListParagraph"/>
        <w:numPr>
          <w:ilvl w:val="0"/>
          <w:numId w:val="2"/>
        </w:numPr>
        <w:spacing w:after="60" w:before="60"/>
      </w:pPr>
      <w:r>
        <w:rPr>
          <w:rFonts w:ascii="Arial" w:cs="Arial" w:eastAsia="Arial" w:hAnsi="Arial"/>
          <w:sz w:val="22"/>
          <w:szCs w:val="22"/>
        </w:rPr>
        <w:t xml:space="preserve">LLM-assisted discovery (helping a user figure out which source answers their question) is a strong future direction for the Explorer. This is noted here as a planned expansion path, not a v1 requirement.</w:t>
      </w:r>
    </w:p>
    <w:p>
      <w:pPr>
        <w:spacing w:after="80" w:before="80"/>
      </w:pPr>
      <w:r>
        <w:t xml:space="preserve"/>
      </w:r>
    </w:p>
    <w:p>
      <w:pPr>
        <w:pBdr>
          <w:top w:val="single" w:color="2E75B6" w:sz="6" w:space="1"/>
        </w:pBdr>
        <w:spacing w:after="0" w:before="400"/>
      </w:pPr>
      <w:r>
        <w:rPr>
          <w:rFonts w:ascii="Arial" w:cs="Arial" w:eastAsia="Arial" w:hAnsi="Arial"/>
          <w:color w:val="888888"/>
          <w:sz w:val="18"/>
          <w:szCs w:val="18"/>
        </w:rPr>
        <w:t xml:space="preserve">FERNS Knowledge Service Specification — FERNS Source Registry — v1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2026-03-23T20:57:38.534Z</dcterms:created>
  <dcterms:modified xsi:type="dcterms:W3CDTF">2026-03-23T20:57:38.535Z</dcterms:modified>
</cp:coreProperties>
</file>

<file path=docProps/custom.xml><?xml version="1.0" encoding="utf-8"?>
<Properties xmlns="http://schemas.openxmlformats.org/officeDocument/2006/custom-properties" xmlns:vt="http://schemas.openxmlformats.org/officeDocument/2006/docPropsVTypes"/>
</file>