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FERNS Response Envelope Contract</w:t>
      </w:r>
    </w:p>
    <w:p>
      <w:pPr>
        <w:spacing w:after="240"/>
      </w:pPr>
      <w:r>
        <w:rPr>
          <w:color w:val="555555"/>
          <w:sz w:val="24"/>
          <w:szCs w:val="24"/>
        </w:rPr>
        <w:t xml:space="preserve">Version 1  ·  Standard structure for every FERNS source response</w:t>
      </w:r>
    </w:p>
    <w:p>
      <w:pPr>
        <w:pStyle w:val="Heading1"/>
      </w:pPr>
      <w:r>
        <w:t xml:space="preserve">Purpose</w:t>
      </w:r>
    </w:p>
    <w:p>
      <w:pPr>
        <w:spacing w:after="120"/>
      </w:pPr>
      <w:r>
        <w:t xml:space="preserve">Every source registered with FERNS returns its result inside a single, identical outer structure. That structure is the envelope. The envelope is FERNS speaking; the data it carries is the source speaking. This document defines the envelope so that every source — regardless of what kind of source it is — produces a response a developer can read the same way.</w:t>
      </w:r>
    </w:p>
    <w:p>
      <w:pPr>
        <w:spacing w:after="120"/>
      </w:pPr>
      <w:r>
        <w:t xml:space="preserve">The problem this solves: sources were each inventing their own response shape, and FERNS-generated information was being mixed into the source's own data. This contract ends that. One envelope, defined once, obeyed by every source.</w:t>
      </w:r>
    </w:p>
    <w:p>
      <w:pPr>
        <w:pStyle w:val="Heading1"/>
      </w:pPr>
      <w:r>
        <w:t xml:space="preserve">The governing rule</w:t>
      </w:r>
    </w:p>
    <w:p>
      <w:pPr>
        <w:spacing w:after="120"/>
      </w:pPr>
      <w:r>
        <w:rPr>
          <w:b/>
          <w:bCs/>
        </w:rPr>
        <w:t xml:space="preserve">The envelope holds only what is true of FERNS’s act of obtaining the data. The data field holds only what the source produced. Nothing FERNS generates is ever placed inside data; nothing the source produced is ever lifted out of data into the envelope.</w:t>
      </w:r>
    </w:p>
    <w:p>
      <w:pPr>
        <w:spacing w:after="120"/>
      </w:pPr>
      <w:r>
        <w:t xml:space="preserve">A simple test for any field: did the upstream source produce it, or did FERNS produce it? If the source produced it, it belongs in data. If FERNS produced it, it belongs in the envelope. These are the same test stated two ways.</w:t>
      </w:r>
    </w:p>
    <w:p>
      <w:pPr>
        <w:pStyle w:val="Heading1"/>
      </w:pPr>
      <w:r>
        <w:t xml:space="preserve">Source types this contract covers</w:t>
      </w:r>
    </w:p>
    <w:p>
      <w:pPr>
        <w:spacing w:after="120"/>
      </w:pPr>
      <w:r>
        <w:t xml:space="preserve">FERNS sources are not all alike. This contract is written so that one envelope serves all of them. Four representative kinds:</w:t>
      </w:r>
    </w:p>
    <w:p>
      <w:pPr>
        <w:pStyle w:val="ListParagraph"/>
        <w:numPr>
          <w:ilvl w:val="0"/>
          <w:numId w:val="2"/>
        </w:numPr>
        <w:spacing w:after="60"/>
      </w:pPr>
      <w:r>
        <w:t xml:space="preserve">In-memory table — the data already lives inside FERNS. No external system is contacted.</w:t>
      </w:r>
    </w:p>
    <w:p>
      <w:pPr>
        <w:pStyle w:val="ListParagraph"/>
        <w:numPr>
          <w:ilvl w:val="0"/>
          <w:numId w:val="2"/>
        </w:numPr>
        <w:spacing w:after="60"/>
      </w:pPr>
      <w:r>
        <w:t xml:space="preserve">Pure algorithm — the source computes a result from the request alone. It reaches to nothing.</w:t>
      </w:r>
    </w:p>
    <w:p>
      <w:pPr>
        <w:pStyle w:val="ListParagraph"/>
        <w:numPr>
          <w:ilvl w:val="0"/>
          <w:numId w:val="2"/>
        </w:numPr>
        <w:spacing w:after="60"/>
      </w:pPr>
      <w:r>
        <w:t xml:space="preserve">Single-source proxy — the source fetches from one upstream system, such as iNaturalist or GBIF.</w:t>
      </w:r>
    </w:p>
    <w:p>
      <w:pPr>
        <w:pStyle w:val="ListParagraph"/>
        <w:numPr>
          <w:ilvl w:val="0"/>
          <w:numId w:val="2"/>
        </w:numPr>
        <w:spacing w:after="60"/>
      </w:pPr>
      <w:r>
        <w:t xml:space="preserve">Multi-source algorithm — the source computes a result using several other FERNS sources as dependencies.</w:t>
      </w:r>
    </w:p>
    <w:p>
      <w:pPr>
        <w:spacing w:after="120"/>
      </w:pPr>
      <w:r>
        <w:t xml:space="preserve">Where a field behaves differently across these types, the field’s definition below says so explicitly. A developer should never have to guess.</w:t>
      </w:r>
    </w:p>
    <w:p>
      <w:pPr>
        <w:pStyle w:val="Heading1"/>
      </w:pPr>
      <w:r>
        <w:t xml:space="preserve">Envelope structure</w:t>
      </w:r>
    </w:p>
    <w:p>
      <w:pPr>
        <w:spacing w:after="120"/>
      </w:pPr>
      <w:r>
        <w:t xml:space="preserve">The envelope has three parts: a small set of top-level fields, a provenance object, and the data payload.</w:t>
      </w:r>
    </w:p>
    <w:p>
      <w:pPr>
        <w:spacing w:after="120"/>
      </w:pPr>
      <w:r>
        <w:t xml:space="preserve">Top-level fields are gates — a developer checks them before using the response at all. The provenance object answers where the data came from, how it was obtained, and how far it can be trusted. The data field is the source’s verbatim payload.</w:t>
      </w:r>
    </w:p>
    <w:p>
      <w:pPr>
        <w:shd w:fill="F2F2F2" w:val="clear"/>
        <w:spacing w:after="0"/>
        <w:ind w:left="240"/>
      </w:pPr>
      <w:r>
        <w:rPr>
          <w:rFonts w:ascii="Consolas" w:cs="Consolas" w:eastAsia="Consolas" w:hAnsi="Consolas"/>
          <w:sz w:val="19"/>
          <w:szCs w:val="19"/>
        </w:rPr>
        <w:t xml:space="preserve">{</w:t>
      </w:r>
    </w:p>
    <w:p>
      <w:pPr>
        <w:shd w:fill="F2F2F2" w:val="clear"/>
        <w:spacing w:after="0"/>
        <w:ind w:left="240"/>
      </w:pPr>
      <w:r>
        <w:rPr>
          <w:rFonts w:ascii="Consolas" w:cs="Consolas" w:eastAsia="Consolas" w:hAnsi="Consolas"/>
          <w:sz w:val="19"/>
          <w:szCs w:val="19"/>
        </w:rPr>
        <w:t xml:space="preserve">  "found": true,</w:t>
      </w:r>
    </w:p>
    <w:p>
      <w:pPr>
        <w:shd w:fill="F2F2F2" w:val="clear"/>
        <w:spacing w:after="0"/>
        <w:ind w:left="240"/>
      </w:pPr>
      <w:r>
        <w:rPr>
          <w:rFonts w:ascii="Consolas" w:cs="Consolas" w:eastAsia="Consolas" w:hAnsi="Consolas"/>
          <w:sz w:val="19"/>
          <w:szCs w:val="19"/>
        </w:rPr>
        <w:t xml:space="preserve">  "permission_granted": true,</w:t>
      </w:r>
    </w:p>
    <w:p>
      <w:pPr>
        <w:shd w:fill="F2F2F2" w:val="clear"/>
        <w:spacing w:after="0"/>
        <w:ind w:left="240"/>
      </w:pPr>
      <w:r>
        <w:rPr>
          <w:rFonts w:ascii="Consolas" w:cs="Consolas" w:eastAsia="Consolas" w:hAnsi="Consolas"/>
          <w:sz w:val="19"/>
          <w:szCs w:val="19"/>
        </w:rPr>
        <w:t xml:space="preserve">  "pagination": { ... } | null,</w:t>
      </w:r>
    </w:p>
    <w:p>
      <w:pPr>
        <w:shd w:fill="F2F2F2" w:val="clear"/>
        <w:spacing w:after="0"/>
        <w:ind w:left="240"/>
      </w:pPr>
      <w:r>
        <w:rPr>
          <w:rFonts w:ascii="Consolas" w:cs="Consolas" w:eastAsia="Consolas" w:hAnsi="Consolas"/>
          <w:sz w:val="19"/>
          <w:szCs w:val="19"/>
        </w:rPr>
        <w:t xml:space="preserve">  "provenance": {</w:t>
      </w:r>
    </w:p>
    <w:p>
      <w:pPr>
        <w:shd w:fill="F2F2F2" w:val="clear"/>
        <w:spacing w:after="0"/>
        <w:ind w:left="240"/>
      </w:pPr>
      <w:r>
        <w:rPr>
          <w:rFonts w:ascii="Consolas" w:cs="Consolas" w:eastAsia="Consolas" w:hAnsi="Consolas"/>
          <w:sz w:val="19"/>
          <w:szCs w:val="19"/>
        </w:rPr>
        <w:t xml:space="preserve">    "source_id": "...",</w:t>
      </w:r>
    </w:p>
    <w:p>
      <w:pPr>
        <w:shd w:fill="F2F2F2" w:val="clear"/>
        <w:spacing w:after="0"/>
        <w:ind w:left="240"/>
      </w:pPr>
      <w:r>
        <w:rPr>
          <w:rFonts w:ascii="Consolas" w:cs="Consolas" w:eastAsia="Consolas" w:hAnsi="Consolas"/>
          <w:sz w:val="19"/>
          <w:szCs w:val="19"/>
        </w:rPr>
        <w:t xml:space="preserve">    "source_url": "..." | null,</w:t>
      </w:r>
    </w:p>
    <w:p>
      <w:pPr>
        <w:shd w:fill="F2F2F2" w:val="clear"/>
        <w:spacing w:after="0"/>
        <w:ind w:left="240"/>
      </w:pPr>
      <w:r>
        <w:rPr>
          <w:rFonts w:ascii="Consolas" w:cs="Consolas" w:eastAsia="Consolas" w:hAnsi="Consolas"/>
          <w:sz w:val="19"/>
          <w:szCs w:val="19"/>
        </w:rPr>
        <w:t xml:space="preserve">    "method": "...",</w:t>
      </w:r>
    </w:p>
    <w:p>
      <w:pPr>
        <w:shd w:fill="F2F2F2" w:val="clear"/>
        <w:spacing w:after="0"/>
        <w:ind w:left="240"/>
      </w:pPr>
      <w:r>
        <w:rPr>
          <w:rFonts w:ascii="Consolas" w:cs="Consolas" w:eastAsia="Consolas" w:hAnsi="Consolas"/>
          <w:sz w:val="19"/>
          <w:szCs w:val="19"/>
        </w:rPr>
        <w:t xml:space="preserve">    "cache_status": "...",</w:t>
      </w:r>
    </w:p>
    <w:p>
      <w:pPr>
        <w:shd w:fill="F2F2F2" w:val="clear"/>
        <w:spacing w:after="0"/>
        <w:ind w:left="240"/>
      </w:pPr>
      <w:r>
        <w:rPr>
          <w:rFonts w:ascii="Consolas" w:cs="Consolas" w:eastAsia="Consolas" w:hAnsi="Consolas"/>
          <w:sz w:val="19"/>
          <w:szCs w:val="19"/>
        </w:rPr>
        <w:t xml:space="preserve">    "queried_at": "...",</w:t>
      </w:r>
    </w:p>
    <w:p>
      <w:pPr>
        <w:shd w:fill="F2F2F2" w:val="clear"/>
        <w:spacing w:after="0"/>
        <w:ind w:left="240"/>
      </w:pPr>
      <w:r>
        <w:rPr>
          <w:rFonts w:ascii="Consolas" w:cs="Consolas" w:eastAsia="Consolas" w:hAnsi="Consolas"/>
          <w:sz w:val="19"/>
          <w:szCs w:val="19"/>
        </w:rPr>
        <w:t xml:space="preserve">    "derived_from": [ ... ] | null,</w:t>
      </w:r>
    </w:p>
    <w:p>
      <w:pPr>
        <w:shd w:fill="F2F2F2" w:val="clear"/>
        <w:spacing w:after="0"/>
        <w:ind w:left="240"/>
      </w:pPr>
      <w:r>
        <w:rPr>
          <w:rFonts w:ascii="Consolas" w:cs="Consolas" w:eastAsia="Consolas" w:hAnsi="Consolas"/>
          <w:sz w:val="19"/>
          <w:szCs w:val="19"/>
        </w:rPr>
        <w:t xml:space="preserve">    "license": "...",</w:t>
      </w:r>
    </w:p>
    <w:p>
      <w:pPr>
        <w:shd w:fill="F2F2F2" w:val="clear"/>
        <w:spacing w:after="0"/>
        <w:ind w:left="240"/>
      </w:pPr>
      <w:r>
        <w:rPr>
          <w:rFonts w:ascii="Consolas" w:cs="Consolas" w:eastAsia="Consolas" w:hAnsi="Consolas"/>
          <w:sz w:val="19"/>
          <w:szCs w:val="19"/>
        </w:rPr>
        <w:t xml:space="preserve">    "rights": "..."</w:t>
      </w:r>
    </w:p>
    <w:p>
      <w:pPr>
        <w:shd w:fill="F2F2F2" w:val="clear"/>
        <w:spacing w:after="0"/>
        <w:ind w:left="240"/>
      </w:pPr>
      <w:r>
        <w:rPr>
          <w:rFonts w:ascii="Consolas" w:cs="Consolas" w:eastAsia="Consolas" w:hAnsi="Consolas"/>
          <w:sz w:val="19"/>
          <w:szCs w:val="19"/>
        </w:rPr>
        <w:t xml:space="preserve">  },</w:t>
      </w:r>
    </w:p>
    <w:p>
      <w:pPr>
        <w:shd w:fill="F2F2F2" w:val="clear"/>
        <w:spacing w:after="0"/>
        <w:ind w:left="240"/>
      </w:pPr>
      <w:r>
        <w:rPr>
          <w:rFonts w:ascii="Consolas" w:cs="Consolas" w:eastAsia="Consolas" w:hAnsi="Consolas"/>
          <w:sz w:val="19"/>
          <w:szCs w:val="19"/>
        </w:rPr>
        <w:t xml:space="preserve">  "data": { ...verbatim from the source... }</w:t>
      </w:r>
    </w:p>
    <w:p>
      <w:pPr>
        <w:shd w:fill="F2F2F2" w:val="clear"/>
        <w:spacing w:after="160"/>
        <w:ind w:left="240"/>
      </w:pPr>
      <w:r>
        <w:rPr>
          <w:rFonts w:ascii="Consolas" w:cs="Consolas" w:eastAsia="Consolas" w:hAnsi="Consolas"/>
          <w:sz w:val="19"/>
          <w:szCs w:val="19"/>
        </w:rPr>
        <w:t xml:space="preserve">}</w:t>
      </w:r>
    </w:p>
    <w:p>
      <w:pPr>
        <w:pStyle w:val="Heading1"/>
      </w:pPr>
      <w:r>
        <w:t xml:space="preserve">Top-level fields</w:t>
      </w:r>
    </w:p>
    <w:p>
      <w:pPr>
        <w:spacing w:after="120"/>
      </w:pPr>
      <w:r>
        <w:rPr>
          <w:i/>
          <w:iCs/>
        </w:rPr>
        <w:t xml:space="preserve">These are the gates. A developer checks them first, before touching the data.</w:t>
      </w:r>
    </w:p>
    <w:p>
      <w:pPr>
        <w:spacing w:after="40" w:before="160"/>
      </w:pPr>
      <w:r>
        <w:rPr>
          <w:rFonts w:ascii="Consolas" w:cs="Consolas" w:eastAsia="Consolas" w:hAnsi="Consolas"/>
          <w:b/>
          <w:bCs/>
          <w:sz w:val="22"/>
          <w:szCs w:val="22"/>
        </w:rPr>
        <w:t xml:space="preserve">found</w:t>
      </w:r>
    </w:p>
    <w:p>
      <w:pPr>
        <w:spacing w:after="60"/>
      </w:pPr>
      <w:r>
        <w:rPr>
          <w:b/>
          <w:bCs/>
          <w:sz w:val="20"/>
          <w:szCs w:val="20"/>
        </w:rPr>
        <w:t xml:space="preserve">Type: </w:t>
      </w:r>
      <w:r>
        <w:rPr>
          <w:sz w:val="20"/>
          <w:szCs w:val="20"/>
        </w:rPr>
        <w:t xml:space="preserve">boolean</w:t>
      </w:r>
    </w:p>
    <w:p>
      <w:pPr>
        <w:spacing w:after="80"/>
      </w:pPr>
      <w:r>
        <w:t xml:space="preserve">Did the source have the thing that was asked for? true means data is present. false means the lookup ran correctly but the source holds no record for it. false is not an error — it is an honest “nothing here.” An actual failure is a different condition; found describes presence, not success.</w:t>
      </w:r>
    </w:p>
    <w:p>
      <w:pPr>
        <w:spacing w:after="40" w:before="160"/>
      </w:pPr>
      <w:r>
        <w:rPr>
          <w:rFonts w:ascii="Consolas" w:cs="Consolas" w:eastAsia="Consolas" w:hAnsi="Consolas"/>
          <w:b/>
          <w:bCs/>
          <w:sz w:val="22"/>
          <w:szCs w:val="22"/>
        </w:rPr>
        <w:t xml:space="preserve">permission_granted</w:t>
      </w:r>
    </w:p>
    <w:p>
      <w:pPr>
        <w:spacing w:after="60"/>
      </w:pPr>
      <w:r>
        <w:rPr>
          <w:b/>
          <w:bCs/>
          <w:sz w:val="20"/>
          <w:szCs w:val="20"/>
        </w:rPr>
        <w:t xml:space="preserve">Type: </w:t>
      </w:r>
      <w:r>
        <w:rPr>
          <w:sz w:val="20"/>
          <w:szCs w:val="20"/>
        </w:rPr>
        <w:t xml:space="preserve">boolean</w:t>
      </w:r>
    </w:p>
    <w:p>
      <w:pPr>
        <w:spacing w:after="80"/>
      </w:pPr>
      <w:r>
        <w:t xml:space="preserve">Is the consumer cleared to use this data? true means use it. false means the data is withheld or restricted, and data may be empty or partial. This field is always present on every response so that a permission gap can never be silent or missed.</w:t>
      </w:r>
    </w:p>
    <w:p>
      <w:pPr>
        <w:spacing w:after="40" w:before="160"/>
      </w:pPr>
      <w:r>
        <w:rPr>
          <w:rFonts w:ascii="Consolas" w:cs="Consolas" w:eastAsia="Consolas" w:hAnsi="Consolas"/>
          <w:b/>
          <w:bCs/>
          <w:sz w:val="22"/>
          <w:szCs w:val="22"/>
        </w:rPr>
        <w:t xml:space="preserve">pagination</w:t>
      </w:r>
    </w:p>
    <w:p>
      <w:pPr>
        <w:spacing w:after="60"/>
      </w:pPr>
      <w:r>
        <w:rPr>
          <w:b/>
          <w:bCs/>
          <w:sz w:val="20"/>
          <w:szCs w:val="20"/>
        </w:rPr>
        <w:t xml:space="preserve">Type: </w:t>
      </w:r>
      <w:r>
        <w:rPr>
          <w:sz w:val="20"/>
          <w:szCs w:val="20"/>
        </w:rPr>
        <w:t xml:space="preserve">object, or null</w:t>
      </w:r>
    </w:p>
    <w:p>
      <w:pPr>
        <w:spacing w:after="80"/>
      </w:pPr>
      <w:r>
        <w:t xml:space="preserve">Present as an object when the result is one page of a larger set that could continue. null when the response is inherently whole — for example a single species lookup, an in-memory table answer, or an algorithm’s computed result. When present, the object contains:</w:t>
      </w:r>
    </w:p>
    <w:p>
      <w:pPr>
        <w:pStyle w:val="ListParagraph"/>
        <w:numPr>
          <w:ilvl w:val="0"/>
          <w:numId w:val="2"/>
        </w:numPr>
        <w:spacing w:after="60"/>
      </w:pPr>
      <w:r>
        <w:t xml:space="preserve">has_more — boolean — whether another page exists beyond this one.</w:t>
      </w:r>
    </w:p>
    <w:p>
      <w:pPr>
        <w:pStyle w:val="ListParagraph"/>
        <w:numPr>
          <w:ilvl w:val="0"/>
          <w:numId w:val="2"/>
        </w:numPr>
        <w:spacing w:after="60"/>
      </w:pPr>
      <w:r>
        <w:t xml:space="preserve">next — string or null — the token or cursor used to request the next page.</w:t>
      </w:r>
    </w:p>
    <w:p>
      <w:pPr>
        <w:pStyle w:val="ListParagraph"/>
        <w:numPr>
          <w:ilvl w:val="0"/>
          <w:numId w:val="2"/>
        </w:numPr>
        <w:spacing w:after="60"/>
      </w:pPr>
      <w:r>
        <w:t xml:space="preserve">total — integer or null — the total number of items, when the source reports a count.</w:t>
      </w:r>
    </w:p>
    <w:p>
      <w:pPr>
        <w:pStyle w:val="Heading1"/>
      </w:pPr>
      <w:r>
        <w:t xml:space="preserve">The provenance object</w:t>
      </w:r>
    </w:p>
    <w:p>
      <w:pPr>
        <w:spacing w:after="120"/>
      </w:pPr>
      <w:r>
        <w:rPr>
          <w:i/>
          <w:iCs/>
        </w:rPr>
        <w:t xml:space="preserve">Provenance answers three questions: where did this come from, how was it obtained, and how far can it be trusted? Every field here is FERNS speaking about its own act of obtaining the data.</w:t>
      </w:r>
    </w:p>
    <w:p>
      <w:pPr>
        <w:spacing w:after="40" w:before="160"/>
      </w:pPr>
      <w:r>
        <w:rPr>
          <w:rFonts w:ascii="Consolas" w:cs="Consolas" w:eastAsia="Consolas" w:hAnsi="Consolas"/>
          <w:b/>
          <w:bCs/>
          <w:sz w:val="22"/>
          <w:szCs w:val="22"/>
        </w:rPr>
        <w:t xml:space="preserve">source_id</w:t>
      </w:r>
    </w:p>
    <w:p>
      <w:pPr>
        <w:spacing w:after="60"/>
      </w:pPr>
      <w:r>
        <w:rPr>
          <w:b/>
          <w:bCs/>
          <w:sz w:val="20"/>
          <w:szCs w:val="20"/>
        </w:rPr>
        <w:t xml:space="preserve">Type: </w:t>
      </w:r>
      <w:r>
        <w:rPr>
          <w:sz w:val="20"/>
          <w:szCs w:val="20"/>
        </w:rPr>
        <w:t xml:space="preserve">string</w:t>
      </w:r>
    </w:p>
    <w:p>
      <w:pPr>
        <w:spacing w:after="80"/>
      </w:pPr>
      <w:r>
        <w:t xml:space="preserve">The stable identifier of the registered FERNS source that produced this response — for example inaturalist, usda_plants, mnfi. This is the source’s identity in the FERNS source registry. It tells a consumer which source spoke without having to read a URL. Always present, for every source type.</w:t>
      </w:r>
    </w:p>
    <w:p>
      <w:pPr>
        <w:spacing w:after="40" w:before="160"/>
      </w:pPr>
      <w:r>
        <w:rPr>
          <w:rFonts w:ascii="Consolas" w:cs="Consolas" w:eastAsia="Consolas" w:hAnsi="Consolas"/>
          <w:b/>
          <w:bCs/>
          <w:sz w:val="22"/>
          <w:szCs w:val="22"/>
        </w:rPr>
        <w:t xml:space="preserve">source_url</w:t>
      </w:r>
    </w:p>
    <w:p>
      <w:pPr>
        <w:spacing w:after="60"/>
      </w:pPr>
      <w:r>
        <w:rPr>
          <w:b/>
          <w:bCs/>
          <w:sz w:val="20"/>
          <w:szCs w:val="20"/>
        </w:rPr>
        <w:t xml:space="preserve">Type: </w:t>
      </w:r>
      <w:r>
        <w:rPr>
          <w:sz w:val="20"/>
          <w:szCs w:val="20"/>
        </w:rPr>
        <w:t xml:space="preserve">string, or null</w:t>
      </w:r>
    </w:p>
    <w:p>
      <w:pPr>
        <w:spacing w:after="80"/>
      </w:pPr>
      <w:r>
        <w:t xml:space="preserve">The exact upstream endpoint FERNS contacted to obtain this data — the reproducibility trail. For a single-source proxy this is the precise URL that was called. For a source that contacts no external system — an in-memory table or a pure algorithm — this is null. null is a real, intended value here; it means “no external call exists,” which is different from the field being absent or forgotten.</w:t>
      </w:r>
    </w:p>
    <w:p>
      <w:pPr>
        <w:spacing w:after="40" w:before="160"/>
      </w:pPr>
      <w:r>
        <w:rPr>
          <w:rFonts w:ascii="Consolas" w:cs="Consolas" w:eastAsia="Consolas" w:hAnsi="Consolas"/>
          <w:b/>
          <w:bCs/>
          <w:sz w:val="22"/>
          <w:szCs w:val="22"/>
        </w:rPr>
        <w:t xml:space="preserve">method</w:t>
      </w:r>
    </w:p>
    <w:p>
      <w:pPr>
        <w:spacing w:after="60"/>
      </w:pPr>
      <w:r>
        <w:rPr>
          <w:b/>
          <w:bCs/>
          <w:sz w:val="20"/>
          <w:szCs w:val="20"/>
        </w:rPr>
        <w:t xml:space="preserve">Type: </w:t>
      </w:r>
      <w:r>
        <w:rPr>
          <w:sz w:val="20"/>
          <w:szCs w:val="20"/>
        </w:rPr>
        <w:t xml:space="preserve">string — fixed set of values (see enumeration below)</w:t>
      </w:r>
    </w:p>
    <w:p>
      <w:pPr>
        <w:spacing w:after="80"/>
      </w:pPr>
      <w:r>
        <w:t xml:space="preserve">How FERNS obtained this response. The value comes from a fixed set; any value outside that set is a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api_fetch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FERNS called a live upstream API to obtain this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cache_hit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FERNS served this from its own stored copy. No upstream call was made on this request. This also covers an in-memory table source, whose data permanently lives inside FERNS.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computed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source calculated this result. Used for both pure algorithms and multi-source algorithms.</w:t>
            </w:r>
          </w:p>
        </w:tc>
      </w:tr>
    </w:tbl>
    <w:p>
      <w:pPr>
        <w:spacing w:after="40" w:before="160"/>
      </w:pPr>
      <w:r>
        <w:rPr>
          <w:rFonts w:ascii="Consolas" w:cs="Consolas" w:eastAsia="Consolas" w:hAnsi="Consolas"/>
          <w:b/>
          <w:bCs/>
          <w:sz w:val="22"/>
          <w:szCs w:val="22"/>
        </w:rPr>
        <w:t xml:space="preserve">cache_status</w:t>
      </w:r>
    </w:p>
    <w:p>
      <w:pPr>
        <w:spacing w:after="60"/>
      </w:pPr>
      <w:r>
        <w:rPr>
          <w:b/>
          <w:bCs/>
          <w:sz w:val="20"/>
          <w:szCs w:val="20"/>
        </w:rPr>
        <w:t xml:space="preserve">Type: </w:t>
      </w:r>
      <w:r>
        <w:rPr>
          <w:sz w:val="20"/>
          <w:szCs w:val="20"/>
        </w:rPr>
        <w:t xml:space="preserve">string — fixed set of values (see enumeration below)</w:t>
      </w:r>
    </w:p>
    <w:p>
      <w:pPr>
        <w:spacing w:after="80" w:before="80"/>
      </w:pPr>
      <w:r>
        <w:t xml:space="preserve">Describes this response’s relationship to the FERNS cache. The value comes from a fixed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Served from the cache.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miss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in the cache; fetched fresh and then stored.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Served from the cache, but the stored copy is past its freshness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bypass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Caching does not apply to this source — for example a computed source, or a source deliberately never cached. Use this rather than reporting a misleading miss.</w:t>
            </w:r>
          </w:p>
        </w:tc>
      </w:tr>
    </w:tbl>
    <w:p>
      <w:pPr>
        <w:spacing w:after="40" w:before="160"/>
      </w:pPr>
      <w:r>
        <w:rPr>
          <w:rFonts w:ascii="Consolas" w:cs="Consolas" w:eastAsia="Consolas" w:hAnsi="Consolas"/>
          <w:b/>
          <w:bCs/>
          <w:sz w:val="22"/>
          <w:szCs w:val="22"/>
        </w:rPr>
        <w:t xml:space="preserve">queried_at</w:t>
      </w:r>
    </w:p>
    <w:p>
      <w:pPr>
        <w:spacing w:after="60"/>
      </w:pPr>
      <w:r>
        <w:rPr>
          <w:b/>
          <w:bCs/>
          <w:sz w:val="20"/>
          <w:szCs w:val="20"/>
        </w:rPr>
        <w:t xml:space="preserve">Type: </w:t>
      </w:r>
      <w:r>
        <w:rPr>
          <w:sz w:val="20"/>
          <w:szCs w:val="20"/>
        </w:rPr>
        <w:t xml:space="preserve">string — ISO 8601 timestamp, e.g. 2026-05-19T14:30:00Z</w:t>
      </w:r>
    </w:p>
    <w:p>
      <w:pPr>
        <w:spacing w:after="80"/>
      </w:pPr>
      <w:r>
        <w:t xml:space="preserve">When FERNS obtained this data. For a live fetch, the moment of the fetch. For a cache hit, the moment the cached copy was originally fetched — not the moment it was served — so a consumer can judge the data’s real age. For a computed source, the moment the computation ran.</w:t>
      </w:r>
    </w:p>
    <w:p>
      <w:pPr>
        <w:spacing w:after="40" w:before="160"/>
      </w:pPr>
      <w:r>
        <w:rPr>
          <w:rFonts w:ascii="Consolas" w:cs="Consolas" w:eastAsia="Consolas" w:hAnsi="Consolas"/>
          <w:b/>
          <w:bCs/>
          <w:sz w:val="22"/>
          <w:szCs w:val="22"/>
        </w:rPr>
        <w:t xml:space="preserve">derived_from</w:t>
      </w:r>
    </w:p>
    <w:p>
      <w:pPr>
        <w:spacing w:after="60"/>
      </w:pPr>
      <w:r>
        <w:rPr>
          <w:b/>
          <w:bCs/>
          <w:sz w:val="20"/>
          <w:szCs w:val="20"/>
        </w:rPr>
        <w:t xml:space="preserve">Type: </w:t>
      </w:r>
      <w:r>
        <w:rPr>
          <w:sz w:val="20"/>
          <w:szCs w:val="20"/>
        </w:rPr>
        <w:t xml:space="preserve">array, or null</w:t>
      </w:r>
    </w:p>
    <w:p>
      <w:pPr>
        <w:spacing w:after="80"/>
      </w:pPr>
      <w:r>
        <w:t xml:space="preserve">Names the FERNS sources a computed source drew upon. null for any source that is not derived from other FERNS sources — an in-memory table, a single-source proxy, or a pure algorithm that reaches to nothing. For a multi-source algorithm, this is the list of contributing sources. Each entry records the source_id of a dependency and the queried_at of the data drawn from it, so the full derivation can be traced.</w:t>
      </w:r>
    </w:p>
    <w:p>
      <w:pPr>
        <w:shd w:fill="F2F2F2" w:val="clear"/>
        <w:spacing w:after="0"/>
        <w:ind w:left="240"/>
      </w:pPr>
      <w:r>
        <w:rPr>
          <w:rFonts w:ascii="Consolas" w:cs="Consolas" w:eastAsia="Consolas" w:hAnsi="Consolas"/>
          <w:sz w:val="19"/>
          <w:szCs w:val="19"/>
        </w:rPr>
        <w:t xml:space="preserve">"derived_from": [</w:t>
      </w:r>
    </w:p>
    <w:p>
      <w:pPr>
        <w:shd w:fill="F2F2F2" w:val="clear"/>
        <w:spacing w:after="0"/>
        <w:ind w:left="240"/>
      </w:pPr>
      <w:r>
        <w:rPr>
          <w:rFonts w:ascii="Consolas" w:cs="Consolas" w:eastAsia="Consolas" w:hAnsi="Consolas"/>
          <w:sz w:val="19"/>
          <w:szCs w:val="19"/>
        </w:rPr>
        <w:t xml:space="preserve">  { "source_id": "inaturalist", "queried_at": "..." },</w:t>
      </w:r>
    </w:p>
    <w:p>
      <w:pPr>
        <w:shd w:fill="F2F2F2" w:val="clear"/>
        <w:spacing w:after="0"/>
        <w:ind w:left="240"/>
      </w:pPr>
      <w:r>
        <w:rPr>
          <w:rFonts w:ascii="Consolas" w:cs="Consolas" w:eastAsia="Consolas" w:hAnsi="Consolas"/>
          <w:sz w:val="19"/>
          <w:szCs w:val="19"/>
        </w:rPr>
        <w:t xml:space="preserve">  { "source_id": "gbif",        "queried_at": "..." }</w:t>
      </w:r>
    </w:p>
    <w:p>
      <w:pPr>
        <w:shd w:fill="F2F2F2" w:val="clear"/>
        <w:spacing w:after="160"/>
        <w:ind w:left="240"/>
      </w:pPr>
      <w:r>
        <w:rPr>
          <w:rFonts w:ascii="Consolas" w:cs="Consolas" w:eastAsia="Consolas" w:hAnsi="Consolas"/>
          <w:sz w:val="19"/>
          <w:szCs w:val="19"/>
        </w:rPr>
        <w:t xml:space="preserve">]</w:t>
      </w:r>
    </w:p>
    <w:p>
      <w:pPr>
        <w:spacing w:after="40" w:before="160"/>
      </w:pPr>
      <w:r>
        <w:rPr>
          <w:rFonts w:ascii="Consolas" w:cs="Consolas" w:eastAsia="Consolas" w:hAnsi="Consolas"/>
          <w:b/>
          <w:bCs/>
          <w:sz w:val="22"/>
          <w:szCs w:val="22"/>
        </w:rPr>
        <w:t xml:space="preserve">license</w:t>
      </w:r>
    </w:p>
    <w:p>
      <w:pPr>
        <w:spacing w:after="60"/>
      </w:pPr>
      <w:r>
        <w:rPr>
          <w:b/>
          <w:bCs/>
          <w:sz w:val="20"/>
          <w:szCs w:val="20"/>
        </w:rPr>
        <w:t xml:space="preserve">Type: </w:t>
      </w:r>
      <w:r>
        <w:rPr>
          <w:sz w:val="20"/>
          <w:szCs w:val="20"/>
        </w:rPr>
        <w:t xml:space="preserve">string — a license URI, or the literal string "unknown"</w:t>
      </w:r>
    </w:p>
    <w:p>
      <w:pPr>
        <w:spacing w:after="80"/>
      </w:pPr>
      <w:r>
        <w:t xml:space="preserve">The single most restrictive license that applies to any part of data. This is deliberately the most restrictive, not the most common: a consumer who reads only this field and obeys it will under-use the data, never violate a license. When the rights cannot be determined at all, the value is the literal string unknown. For a computed source, this is the most restrictive license found across everything listed in derived_from.</w:t>
      </w:r>
    </w:p>
    <w:p>
      <w:pPr>
        <w:spacing w:after="40" w:before="160"/>
      </w:pPr>
      <w:r>
        <w:rPr>
          <w:rFonts w:ascii="Consolas" w:cs="Consolas" w:eastAsia="Consolas" w:hAnsi="Consolas"/>
          <w:b/>
          <w:bCs/>
          <w:sz w:val="22"/>
          <w:szCs w:val="22"/>
        </w:rPr>
        <w:t xml:space="preserve">rights</w:t>
      </w:r>
    </w:p>
    <w:p>
      <w:pPr>
        <w:spacing w:after="60"/>
      </w:pPr>
      <w:r>
        <w:rPr>
          <w:b/>
          <w:bCs/>
          <w:sz w:val="20"/>
          <w:szCs w:val="20"/>
        </w:rPr>
        <w:t xml:space="preserve">Type: </w:t>
      </w:r>
      <w:r>
        <w:rPr>
          <w:sz w:val="20"/>
          <w:szCs w:val="20"/>
        </w:rPr>
        <w:t xml:space="preserve">string — free text</w:t>
      </w:r>
    </w:p>
    <w:p>
      <w:pPr>
        <w:spacing w:after="80"/>
      </w:pPr>
      <w:r>
        <w:t xml:space="preserve">A human-readable rights statement. Where data contains parts under different licenses — for example observation records under one license and photographs under another — this text describes that breakdown, names the rights holder where known, and states any condition the license URI alone cannot express. When FERNS supplies a rights statement that the source itself did not provide, that fact is stated here in plain language.</w:t>
      </w:r>
    </w:p>
    <w:p>
      <w:pPr>
        <w:pStyle w:val="Heading1"/>
      </w:pPr>
      <w:r>
        <w:t xml:space="preserve">The data field</w:t>
      </w:r>
    </w:p>
    <w:p>
      <w:pPr>
        <w:spacing w:after="40" w:before="160"/>
      </w:pPr>
      <w:r>
        <w:rPr>
          <w:rFonts w:ascii="Consolas" w:cs="Consolas" w:eastAsia="Consolas" w:hAnsi="Consolas"/>
          <w:b/>
          <w:bCs/>
          <w:sz w:val="22"/>
          <w:szCs w:val="22"/>
        </w:rPr>
        <w:t xml:space="preserve">data</w:t>
      </w:r>
    </w:p>
    <w:p>
      <w:pPr>
        <w:spacing w:after="60"/>
      </w:pPr>
      <w:r>
        <w:rPr>
          <w:b/>
          <w:bCs/>
          <w:sz w:val="20"/>
          <w:szCs w:val="20"/>
        </w:rPr>
        <w:t xml:space="preserve">Type: </w:t>
      </w:r>
      <w:r>
        <w:rPr>
          <w:sz w:val="20"/>
          <w:szCs w:val="20"/>
        </w:rPr>
        <w:t xml:space="preserve">object or array — shape determined entirely by the source</w:t>
      </w:r>
    </w:p>
    <w:p>
      <w:pPr>
        <w:spacing w:after="80"/>
      </w:pPr>
      <w:r>
        <w:t xml:space="preserve">The verbatim payload the source produced. The same field names, the same structure, and the same content the source returned. FERNS adds nothing to it and removes nothing from it.</w:t>
      </w:r>
    </w:p>
    <w:p>
      <w:pPr>
        <w:spacing w:after="120"/>
      </w:pPr>
      <w:r>
        <w:t xml:space="preserve">If a source includes its own rights or licensing information as part of its response — for instance a well-formed source that attaches a license to each element it returns — that information stays inside data, because the source produced it. The provenance.license and provenance.rights fields are FERNS’s summary across the whole response; they do not replace, relocate, or override rights information a source places in its own payload.</w:t>
      </w:r>
    </w:p>
    <w:p>
      <w:pPr>
        <w:spacing w:after="120"/>
      </w:pPr>
      <w:r>
        <w:t xml:space="preserve">Any deviation from verbatim reproduction must be explicit and documented in the source’s own specification. The default, and the expectation, is faithful mirroring.</w:t>
      </w:r>
    </w:p>
    <w:p>
      <w:pPr>
        <w:pStyle w:val="Heading1"/>
      </w:pPr>
      <w:r>
        <w:t xml:space="preserve">Enumerations — quick reference</w:t>
      </w:r>
    </w:p>
    <w:p>
      <w:pPr>
        <w:spacing w:after="120"/>
      </w:pPr>
      <w:r>
        <w:t xml:space="preserve">Three fields carry a fixed set of values. A source returning a value outside these sets is producing a defective response, and a validation check should reject it.</w:t>
      </w:r>
    </w:p>
    <w:p>
      <w:pPr>
        <w:spacing w:after="120"/>
      </w:pPr>
      <w:r>
        <w:rPr>
          <w:b/>
          <w:bCs/>
        </w:rPr>
        <w:t xml:space="preserve">method</w:t>
      </w:r>
    </w:p>
    <w:p>
      <w:pPr>
        <w:pStyle w:val="ListParagraph"/>
        <w:numPr>
          <w:ilvl w:val="0"/>
          <w:numId w:val="2"/>
        </w:numPr>
        <w:spacing w:after="60"/>
      </w:pPr>
      <w:r>
        <w:t xml:space="preserve">api_fetch  ·  cache_hit  ·  computed</w:t>
      </w:r>
    </w:p>
    <w:p>
      <w:pPr>
        <w:spacing w:after="120"/>
      </w:pPr>
      <w:r>
        <w:rPr>
          <w:b/>
          <w:bCs/>
        </w:rPr>
        <w:t xml:space="preserve">cache_status</w:t>
      </w:r>
    </w:p>
    <w:p>
      <w:pPr>
        <w:pStyle w:val="ListParagraph"/>
        <w:numPr>
          <w:ilvl w:val="0"/>
          <w:numId w:val="2"/>
        </w:numPr>
        <w:spacing w:after="60"/>
      </w:pPr>
      <w:r>
        <w:t xml:space="preserve">hit  ·  miss  ·  stale  ·  bypass</w:t>
      </w:r>
    </w:p>
    <w:p>
      <w:pPr>
        <w:spacing w:after="120"/>
      </w:pPr>
      <w:r>
        <w:rPr>
          <w:b/>
          <w:bCs/>
        </w:rPr>
        <w:t xml:space="preserve">license</w:t>
      </w:r>
    </w:p>
    <w:p>
      <w:pPr>
        <w:pStyle w:val="ListParagraph"/>
        <w:numPr>
          <w:ilvl w:val="0"/>
          <w:numId w:val="2"/>
        </w:numPr>
        <w:spacing w:after="60"/>
      </w:pPr>
      <w:r>
        <w:t xml:space="preserve">A license URI (an open-ended value drawn from real-world licenses), or the literal string unknown. This is not a closed set like the other two — it is a URI, with one defined escape value.</w:t>
      </w:r>
    </w:p>
    <w:p>
      <w:pPr>
        <w:pStyle w:val="Heading1"/>
      </w:pPr>
      <w:r>
        <w:t xml:space="preserve">How each source type fills the envelope</w:t>
      </w:r>
    </w:p>
    <w:p>
      <w:pPr>
        <w:spacing w:after="120"/>
      </w:pPr>
      <w:r>
        <w:t xml:space="preserve">The same envelope, four source types. This section shows the fields that differ; fields not mentioned behave normally.</w:t>
      </w:r>
    </w:p>
    <w:p>
      <w:pPr>
        <w:pStyle w:val="Heading2"/>
      </w:pPr>
      <w:r>
        <w:t xml:space="preserve">In-memory table</w:t>
      </w:r>
    </w:p>
    <w:p>
      <w:pPr>
        <w:pStyle w:val="ListParagraph"/>
        <w:numPr>
          <w:ilvl w:val="0"/>
          <w:numId w:val="2"/>
        </w:numPr>
        <w:spacing w:after="60"/>
      </w:pPr>
      <w:r>
        <w:t xml:space="preserve">method: cache_hit — the data permanently lives inside FERNS.</w:t>
      </w:r>
    </w:p>
    <w:p>
      <w:pPr>
        <w:pStyle w:val="ListParagraph"/>
        <w:numPr>
          <w:ilvl w:val="0"/>
          <w:numId w:val="2"/>
        </w:numPr>
        <w:spacing w:after="60"/>
      </w:pPr>
      <w:r>
        <w:t xml:space="preserve">cache_status: hit.</w:t>
      </w:r>
    </w:p>
    <w:p>
      <w:pPr>
        <w:pStyle w:val="ListParagraph"/>
        <w:numPr>
          <w:ilvl w:val="0"/>
          <w:numId w:val="2"/>
        </w:numPr>
        <w:spacing w:after="60"/>
      </w:pPr>
      <w:r>
        <w:t xml:space="preserve">source_url: null — no external system is contacted.</w:t>
      </w:r>
    </w:p>
    <w:p>
      <w:pPr>
        <w:pStyle w:val="ListParagraph"/>
        <w:numPr>
          <w:ilvl w:val="0"/>
          <w:numId w:val="2"/>
        </w:numPr>
        <w:spacing w:after="60"/>
      </w:pPr>
      <w:r>
        <w:t xml:space="preserve">derived_from: null.</w:t>
      </w:r>
    </w:p>
    <w:p>
      <w:pPr>
        <w:pStyle w:val="Heading2"/>
      </w:pPr>
      <w:r>
        <w:t xml:space="preserve">Pure algorithm</w:t>
      </w:r>
    </w:p>
    <w:p>
      <w:pPr>
        <w:pStyle w:val="ListParagraph"/>
        <w:numPr>
          <w:ilvl w:val="0"/>
          <w:numId w:val="2"/>
        </w:numPr>
        <w:spacing w:after="60"/>
      </w:pPr>
      <w:r>
        <w:t xml:space="preserve">method: computed.</w:t>
      </w:r>
    </w:p>
    <w:p>
      <w:pPr>
        <w:pStyle w:val="ListParagraph"/>
        <w:numPr>
          <w:ilvl w:val="0"/>
          <w:numId w:val="2"/>
        </w:numPr>
        <w:spacing w:after="60"/>
      </w:pPr>
      <w:r>
        <w:t xml:space="preserve">cache_status: bypass — caching does not apply.</w:t>
      </w:r>
    </w:p>
    <w:p>
      <w:pPr>
        <w:pStyle w:val="ListParagraph"/>
        <w:numPr>
          <w:ilvl w:val="0"/>
          <w:numId w:val="2"/>
        </w:numPr>
        <w:spacing w:after="60"/>
      </w:pPr>
      <w:r>
        <w:t xml:space="preserve">source_url: null — it reaches to nothing.</w:t>
      </w:r>
    </w:p>
    <w:p>
      <w:pPr>
        <w:pStyle w:val="ListParagraph"/>
        <w:numPr>
          <w:ilvl w:val="0"/>
          <w:numId w:val="2"/>
        </w:numPr>
        <w:spacing w:after="60"/>
      </w:pPr>
      <w:r>
        <w:t xml:space="preserve">derived_from: null — it depends on no other FERNS source.</w:t>
      </w:r>
    </w:p>
    <w:p>
      <w:pPr>
        <w:pStyle w:val="Heading2"/>
      </w:pPr>
      <w:r>
        <w:t xml:space="preserve">Single-source proxy</w:t>
      </w:r>
    </w:p>
    <w:p>
      <w:pPr>
        <w:pStyle w:val="ListParagraph"/>
        <w:numPr>
          <w:ilvl w:val="0"/>
          <w:numId w:val="2"/>
        </w:numPr>
        <w:spacing w:after="60"/>
      </w:pPr>
      <w:r>
        <w:t xml:space="preserve">method: api_fetch on a live call, or cache_hit when served from the cache.</w:t>
      </w:r>
    </w:p>
    <w:p>
      <w:pPr>
        <w:pStyle w:val="ListParagraph"/>
        <w:numPr>
          <w:ilvl w:val="0"/>
          <w:numId w:val="2"/>
        </w:numPr>
        <w:spacing w:after="60"/>
      </w:pPr>
      <w:r>
        <w:t xml:space="preserve">cache_status: hit, miss, or stale as applicable.</w:t>
      </w:r>
    </w:p>
    <w:p>
      <w:pPr>
        <w:pStyle w:val="ListParagraph"/>
        <w:numPr>
          <w:ilvl w:val="0"/>
          <w:numId w:val="2"/>
        </w:numPr>
        <w:spacing w:after="60"/>
      </w:pPr>
      <w:r>
        <w:t xml:space="preserve">source_url: the exact upstream endpoint that was called.</w:t>
      </w:r>
    </w:p>
    <w:p>
      <w:pPr>
        <w:pStyle w:val="ListParagraph"/>
        <w:numPr>
          <w:ilvl w:val="0"/>
          <w:numId w:val="2"/>
        </w:numPr>
        <w:spacing w:after="60"/>
      </w:pPr>
      <w:r>
        <w:t xml:space="preserve">derived_from: null — it draws on one upstream, not on other FERNS sources.</w:t>
      </w:r>
    </w:p>
    <w:p>
      <w:pPr>
        <w:pStyle w:val="Heading2"/>
      </w:pPr>
      <w:r>
        <w:t xml:space="preserve">Multi-source algorithm</w:t>
      </w:r>
    </w:p>
    <w:p>
      <w:pPr>
        <w:pStyle w:val="ListParagraph"/>
        <w:numPr>
          <w:ilvl w:val="0"/>
          <w:numId w:val="2"/>
        </w:numPr>
        <w:spacing w:after="60"/>
      </w:pPr>
      <w:r>
        <w:t xml:space="preserve">method: computed.</w:t>
      </w:r>
    </w:p>
    <w:p>
      <w:pPr>
        <w:pStyle w:val="ListParagraph"/>
        <w:numPr>
          <w:ilvl w:val="0"/>
          <w:numId w:val="2"/>
        </w:numPr>
        <w:spacing w:after="60"/>
      </w:pPr>
      <w:r>
        <w:t xml:space="preserve">cache_status: bypass, unless the computed result is itself cached.</w:t>
      </w:r>
    </w:p>
    <w:p>
      <w:pPr>
        <w:pStyle w:val="ListParagraph"/>
        <w:numPr>
          <w:ilvl w:val="0"/>
          <w:numId w:val="2"/>
        </w:numPr>
        <w:spacing w:after="60"/>
      </w:pPr>
      <w:r>
        <w:t xml:space="preserve">source_url: null — the computation has no single upstream endpoint.</w:t>
      </w:r>
    </w:p>
    <w:p>
      <w:pPr>
        <w:pStyle w:val="ListParagraph"/>
        <w:numPr>
          <w:ilvl w:val="0"/>
          <w:numId w:val="2"/>
        </w:numPr>
        <w:spacing w:after="60"/>
      </w:pPr>
      <w:r>
        <w:t xml:space="preserve">derived_from: the list of contributing FERNS sources, each with its source_id and queried_at.</w:t>
      </w:r>
    </w:p>
    <w:p>
      <w:pPr>
        <w:pStyle w:val="ListParagraph"/>
        <w:numPr>
          <w:ilvl w:val="0"/>
          <w:numId w:val="2"/>
        </w:numPr>
        <w:spacing w:after="60"/>
      </w:pPr>
      <w:r>
        <w:t xml:space="preserve">license: the most restrictive license across every source in derived_from.</w:t>
      </w:r>
    </w:p>
    <w:p>
      <w:pPr>
        <w:pStyle w:val="Heading1"/>
      </w:pPr>
      <w:r>
        <w:t xml:space="preserve">What this contract does not yet cover</w:t>
      </w:r>
    </w:p>
    <w:p>
      <w:pPr>
        <w:spacing w:after="120"/>
      </w:pPr>
      <w:r>
        <w:t xml:space="preserve">These items are deliberately left for later. They are recorded here so they are not forgotten, and so that no one assumes the omission was an oversight.</w:t>
      </w:r>
    </w:p>
    <w:p>
      <w:pPr>
        <w:pStyle w:val="ListParagraph"/>
        <w:numPr>
          <w:ilvl w:val="0"/>
          <w:numId w:val="2"/>
        </w:numPr>
        <w:spacing w:after="60"/>
      </w:pPr>
      <w:r>
        <w:t xml:space="preserve">Whether FERNS should derive provenance.license by reading per-element rights inside a source’s data, or assert it from the source’s registered site-wide policy. Reading the payload is more accurate but means FERNS interprets source-specific structures.</w:t>
      </w:r>
    </w:p>
    <w:p>
      <w:pPr>
        <w:pStyle w:val="ListParagraph"/>
        <w:numPr>
          <w:ilvl w:val="0"/>
          <w:numId w:val="2"/>
        </w:numPr>
        <w:spacing w:after="60"/>
      </w:pPr>
      <w:r>
        <w:t xml:space="preserve">Whether the FERNS-asserted nature of a supplied rights statement should also be carried as a separate machine-checkable flag, in addition to being stated in the rights text.</w:t>
      </w:r>
    </w:p>
    <w:p>
      <w:pPr>
        <w:pStyle w:val="ListParagraph"/>
        <w:numPr>
          <w:ilvl w:val="0"/>
          <w:numId w:val="2"/>
        </w:numPr>
        <w:spacing w:after="60"/>
      </w:pPr>
      <w:r>
        <w:t xml:space="preserve">The error condition — how a genuine failure is reported — as distinct from found: false, which reports honest absence. This contract defines the success and absence cases; the failure case is its own piece of work.</w:t>
      </w:r>
    </w:p>
    <w:p>
      <w:pPr>
        <w:spacing w:before="320"/>
      </w:pPr>
      <w:r>
        <w:rPr>
          <w:color w:val="888888"/>
          <w:sz w:val="18"/>
          <w:szCs w:val="18"/>
        </w:rPr>
        <w:t xml:space="preserve">Prepared for Ecological Commons / FERNS · Parker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2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6B3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2026-05-19T21:34:38.763Z</dcterms:created>
  <dcterms:modified xsi:type="dcterms:W3CDTF">2026-05-19T21:34:38.764Z</dcterms:modified>
</cp:coreProperties>
</file>

<file path=docProps/custom.xml><?xml version="1.0" encoding="utf-8"?>
<Properties xmlns="http://schemas.openxmlformats.org/officeDocument/2006/custom-properties" xmlns:vt="http://schemas.openxmlformats.org/officeDocument/2006/docPropsVTypes"/>
</file>