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FERNS Trust Layer</w:t>
      </w:r>
    </w:p>
    <w:p>
      <w:pPr>
        <w:spacing w:after="240"/>
        <w:jc w:val="center"/>
      </w:pPr>
      <w:r>
        <w:rPr>
          <w:i/>
          <w:iCs/>
          <w:sz w:val="28"/>
          <w:szCs w:val="28"/>
        </w:rPr>
        <w:t xml:space="preserve">Technical Specification</w:t>
      </w:r>
    </w:p>
    <w:p>
      <w:pPr>
        <w:spacing w:after="360"/>
        <w:jc w:val="center"/>
      </w:pPr>
      <w:r>
        <w:rPr>
          <w:i/>
          <w:iCs/>
        </w:rPr>
        <w:t xml:space="preserve">A specification for implementing the trust layer within FERNS as a perspective filter over the source registry. Companion to the Naming Layer technical specification.</w:t>
      </w:r>
    </w:p>
    <w:p>
      <w:pPr>
        <w:pStyle w:val="Heading1"/>
      </w:pPr>
      <w:r>
        <w:t xml:space="preserve">Overview</w:t>
      </w:r>
    </w:p>
    <w:p>
      <w:r>
        <w:t xml:space="preserve">The trust layer expresses that, for a given context of work, some sources matter more than others. Different work calls for different sources; different geographic regions are best served by different sources; different disciplines trust different authorities. There is no single correct ranking. The trust layer is the place where context-specific preferences become first-class, legible, and reusable across applications.</w:t>
      </w:r>
    </w:p>
    <w:p>
      <w:r>
        <w:t xml:space="preserve">A trust group is a named, ordered set of tiers. Each tier contains a set of FERNS sources. A consumer that adopts a trust group sees, for that context, only those sources, organized in that order. The data layer is not modified. Source response payloads are not modified. The trust group is a view onto the existing registry.</w:t>
      </w:r>
    </w:p>
    <w:p>
      <w:r>
        <w:t xml:space="preserve">At MVP, the trust layer exposes a single new endpoint family: a listing API that returns the sources of a trust group, organized by tier. Applications and agents consume the listing and make their own calls to existing FERNS endpoints. The trust layer never sits in the path of an actual data call.</w:t>
      </w:r>
    </w:p>
    <w:p>
      <w:r>
        <w:t xml:space="preserve">Trust groups are managed through an unpublished UI within the existing FERNS site. There is no documented write API and no authentication system at MVP.</w:t>
      </w:r>
    </w:p>
    <w:p>
      <w:pPr>
        <w:pStyle w:val="Heading1"/>
      </w:pPr>
      <w:r>
        <w:t xml:space="preserve">Architectural placement</w:t>
      </w:r>
    </w:p>
    <w:p>
      <w:r>
        <w:t xml:space="preserve">The trust layer is the sibling of the naming layer. Both are perspective filters over the data layer. Both refuse to modify the substrate. Both add wrapper metadata to API responses without altering source payloads. Both can be composed with each other and with future perspective layers.</w:t>
      </w:r>
    </w:p>
    <w:p>
      <w:r>
        <w:t xml:space="preserve">The naming layer expresses: from my naming tradition, reach the data. The trust layer expresses: from my work context, prefer these sources. The naming layer translates between names at query time. The trust layer narrows the source set at registry time.</w:t>
      </w:r>
    </w:p>
    <w:p>
      <w:r>
        <w:t xml:space="preserve">When both layers are in use, the trust layer is the outer filter. A consumer first asks the trust layer which sources it should see. The consumer then makes calls to those sources, optionally through the concept-aware naming endpoints. The naming layer iterates over whatever source set the trust layer surfaced. The naming layer does not need to be trust-aware; the trust layer does not need to be naming-aware.</w:t>
      </w:r>
    </w:p>
    <w:p>
      <w:pPr>
        <w:pStyle w:val="Heading1"/>
      </w:pPr>
      <w:r>
        <w:t xml:space="preserve">Data model</w:t>
      </w:r>
    </w:p>
    <w:p>
      <w:r>
        <w:t xml:space="preserve">Three structures: trust groups, tiers, and tier membership.</w:t>
      </w:r>
    </w:p>
    <w:p>
      <w:pPr>
        <w:pStyle w:val="Heading2"/>
      </w:pPr>
      <w:r>
        <w:t xml:space="preserve">The trust group</w:t>
      </w:r>
    </w:p>
    <w:p>
      <w:r>
        <w:t xml:space="preserve">A trust group has:</w:t>
      </w:r>
    </w:p>
    <w:p>
      <w:pPr>
        <w:pStyle w:val="ListParagraph"/>
        <w:numPr>
          <w:ilvl w:val="0"/>
          <w:numId w:val="2"/>
        </w:numPr>
      </w:pPr>
      <w:r>
        <w:t xml:space="preserve">group_id: a UUID, internal.</w:t>
      </w:r>
    </w:p>
    <w:p>
      <w:pPr>
        <w:pStyle w:val="ListParagraph"/>
        <w:numPr>
          <w:ilvl w:val="0"/>
          <w:numId w:val="2"/>
        </w:numPr>
      </w:pPr>
      <w:r>
        <w:t xml:space="preserve">slug: a URL-safe identifier, owner-supplied or auto-generated from the group name. Used in API paths. Example: jparker-southeast-michigan.</w:t>
      </w:r>
    </w:p>
    <w:p>
      <w:pPr>
        <w:pStyle w:val="ListParagraph"/>
        <w:numPr>
          <w:ilvl w:val="0"/>
          <w:numId w:val="2"/>
        </w:numPr>
      </w:pPr>
      <w:r>
        <w:t xml:space="preserve">name: a human-readable name. Example: Jonathan Parker — Southeast Michigan.</w:t>
      </w:r>
    </w:p>
    <w:p>
      <w:pPr>
        <w:pStyle w:val="ListParagraph"/>
        <w:numPr>
          <w:ilvl w:val="0"/>
          <w:numId w:val="2"/>
        </w:numPr>
      </w:pPr>
      <w:r>
        <w:t xml:space="preserve">owner_email: a single email address identifying the owner of the group. No account is created; the email is metadata only.</w:t>
      </w:r>
    </w:p>
    <w:p>
      <w:pPr>
        <w:pStyle w:val="ListParagraph"/>
        <w:numPr>
          <w:ilvl w:val="0"/>
          <w:numId w:val="2"/>
        </w:numPr>
      </w:pPr>
      <w:r>
        <w:t xml:space="preserve">geographic_region: optional free text. No validation, no controlled vocabulary. Examples: Southeast Michigan, Pacific Northwest, Lake Huron watershed.</w:t>
      </w:r>
    </w:p>
    <w:p>
      <w:pPr>
        <w:pStyle w:val="ListParagraph"/>
        <w:numPr>
          <w:ilvl w:val="0"/>
          <w:numId w:val="2"/>
        </w:numPr>
      </w:pPr>
      <w:r>
        <w:t xml:space="preserve">domain: optional free text. No validation, no controlled vocabulary. Examples: plants, mushrooms, geology, taxonomy, species associations, natural communities.</w:t>
      </w:r>
    </w:p>
    <w:p>
      <w:pPr>
        <w:pStyle w:val="ListParagraph"/>
        <w:numPr>
          <w:ilvl w:val="0"/>
          <w:numId w:val="2"/>
        </w:numPr>
      </w:pPr>
      <w:r>
        <w:t xml:space="preserve">description: optional free text for any additional context the owner wants to record.</w:t>
      </w:r>
    </w:p>
    <w:p>
      <w:pPr>
        <w:pStyle w:val="ListParagraph"/>
        <w:numPr>
          <w:ilvl w:val="0"/>
          <w:numId w:val="2"/>
        </w:numPr>
      </w:pPr>
      <w:r>
        <w:t xml:space="preserve">created_at: ISO 8601 timestamp.</w:t>
      </w:r>
    </w:p>
    <w:p>
      <w:pPr>
        <w:pStyle w:val="ListParagraph"/>
        <w:numPr>
          <w:ilvl w:val="0"/>
          <w:numId w:val="2"/>
        </w:numPr>
      </w:pPr>
      <w:r>
        <w:t xml:space="preserve">updated_at: ISO 8601 timestamp.</w:t>
      </w:r>
    </w:p>
    <w:p>
      <w:pPr>
        <w:pStyle w:val="Heading2"/>
      </w:pPr>
      <w:r>
        <w:t xml:space="preserve">The tier</w:t>
      </w:r>
    </w:p>
    <w:p>
      <w:r>
        <w:t xml:space="preserve">Tiers are ordered within a group. A tier has:</w:t>
      </w:r>
    </w:p>
    <w:p>
      <w:pPr>
        <w:pStyle w:val="ListParagraph"/>
        <w:numPr>
          <w:ilvl w:val="0"/>
          <w:numId w:val="2"/>
        </w:numPr>
      </w:pPr>
      <w:r>
        <w:t xml:space="preserve">tier_id: a UUID, internal.</w:t>
      </w:r>
    </w:p>
    <w:p>
      <w:pPr>
        <w:pStyle w:val="ListParagraph"/>
        <w:numPr>
          <w:ilvl w:val="0"/>
          <w:numId w:val="2"/>
        </w:numPr>
      </w:pPr>
      <w:r>
        <w:t xml:space="preserve">group_id: UUID of the parent trust group.</w:t>
      </w:r>
    </w:p>
    <w:p>
      <w:pPr>
        <w:pStyle w:val="ListParagraph"/>
        <w:numPr>
          <w:ilvl w:val="0"/>
          <w:numId w:val="2"/>
        </w:numPr>
      </w:pPr>
      <w:r>
        <w:t xml:space="preserve">position: integer, 1-indexed. Defines the order of the tier within the group.</w:t>
      </w:r>
    </w:p>
    <w:p>
      <w:pPr>
        <w:pStyle w:val="ListParagraph"/>
        <w:numPr>
          <w:ilvl w:val="0"/>
          <w:numId w:val="2"/>
        </w:numPr>
      </w:pPr>
      <w:r>
        <w:t xml:space="preserve">name: a human-readable name. Owner-supplied. Defaults to Tier 1, Tier 2, Tier 3, ... if not provided.</w:t>
      </w:r>
    </w:p>
    <w:p>
      <w:pPr>
        <w:pStyle w:val="Heading2"/>
      </w:pPr>
      <w:r>
        <w:t xml:space="preserve">Tier membership</w:t>
      </w:r>
    </w:p>
    <w:p>
      <w:r>
        <w:t xml:space="preserve">A tier-member record places a source in a tier. It has:</w:t>
      </w:r>
    </w:p>
    <w:p>
      <w:pPr>
        <w:pStyle w:val="ListParagraph"/>
        <w:numPr>
          <w:ilvl w:val="0"/>
          <w:numId w:val="2"/>
        </w:numPr>
      </w:pPr>
      <w:r>
        <w:t xml:space="preserve">tier_id: UUID of the tier.</w:t>
      </w:r>
    </w:p>
    <w:p>
      <w:pPr>
        <w:pStyle w:val="ListParagraph"/>
        <w:numPr>
          <w:ilvl w:val="0"/>
          <w:numId w:val="2"/>
        </w:numPr>
      </w:pPr>
      <w:r>
        <w:t xml:space="preserve">source_id: UUID of a FERNS source.</w:t>
      </w:r>
    </w:p>
    <w:p>
      <w:pPr>
        <w:pStyle w:val="ListParagraph"/>
        <w:numPr>
          <w:ilvl w:val="0"/>
          <w:numId w:val="2"/>
        </w:numPr>
      </w:pPr>
      <w:r>
        <w:t xml:space="preserve">added_at: ISO 8601 timestamp.</w:t>
      </w:r>
    </w:p>
    <w:p>
      <w:r>
        <w:t xml:space="preserve">A source can appear in only one tier within a given trust group. A source can appear in many trust groups. The same source can be in different tiers in different groups; this is the expected and intended behavior.</w:t>
      </w:r>
    </w:p>
    <w:p>
      <w:pPr>
        <w:pStyle w:val="Heading2"/>
      </w:pPr>
      <w:r>
        <w:t xml:space="preserve">The default group</w:t>
      </w:r>
    </w:p>
    <w:p>
      <w:r>
        <w:t xml:space="preserve">FERNS exposes one system-defined trust group named default. The default group contains a single tier named All Sources, which contains every source currently registered with FERNS. The default group is owned by the system; it has no owner_email. It cannot be edited through the UI. Membership in the default tier updates automatically whenever a new source is added to or removed from the registry.</w:t>
      </w:r>
    </w:p>
    <w:p>
      <w:r>
        <w:t xml:space="preserve">The default group exists so that the unfiltered listing behavior is itself representable as a trust group. Callers that ask for the default group get back every source, organized as a single tier. This means the trust layer has one consistent response shape across all calls; no caller has to handle a special unfiltered case.</w:t>
      </w:r>
    </w:p>
    <w:p>
      <w:pPr>
        <w:pStyle w:val="Heading1"/>
      </w:pPr>
      <w:r>
        <w:t xml:space="preserve">URL structure</w:t>
      </w:r>
    </w:p>
    <w:p>
      <w:r>
        <w:t xml:space="preserve">The trust layer adds one endpoint family under the existing API namespace, plus an unpublished UI path.</w:t>
      </w:r>
    </w:p>
    <w:p>
      <w:pPr>
        <w:pStyle w:val="Heading2"/>
      </w:pPr>
      <w:r>
        <w:t xml:space="preserve">Listing endpoints</w:t>
      </w:r>
    </w:p>
    <w:p>
      <w:pPr>
        <w:spacing w:after="60" w:before="60"/>
      </w:pPr>
      <w:r>
        <w:rPr>
          <w:rFonts w:ascii="Courier New" w:cs="Courier New" w:eastAsia="Courier New" w:hAnsi="Courier New"/>
          <w:sz w:val="20"/>
          <w:szCs w:val="20"/>
        </w:rPr>
        <w:t xml:space="preserve">GET /api/v1/trust-groups</w:t>
      </w:r>
    </w:p>
    <w:p>
      <w:r>
        <w:t xml:space="preserve">Returns the list of all trust groups with their metadata (slug, name, geographic_region, domain, description). Does not return tier or membership details.</w:t>
      </w:r>
    </w:p>
    <w:p>
      <w:r>
        <w:t xml:space="preserve"/>
      </w:r>
    </w:p>
    <w:p>
      <w:pPr>
        <w:spacing w:after="60" w:before="60"/>
      </w:pPr>
      <w:r>
        <w:rPr>
          <w:rFonts w:ascii="Courier New" w:cs="Courier New" w:eastAsia="Courier New" w:hAnsi="Courier New"/>
          <w:sz w:val="20"/>
          <w:szCs w:val="20"/>
        </w:rPr>
        <w:t xml:space="preserve">GET /api/v1/trust-groups/{slug}</w:t>
      </w:r>
    </w:p>
    <w:p>
      <w:r>
        <w:t xml:space="preserve">Returns the metadata for a single trust group, including its list of tiers (with names and positions). Does not return source details for each tier.</w:t>
      </w:r>
    </w:p>
    <w:p>
      <w:r>
        <w:t xml:space="preserve"/>
      </w:r>
    </w:p>
    <w:p>
      <w:pPr>
        <w:spacing w:after="60" w:before="60"/>
      </w:pPr>
      <w:r>
        <w:rPr>
          <w:rFonts w:ascii="Courier New" w:cs="Courier New" w:eastAsia="Courier New" w:hAnsi="Courier New"/>
          <w:sz w:val="20"/>
          <w:szCs w:val="20"/>
        </w:rPr>
        <w:t xml:space="preserve">GET /api/v1/trust-groups/{slug}/sources</w:t>
      </w:r>
    </w:p>
    <w:p>
      <w:r>
        <w:t xml:space="preserve">Returns the sources of the trust group, organized by tier. Each source object has exactly the same shape as the corresponding entry returned by GET /api/v1/sources. No new fields are added to source objects. The response is wrapped in a tier-grouped structure.</w:t>
      </w:r>
    </w:p>
    <w:p>
      <w:pPr>
        <w:pStyle w:val="Heading2"/>
      </w:pPr>
      <w:r>
        <w:t xml:space="preserve">UI</w:t>
      </w:r>
    </w:p>
    <w:p>
      <w:pPr>
        <w:spacing w:after="60" w:before="60"/>
      </w:pPr>
      <w:r>
        <w:rPr>
          <w:rFonts w:ascii="Courier New" w:cs="Courier New" w:eastAsia="Courier New" w:hAnsi="Courier New"/>
          <w:sz w:val="20"/>
          <w:szCs w:val="20"/>
        </w:rPr>
        <w:t xml:space="preserve">/trust-groups (within the FERNS site)</w:t>
      </w:r>
    </w:p>
    <w:p>
      <w:r>
        <w:t xml:space="preserve">Unpublished URL. Not linked from public navigation. Accessed by knowing the path. Provides creation, editing, tier management, and source assignment for trust groups. The UI communicates with internal endpoints that perform the writes; those endpoints are not part of the documented public API at MVP.</w:t>
      </w:r>
    </w:p>
    <w:p>
      <w:pPr>
        <w:pStyle w:val="Heading1"/>
      </w:pPr>
      <w:r>
        <w:t xml:space="preserve">Response shapes</w:t>
      </w:r>
    </w:p>
    <w:p>
      <w:pPr>
        <w:pStyle w:val="Heading2"/>
      </w:pPr>
      <w:r>
        <w:t xml:space="preserve">GET /api/v1/trust-groups</w:t>
      </w:r>
    </w:p>
    <w:p>
      <w:pPr>
        <w:spacing w:after="60" w:before="60"/>
      </w:pPr>
      <w:r>
        <w:rPr>
          <w:rFonts w:ascii="Courier New" w:cs="Courier New" w:eastAsia="Courier New" w:hAnsi="Courier New"/>
          <w:sz w:val="20"/>
          <w:szCs w:val="20"/>
        </w:rPr>
        <w:t xml:space="preserve">{
  "trust_groups": [
    {
      "slug": "default",
      "name": "Default (All Sources)",
      "geographic_region": null,
      "domain": null,
      "description": "System-defined group containing every registered source.",
      "owner_email": null,
      "created_at": "...",
      "updated_at": "..."
    },
    {
      "slug": "jparker-southeast-michigan",
      "name": "Jonathan Parker — Southeast Michigan",
      "geographic_region": "Southeast Michigan",
      "domain": "plants",
      "description": "...",
      "owner_email": "...",
      "created_at": "...",
      "updated_at": "..."
    }
  ]
}</w:t>
      </w:r>
    </w:p>
    <w:p>
      <w:pPr>
        <w:pStyle w:val="Heading2"/>
      </w:pPr>
      <w:r>
        <w:t xml:space="preserve">GET /api/v1/trust-groups/{slug}</w:t>
      </w:r>
    </w:p>
    <w:p>
      <w:pPr>
        <w:spacing w:after="60" w:before="60"/>
      </w:pPr>
      <w:r>
        <w:rPr>
          <w:rFonts w:ascii="Courier New" w:cs="Courier New" w:eastAsia="Courier New" w:hAnsi="Courier New"/>
          <w:sz w:val="20"/>
          <w:szCs w:val="20"/>
        </w:rPr>
        <w:t xml:space="preserve">{
  "slug": "jparker-southeast-michigan",
  "name": "Jonathan Parker — Southeast Michigan",
  "geographic_region": "Southeast Michigan",
  "domain": "plants",
  "description": "...",
  "owner_email": "...",
  "tiers": [
    { "position": 1, "name": "Local Authorities" },
    { "position": 2, "name": "Regional Overlap" }
  ],
  "created_at": "...",
  "updated_at": "..."
}</w:t>
      </w:r>
    </w:p>
    <w:p>
      <w:pPr>
        <w:pStyle w:val="Heading2"/>
      </w:pPr>
      <w:r>
        <w:t xml:space="preserve">GET /api/v1/trust-groups/{slug}/sources</w:t>
      </w:r>
    </w:p>
    <w:p>
      <w:pPr>
        <w:spacing w:after="60" w:before="60"/>
      </w:pPr>
      <w:r>
        <w:rPr>
          <w:rFonts w:ascii="Courier New" w:cs="Courier New" w:eastAsia="Courier New" w:hAnsi="Courier New"/>
          <w:sz w:val="20"/>
          <w:szCs w:val="20"/>
        </w:rPr>
        <w:t xml:space="preserve">{
  "slug": "jparker-southeast-michigan",
  "name": "Jonathan Parker — Southeast Michigan",
  "tiers": [
    {
      "position": 1,
      "name": "Local Authorities",
      "sources": [
        { /* standard source object, identical shape to /api/v1/sources entries */ },
        { /* ... */ }
      ]
    },
    {
      "position": 2,
      "name": "Regional Overlap",
      "sources": [
        { /* ... */ }
      ]
    }
  ]
}</w:t>
      </w:r>
    </w:p>
    <w:p>
      <w:r>
        <w:t xml:space="preserve">The source objects inside each tier are structurally identical to entries returned by GET /api/v1/sources. The trust layer does not add per-source fields. Membership in a tier is conveyed only by where the source sits in the response structure.</w:t>
      </w:r>
    </w:p>
    <w:p>
      <w:pPr>
        <w:pStyle w:val="Heading1"/>
      </w:pPr>
      <w:r>
        <w:t xml:space="preserve">The UI</w:t>
      </w:r>
    </w:p>
    <w:p>
      <w:r>
        <w:t xml:space="preserve">The UI lives at an unpublished path within the FERNS site. At MVP, anyone who knows the path can read, create, and edit trust groups. There is no authentication. This is intentional: community governance of trust groups is a problem for the future, and forcing premature account infrastructure would be friction that adds nothing at this scale.</w:t>
      </w:r>
    </w:p>
    <w:p>
      <w:r>
        <w:t xml:space="preserve">The UI supports the following operations:</w:t>
      </w:r>
    </w:p>
    <w:p>
      <w:pPr>
        <w:pStyle w:val="ListParagraph"/>
        <w:numPr>
          <w:ilvl w:val="0"/>
          <w:numId w:val="2"/>
        </w:numPr>
      </w:pPr>
      <w:r>
        <w:t xml:space="preserve">Listing all trust groups.</w:t>
      </w:r>
    </w:p>
    <w:p>
      <w:pPr>
        <w:pStyle w:val="ListParagraph"/>
        <w:numPr>
          <w:ilvl w:val="0"/>
          <w:numId w:val="2"/>
        </w:numPr>
      </w:pPr>
      <w:r>
        <w:t xml:space="preserve">Viewing the contents of a trust group: tiers, names, sources within each tier.</w:t>
      </w:r>
    </w:p>
    <w:p>
      <w:pPr>
        <w:pStyle w:val="ListParagraph"/>
        <w:numPr>
          <w:ilvl w:val="0"/>
          <w:numId w:val="2"/>
        </w:numPr>
      </w:pPr>
      <w:r>
        <w:t xml:space="preserve">Creating a new trust group: provide name, slug (auto-suggested from name), owner email, optional geographic region, optional domain, optional description.</w:t>
      </w:r>
    </w:p>
    <w:p>
      <w:pPr>
        <w:pStyle w:val="ListParagraph"/>
        <w:numPr>
          <w:ilvl w:val="0"/>
          <w:numId w:val="2"/>
        </w:numPr>
      </w:pPr>
      <w:r>
        <w:t xml:space="preserve">Editing a trust group's metadata.</w:t>
      </w:r>
    </w:p>
    <w:p>
      <w:pPr>
        <w:pStyle w:val="ListParagraph"/>
        <w:numPr>
          <w:ilvl w:val="0"/>
          <w:numId w:val="2"/>
        </w:numPr>
      </w:pPr>
      <w:r>
        <w:t xml:space="preserve">Adding, renaming, and reordering tiers within a group.</w:t>
      </w:r>
    </w:p>
    <w:p>
      <w:pPr>
        <w:pStyle w:val="ListParagraph"/>
        <w:numPr>
          <w:ilvl w:val="0"/>
          <w:numId w:val="2"/>
        </w:numPr>
      </w:pPr>
      <w:r>
        <w:t xml:space="preserve">Adding sources to a tier and removing them. Source picker lists all registered FERNS sources.</w:t>
      </w:r>
    </w:p>
    <w:p>
      <w:pPr>
        <w:pStyle w:val="ListParagraph"/>
        <w:numPr>
          <w:ilvl w:val="0"/>
          <w:numId w:val="2"/>
        </w:numPr>
      </w:pPr>
      <w:r>
        <w:t xml:space="preserve">Deleting a trust group.</w:t>
      </w:r>
    </w:p>
    <w:p>
      <w:r>
        <w:t xml:space="preserve">The default group is read-only in the UI. It is shown but cannot be edited.</w:t>
      </w:r>
    </w:p>
    <w:p>
      <w:pPr>
        <w:pStyle w:val="Heading1"/>
      </w:pPr>
      <w:r>
        <w:t xml:space="preserve">Composition with the naming layer</w:t>
      </w:r>
    </w:p>
    <w:p>
      <w:r>
        <w:t xml:space="preserve">The trust layer and the naming layer compose without coordination.</w:t>
      </w:r>
    </w:p>
    <w:p>
      <w:r>
        <w:t xml:space="preserve">An application that uses both layers proceeds as follows:</w:t>
      </w:r>
    </w:p>
    <w:p>
      <w:pPr>
        <w:pStyle w:val="ListParagraph"/>
        <w:numPr>
          <w:ilvl w:val="0"/>
          <w:numId w:val="2"/>
        </w:numPr>
      </w:pPr>
      <w:r>
        <w:t xml:space="preserve">Fetch the sources of the relevant trust group via GET /api/v1/trust-groups/{slug}/sources.</w:t>
      </w:r>
    </w:p>
    <w:p>
      <w:pPr>
        <w:pStyle w:val="ListParagraph"/>
        <w:numPr>
          <w:ilvl w:val="0"/>
          <w:numId w:val="2"/>
        </w:numPr>
      </w:pPr>
      <w:r>
        <w:t xml:space="preserve">Walk the response tier by tier.</w:t>
      </w:r>
    </w:p>
    <w:p>
      <w:pPr>
        <w:pStyle w:val="ListParagraph"/>
        <w:numPr>
          <w:ilvl w:val="0"/>
          <w:numId w:val="2"/>
        </w:numPr>
      </w:pPr>
      <w:r>
        <w:t xml:space="preserve">For each source, call its endpoints — either the literal /api/v1/sources/{source_id}/{method} endpoints or the concept-aware /api/v1/concepts/{source_id}/{method} endpoints, depending on whether name translation is wanted.</w:t>
      </w:r>
    </w:p>
    <w:p>
      <w:r>
        <w:t xml:space="preserve">The naming layer's resolution algorithm operates per-source. It does not need to know whether a trust group is in play. The trust layer narrows the iteration; the naming layer does its work within whatever iteration the caller chose to make.</w:t>
      </w:r>
    </w:p>
    <w:p>
      <w:r>
        <w:t xml:space="preserve">The naming layer's per-source operational cache remains global across all callers and all trust groups. A cache entry records what a specific source accepts; that fact is true regardless of which trust group is doing the asking. Sharing the cache across groups is correct and desirable.</w:t>
      </w:r>
    </w:p>
    <w:p>
      <w:pPr>
        <w:pStyle w:val="Heading1"/>
      </w:pPr>
      <w:r>
        <w:t xml:space="preserve">What new sources must do</w:t>
      </w:r>
    </w:p>
    <w:p>
      <w:r>
        <w:t xml:space="preserve">Nothing. A source registered with FERNS appears automatically in the default trust group. Trust group owners may, at their discretion, add it to one of their groups through the UI.</w:t>
      </w:r>
    </w:p>
    <w:p>
      <w:r>
        <w:t xml:space="preserve">This is by design. The trust layer is consumer-side metadata. Source authors should not have to think about which groups will or will not include their source.</w:t>
      </w:r>
    </w:p>
    <w:p>
      <w:pPr>
        <w:pStyle w:val="Heading1"/>
      </w:pPr>
      <w:r>
        <w:t xml:space="preserve">Implementation phasing</w:t>
      </w:r>
    </w:p>
    <w:p>
      <w:pPr>
        <w:pStyle w:val="Heading2"/>
      </w:pPr>
      <w:r>
        <w:t xml:space="preserve">Phase 1: Schema and default group</w:t>
      </w:r>
    </w:p>
    <w:p>
      <w:r>
        <w:t xml:space="preserve">Define the database schema for trust groups, tiers, and tier membership. Create the system-defined default group on first run. Implement the logic that keeps the default group's All Sources tier in sync with the source registry.</w:t>
      </w:r>
    </w:p>
    <w:p>
      <w:pPr>
        <w:pStyle w:val="Heading2"/>
      </w:pPr>
      <w:r>
        <w:t xml:space="preserve">Phase 2: Listing endpoints</w:t>
      </w:r>
    </w:p>
    <w:p>
      <w:r>
        <w:t xml:space="preserve">Implement GET /api/v1/trust-groups, GET /api/v1/trust-groups/{slug}, and GET /api/v1/trust-groups/{slug}/sources. Verify response shapes against this specification. Confirm that the default group returns every source as expected.</w:t>
      </w:r>
    </w:p>
    <w:p>
      <w:pPr>
        <w:pStyle w:val="Heading2"/>
      </w:pPr>
      <w:r>
        <w:t xml:space="preserve">Phase 3: The UI</w:t>
      </w:r>
    </w:p>
    <w:p>
      <w:r>
        <w:t xml:space="preserve">Build the UI at the unpublished path. Implement creation, editing, tier management, and source assignment. Wire the UI to internal write endpoints. Verify the default group is read-only in the UI.</w:t>
      </w:r>
    </w:p>
    <w:p>
      <w:pPr>
        <w:pStyle w:val="Heading2"/>
      </w:pPr>
      <w:r>
        <w:t xml:space="preserve">Phase 4: Consumer adoption</w:t>
      </w:r>
    </w:p>
    <w:p>
      <w:r>
        <w:t xml:space="preserve">Update the Southeast Michigan question app and the Southeast Michigan species explorer to consume trust groups. These are the first real applications of the trust layer. Their behavior validates that the listing endpoint is sufficient for the agent-traversal use case and any other planned consumption patterns.</w:t>
      </w:r>
    </w:p>
    <w:p>
      <w:pPr>
        <w:pStyle w:val="Heading1"/>
      </w:pPr>
      <w:r>
        <w:t xml:space="preserve">What is explicitly not in this specification</w:t>
      </w:r>
    </w:p>
    <w:p>
      <w:r>
        <w:t xml:space="preserve">Authentication. There is no login, no account, no token. Owner email is metadata, not credentials. The UI lives at an unpublished path; that is the only access control.</w:t>
      </w:r>
    </w:p>
    <w:p>
      <w:r>
        <w:t xml:space="preserve">A documented write API. Writes happen through internal endpoints invoked by the UI. Those endpoints exist but are not part of the public API surface. They may be promoted to a documented API in a future revision.</w:t>
      </w:r>
    </w:p>
    <w:p>
      <w:r>
        <w:t xml:space="preserve">Trust-scoped data calls. There is no endpoint of the form /api/v1/trust-groups/{slug}/sources/{source_id}/{method}. Consumers fetch the source list, then call existing source endpoints directly. The trust layer never routes data calls.</w:t>
      </w:r>
    </w:p>
    <w:p>
      <w:r>
        <w:t xml:space="preserve">Trust group composition. Trust groups do not inherit from or extend other trust groups. If composition becomes useful, it is a future addition.</w:t>
      </w:r>
    </w:p>
    <w:p>
      <w:r>
        <w:t xml:space="preserve">Per-source metadata within a tier. A source either is or is not in a tier. There are no per-tier notes, no per-source exclusions within a tier, no conditional inclusions. These are tempting expansions; each one would erode the property that the trust layer is purely a tagged subset of the source registry.</w:t>
      </w:r>
    </w:p>
    <w:p>
      <w:r>
        <w:t xml:space="preserve">Versioning of trust groups. Trust groups are mutable. Callers who need a stable snapshot must capture the listing response and use it as their stable reference. Versioned trust groups may be added later.</w:t>
      </w:r>
    </w:p>
    <w:p>
      <w:r>
        <w:t xml:space="preserve">Visibility scoping. All trust groups are public-readable through the listing endpoints. Private trust groups are not in scope at MVP.</w:t>
      </w:r>
    </w:p>
    <w:p>
      <w:r>
        <w:t xml:space="preserve">Automated suggestions of trust groups by an LLM based on user and question. The owner_email and free-text metadata fields make this possible as a future application-layer feature, but it is not part of this specification.</w:t>
      </w:r>
    </w:p>
    <w:p>
      <w:pPr>
        <w:pStyle w:val="Heading1"/>
      </w:pPr>
      <w:r>
        <w:t xml:space="preserve">Summary</w:t>
      </w:r>
    </w:p>
    <w:p>
      <w:r>
        <w:t xml:space="preserve">A trust group is a named, ordered set of tiers of FERNS sources. The trust layer exposes a listing endpoint that returns a trust group's sources organized by tier. The data layer is unchanged. Source response payloads are unchanged. A system-defined default group preserves the existing all-sources behavior as one consistent shape across the new endpoint family. A UI at an unpublished path within FERNS handles creation, editing, and management. Composition with the naming layer is implicit: the trust layer narrows the source set; the naming layer operates within it.</w:t>
      </w:r>
    </w:p>
    <w:p>
      <w:r>
        <w:t xml:space="preserve">Implementable in standard FERNS technologies (TypeScript, PostgreSQL, Express, Drizzle ORM). The data model is small. The endpoint surface is small. The discipline is in keeping the layer purely a filter, and refusing the tempting expansions that would push it toward becoming something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2026-05-11T00:00:23.582Z</dcterms:created>
  <dcterms:modified xsi:type="dcterms:W3CDTF">2026-05-11T00:00:23.598Z</dcterms:modified>
</cp:coreProperties>
</file>

<file path=docProps/custom.xml><?xml version="1.0" encoding="utf-8"?>
<Properties xmlns="http://schemas.openxmlformats.org/officeDocument/2006/custom-properties" xmlns:vt="http://schemas.openxmlformats.org/officeDocument/2006/docPropsVTypes"/>
</file>