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ДОГОВОР ОБ УЧРЕЖДЕНИИ</w:t>
      </w:r>
    </w:p>
    <w:p>
      <w:pPr>
        <w:pStyle w:val="Normal"/>
        <w:rPr>
          <w:rFonts w:ascii="Arial" w:hAnsi="Arial" w:cs="Arial"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32"/>
          <w:szCs w:val="32"/>
        </w:rPr>
        <w:t>Общества с ограниченной ответственностью</w:t>
      </w:r>
    </w:p>
    <w:p>
      <w:pPr>
        <w:pStyle w:val="Normal"/>
        <w:jc w:val="center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52"/>
          <w:szCs w:val="52"/>
        </w:rPr>
        <w:t>«РегФайл»</w:t>
      </w:r>
    </w:p>
    <w:p>
      <w:pPr>
        <w:pStyle w:val="Normal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г. Москва                                                                                                     «___» ________  20___ г.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Мы, нижеподписавшиеся  Учредители Общества: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Иванов Иван Иванович, паспорт серия: 45 10 № 111111, выдан ОТДЕЛЕНИЕМ ПО РАЙОНУ СОКОЛ ОУФМС РОССИИ ПО ГОР. МОСКВЕ В ЗАО, дата выдачи 05.05.2005 г., код подразделения 770-770, зарегистрированный по адресу: 444444, г. Москва, ул. Московская, д. 45, кв.35.</w:t>
      </w:r>
    </w:p>
    <w:p>
      <w:pPr>
        <w:pStyle w:val="Normal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Петров Петр Петрович, паспорт серия: 45 10 № 222222, выдан ПАСПОРТНЫМ СТОЛОМ ОВД РАЙОНА СЕВЕРНОЕ ТУШИНО ГОРОДА МОСКВЫ, дата выдачи 03.03.2003 г., код подразделения 772-772, зарегистрированный по адресу: 123123, г. Москва, ул. Победы, д. 2, стр. 2, кв. 22.</w:t>
      </w:r>
    </w:p>
    <w:p>
      <w:pPr>
        <w:pStyle w:val="Normal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"/>
        <w:ind w:left="624" w:right="0"/>
        <w:jc w:val="both"/>
        <w:rPr/>
      </w:pPr>
      <w:r>
        <w:rPr>
          <w:rFonts w:cs="Arial" w:ascii="Arial" w:hAnsi="Arial"/>
          <w:sz w:val="22"/>
          <w:szCs w:val="22"/>
        </w:rPr>
        <w:t>На основании и в соответствии с Гражданским кодексом Российской Федерации, Федеральным законом «Об обществах с ограниченной ответственностью» и иными законодательными актами Российской Федерации заключили Договор об учреждении Общества о нижеследующем: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1. СОЗДАНИЕ И СТАТУС ОБЩЕСТВА.</w:t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Учреждаемое Общество обладает правами юридического лица согласно законодательству Российской Федерации. Общество является юридическим лицом с момента его государственной регистрации.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Общество действует на основании Устава, утвержденного учредителями и зарегистрированного в установленном законодательством порядке. В Уставе определен статус Общества.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Полное фирменное наименование Общества на русском языке: Общество с ограниченной ответственностью «РегФайл».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Сокращенное фирменное наименование Общества на русском языке: ООО «РегФайл».</w:t>
      </w:r>
    </w:p>
    <w:p>
      <w:pPr>
        <w:pStyle w:val="Normal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Место нахождение Общества  – 333333, г. Москва, Чистопрудный б-р., д. 20, корп. 2.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Деятельность Общества каким-либо сроком  не ограничивается.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2. ПРЕДМЕТ И ЦЕЛИ ДЕЯТЕЛЬНОСТИ.</w:t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Общество создается в целях проведения широкого сектора услуг и производства товаров, определенных Уставом. Вся деятельность Общества осуществляется в соответствии с действующим законодательством.</w:t>
      </w:r>
    </w:p>
    <w:p>
      <w:pPr>
        <w:pStyle w:val="Normal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Выполнение услуг производится Обществом на коммерческой основе.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2"/>
          <w:szCs w:val="22"/>
        </w:rPr>
        <w:t>Статья 3. УСТАВНЫЙ КАПИТАЛ ОБЩЕСТВА.</w:t>
      </w:r>
    </w:p>
    <w:p>
      <w:pPr>
        <w:pStyle w:val="Normal"/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Уставный капитал Общества составляется из номинальной стоимости долей и составляет 10 000 руб. 00 коп. (Десять тысяч рублей 00 копеек).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Уставный капитал Общества разделен на доли следующим образом: </w:t>
      </w:r>
    </w:p>
    <w:p>
      <w:pPr>
        <w:pStyle w:val="Normal"/>
        <w:numPr>
          <w:ilvl w:val="1"/>
          <w:numId w:val="6"/>
        </w:numPr>
        <w:ind w:hanging="720" w:left="1440" w:right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Иванов Иван Иванович –  номинальная стоимость доли составляет 5 000 руб. 00 коп. (Пять тысяч рублей 00 копеек), что составляет 50% уставного капитала. </w:t>
      </w:r>
    </w:p>
    <w:p>
      <w:pPr>
        <w:pStyle w:val="Normal"/>
        <w:numPr>
          <w:ilvl w:val="1"/>
          <w:numId w:val="6"/>
        </w:numPr>
        <w:ind w:hanging="720" w:left="1440" w:right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Петров Петр Петрович –  номинальная стоимость доли составляет 5 000 руб. 00 коп. (Пять тысяч рублей 00 копеек), что составляет 50% уставного капитала.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На момент государственной регистрации Общества уставный капитал внесен имуществом полностью.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Участники обладают количеством голосов пропорционально размеру их доли в уставном капитале.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bookmarkStart w:id="0" w:name="_DV_C197"/>
      <w:r>
        <w:rPr>
          <w:rStyle w:val="DeltaViewInsertion"/>
          <w:rFonts w:cs="Arial" w:ascii="Arial" w:hAnsi="Arial"/>
          <w:b w:val="false"/>
          <w:color w:val="000000"/>
          <w:sz w:val="22"/>
          <w:szCs w:val="22"/>
          <w:u w:val="none"/>
        </w:rPr>
        <w:t>Доля учредителя Общества, если иное не предусмотрено настоящим Уставом, предоставляет право голоса только в пределах оплаченной части принадлежащей ему доли.</w:t>
      </w:r>
      <w:bookmarkEnd w:id="0"/>
    </w:p>
    <w:p>
      <w:pPr>
        <w:pStyle w:val="Normal"/>
        <w:numPr>
          <w:ilvl w:val="0"/>
          <w:numId w:val="9"/>
        </w:numPr>
        <w:tabs>
          <w:tab w:val="clear" w:pos="708"/>
          <w:tab w:val="left" w:pos="54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  <w:r>
        <w:rPr>
          <w:rStyle w:val="DeltaViewInsertion"/>
          <w:rFonts w:cs="Arial" w:ascii="Arial" w:hAnsi="Arial"/>
          <w:b w:val="false"/>
          <w:color w:val="000000"/>
          <w:sz w:val="22"/>
          <w:szCs w:val="22"/>
          <w:u w:val="none"/>
        </w:rPr>
        <w:t>В случае неполной оплаты доли в уставном капитале Общества в течение срока, определяемого в соответствии с Уставом Общества, неоплаченная часть доли переходит к Обществу. Такая часть доли должна быть реализована Обществом в порядке и в сроки, которые установлены статьей 24 Закона об ООО.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Увеличение Уставного капитала Общества может осуществляться за счет имущества Общества, и (или) за счет дополнительных вкладов Участников Общества, и (или) за счет вкладов третьих лиц, принимаемых в Общество.</w:t>
      </w:r>
    </w:p>
    <w:p>
      <w:pPr>
        <w:pStyle w:val="Normal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Увеличение Уставного капитала Общества допускается только после его полной оплаты.</w:t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4. РАСПРЕДЕЛЕНИЕ ПРИБЫЛИ.</w:t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Общество вправе ежеквартально, раз в полгода или раз в год принимать решение о распределении своей чистой прибыли между Участниками Общества.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Часть прибыли Общества, предназначенная для распределения между его Участниками, распределяется в соответствии с долей в уставном капитале Общества.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Общество не вправе принимать решение о распределении своей прибыли между Участниками  и не вправе выплачивать Участникам Общества прибыль:</w:t>
      </w:r>
    </w:p>
    <w:p>
      <w:pPr>
        <w:pStyle w:val="Normal"/>
        <w:numPr>
          <w:ilvl w:val="1"/>
          <w:numId w:val="10"/>
        </w:numPr>
        <w:tabs>
          <w:tab w:val="clear" w:pos="708"/>
        </w:tabs>
        <w:ind w:hanging="720" w:left="1440" w:right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До полной оплаты всего уставного капитала Общества;</w:t>
      </w:r>
    </w:p>
    <w:p>
      <w:pPr>
        <w:pStyle w:val="Normal"/>
        <w:numPr>
          <w:ilvl w:val="1"/>
          <w:numId w:val="10"/>
        </w:numPr>
        <w:tabs>
          <w:tab w:val="clear" w:pos="708"/>
        </w:tabs>
        <w:ind w:hanging="720" w:left="1440" w:right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До выплаты действительной стоимости доли (части доли) Участника Общества в случаях, предусмотренных законодательством;</w:t>
      </w:r>
    </w:p>
    <w:p>
      <w:pPr>
        <w:pStyle w:val="Normal"/>
        <w:numPr>
          <w:ilvl w:val="1"/>
          <w:numId w:val="10"/>
        </w:numPr>
        <w:tabs>
          <w:tab w:val="clear" w:pos="708"/>
        </w:tabs>
        <w:ind w:hanging="720" w:left="1440" w:right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Если на момент принятия такого решения Общество отвечает признакам несостоятельности (банкротства) или если указанные признаки появятся у Общества в результате такого решения;</w:t>
      </w:r>
    </w:p>
    <w:p>
      <w:pPr>
        <w:pStyle w:val="Normal"/>
        <w:numPr>
          <w:ilvl w:val="1"/>
          <w:numId w:val="10"/>
        </w:numPr>
        <w:tabs>
          <w:tab w:val="clear" w:pos="708"/>
        </w:tabs>
        <w:ind w:hanging="720" w:left="1440" w:right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Если на момент принятия такого решения стоимость чистых активов Общества меньше его уставного капитала и резервного фонда или станет меньше их размеров в результате принятия такого решения;</w:t>
      </w:r>
    </w:p>
    <w:p>
      <w:pPr>
        <w:pStyle w:val="Normal"/>
        <w:numPr>
          <w:ilvl w:val="1"/>
          <w:numId w:val="10"/>
        </w:numPr>
        <w:tabs>
          <w:tab w:val="clear" w:pos="708"/>
        </w:tabs>
        <w:ind w:hanging="720" w:left="1440" w:right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В иных случаях предусмотренных законодательством.</w:t>
      </w:r>
    </w:p>
    <w:p>
      <w:pPr>
        <w:pStyle w:val="Normal"/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5. СОСТАВ И ДЕЯТЕЛЬНОСТЬ ОРГАНОВ ОБЩЕСТВА.</w:t>
      </w:r>
    </w:p>
    <w:p>
      <w:pPr>
        <w:pStyle w:val="Normal"/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Органами управления Общества являются:</w:t>
      </w:r>
    </w:p>
    <w:p>
      <w:pPr>
        <w:pStyle w:val="Normal"/>
        <w:ind w:left="720" w:right="0"/>
        <w:jc w:val="both"/>
        <w:rPr/>
      </w:pPr>
      <w:r>
        <w:rPr>
          <w:rFonts w:cs="Arial" w:ascii="Arial" w:hAnsi="Arial"/>
          <w:sz w:val="22"/>
          <w:szCs w:val="22"/>
        </w:rPr>
        <w:t>а) Высший орган управления – Общее собрание Участников Общества;</w:t>
      </w:r>
    </w:p>
    <w:p>
      <w:pPr>
        <w:pStyle w:val="Normal"/>
        <w:ind w:left="720" w:right="0"/>
        <w:jc w:val="both"/>
        <w:rPr/>
      </w:pPr>
      <w:r>
        <w:rPr>
          <w:rFonts w:cs="Arial" w:ascii="Arial" w:hAnsi="Arial"/>
          <w:sz w:val="22"/>
          <w:szCs w:val="22"/>
        </w:rPr>
        <w:t>б) Единоличный исполнительный орган – Генеральный директор.</w:t>
      </w:r>
    </w:p>
    <w:p>
      <w:pPr>
        <w:pStyle w:val="Normal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Сведения о составе и компетенции органов Общества, порядок принятия ими решений, в том числе перечень вопросов, по которым необходимо единогласие, изложен в Уставе Общества.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6. ПОРЯДОК ВЫХОДА ИЗ ОБЩЕСТВА.</w:t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Subtitle"/>
        <w:numPr>
          <w:ilvl w:val="0"/>
          <w:numId w:val="2"/>
        </w:numPr>
        <w:jc w:val="both"/>
        <w:rPr>
          <w:rStyle w:val="Style16"/>
          <w:rFonts w:ascii="Arial" w:hAnsi="Arial" w:cs="Arial"/>
          <w:i w:val="false"/>
          <w:i w:val="false"/>
          <w:color w:val="000000"/>
          <w:sz w:val="22"/>
          <w:szCs w:val="22"/>
        </w:rPr>
      </w:pPr>
      <w:r>
        <w:rPr>
          <w:rStyle w:val="Style16"/>
          <w:rFonts w:cs="Arial" w:ascii="Arial" w:hAnsi="Arial"/>
          <w:i w:val="false"/>
          <w:color w:val="000000"/>
          <w:sz w:val="22"/>
          <w:szCs w:val="22"/>
        </w:rPr>
        <w:t xml:space="preserve">Участник Общества вправе </w:t>
      </w:r>
      <w:bookmarkStart w:id="1" w:name="_DV_M473"/>
      <w:bookmarkEnd w:id="1"/>
      <w:r>
        <w:rPr>
          <w:rStyle w:val="Style16"/>
          <w:rFonts w:cs="Arial" w:ascii="Arial" w:hAnsi="Arial"/>
          <w:i w:val="false"/>
          <w:color w:val="000000"/>
          <w:sz w:val="22"/>
          <w:szCs w:val="22"/>
        </w:rPr>
        <w:t xml:space="preserve">выйти из Общества </w:t>
      </w:r>
      <w:bookmarkStart w:id="2" w:name="_DV_C605"/>
      <w:r>
        <w:rPr>
          <w:rStyle w:val="Style16"/>
          <w:rFonts w:cs="Arial" w:ascii="Arial" w:hAnsi="Arial"/>
          <w:i w:val="false"/>
          <w:color w:val="000000"/>
          <w:sz w:val="22"/>
          <w:szCs w:val="22"/>
        </w:rPr>
        <w:t xml:space="preserve">путем отчуждения доли Обществу </w:t>
      </w:r>
      <w:bookmarkStart w:id="3" w:name="_DV_M474"/>
      <w:bookmarkEnd w:id="2"/>
      <w:bookmarkEnd w:id="3"/>
      <w:r>
        <w:rPr>
          <w:rStyle w:val="Style16"/>
          <w:rFonts w:cs="Arial" w:ascii="Arial" w:hAnsi="Arial"/>
          <w:i w:val="false"/>
          <w:color w:val="000000"/>
          <w:sz w:val="22"/>
          <w:szCs w:val="22"/>
        </w:rPr>
        <w:t>независимо от согласия других его участников или Общества.</w:t>
      </w:r>
    </w:p>
    <w:p>
      <w:pPr>
        <w:pStyle w:val="Normal"/>
        <w:numPr>
          <w:ilvl w:val="0"/>
          <w:numId w:val="2"/>
        </w:numPr>
        <w:jc w:val="both"/>
        <w:rPr>
          <w:rStyle w:val="Emphasis"/>
          <w:rFonts w:ascii="Arial" w:hAnsi="Arial" w:cs="Arial"/>
          <w:i w:val="false"/>
          <w:i w:val="false"/>
          <w:sz w:val="22"/>
          <w:szCs w:val="22"/>
        </w:rPr>
      </w:pPr>
      <w:r>
        <w:rPr>
          <w:rStyle w:val="Emphasis"/>
          <w:rFonts w:eastAsia="Arial" w:cs="Arial" w:ascii="Arial" w:hAnsi="Arial"/>
          <w:i w:val="false"/>
          <w:sz w:val="22"/>
          <w:szCs w:val="22"/>
        </w:rPr>
        <w:t xml:space="preserve"> </w:t>
      </w:r>
      <w:r>
        <w:rPr>
          <w:rStyle w:val="Emphasis"/>
          <w:rFonts w:cs="Arial" w:ascii="Arial" w:hAnsi="Arial"/>
          <w:i w:val="false"/>
          <w:sz w:val="22"/>
          <w:szCs w:val="22"/>
        </w:rPr>
        <w:t>Выход участников Общества из Общества, в результате которого в Обществе не остается ни одного участника, а также выход единственного участника Общества из Общества не допускается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rStyle w:val="Emphasis"/>
          <w:rFonts w:ascii="Arial" w:hAnsi="Arial" w:cs="Arial"/>
          <w:i w:val="false"/>
          <w:i w:val="false"/>
          <w:sz w:val="22"/>
          <w:szCs w:val="22"/>
        </w:rPr>
      </w:pPr>
      <w:r>
        <w:rPr>
          <w:rStyle w:val="Emphasis"/>
          <w:rFonts w:eastAsia="Arial" w:cs="Arial" w:ascii="Arial" w:hAnsi="Arial"/>
          <w:i w:val="false"/>
          <w:sz w:val="22"/>
          <w:szCs w:val="22"/>
        </w:rPr>
        <w:t xml:space="preserve"> </w:t>
      </w:r>
      <w:r>
        <w:rPr>
          <w:rStyle w:val="Emphasis"/>
          <w:rFonts w:cs="Arial" w:ascii="Arial" w:hAnsi="Arial"/>
          <w:i w:val="false"/>
          <w:sz w:val="22"/>
          <w:szCs w:val="22"/>
        </w:rPr>
        <w:t>В случае выхода участника Общества из Общества его доля переходит к Обществу. Общество обязано выплатить участнику Общества, подавшему заявление о выходе из Общества, действительную стоимость его доли в уставном капитале Общества, определяемую на основании данных бухгалтерской отчетности Общества за последний отчетный период, предшествующий дню подачи заявления о выходе из Общества,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40" w:leader="none"/>
        </w:tabs>
        <w:jc w:val="both"/>
        <w:rPr>
          <w:rStyle w:val="Emphasis"/>
          <w:rFonts w:ascii="Arial" w:hAnsi="Arial" w:cs="Arial"/>
          <w:i w:val="false"/>
          <w:i w:val="false"/>
          <w:sz w:val="22"/>
          <w:szCs w:val="22"/>
        </w:rPr>
      </w:pPr>
      <w:bookmarkStart w:id="4" w:name="_DV_C473"/>
      <w:r>
        <w:rPr>
          <w:rStyle w:val="Emphasis"/>
          <w:rFonts w:eastAsia="Arial" w:cs="Arial" w:ascii="Arial" w:hAnsi="Arial"/>
          <w:i w:val="false"/>
          <w:sz w:val="22"/>
          <w:szCs w:val="22"/>
        </w:rPr>
        <w:t xml:space="preserve">  </w:t>
      </w:r>
      <w:r>
        <w:rPr>
          <w:rStyle w:val="Emphasis"/>
          <w:rFonts w:cs="Arial" w:ascii="Arial" w:hAnsi="Arial"/>
          <w:i w:val="false"/>
          <w:sz w:val="22"/>
          <w:szCs w:val="22"/>
        </w:rPr>
        <w:t>Общество обязано выплатить участнику Общества действительную стоимость его доли или части доли в уставном капитале Общества либо выдать ему в натуре имущество такой же стоимости в течение трех месяцев со дня возникновения соответствующей обязанности.</w:t>
      </w:r>
      <w:bookmarkEnd w:id="4"/>
    </w:p>
    <w:p>
      <w:pPr>
        <w:pStyle w:val="Normal"/>
        <w:numPr>
          <w:ilvl w:val="0"/>
          <w:numId w:val="2"/>
        </w:numPr>
        <w:tabs>
          <w:tab w:val="clear" w:pos="708"/>
          <w:tab w:val="left" w:pos="540" w:leader="none"/>
        </w:tabs>
        <w:jc w:val="both"/>
        <w:rPr>
          <w:rStyle w:val="Emphasis"/>
          <w:rFonts w:ascii="Arial" w:hAnsi="Arial" w:cs="Arial"/>
          <w:i w:val="false"/>
          <w:i w:val="false"/>
          <w:sz w:val="22"/>
          <w:szCs w:val="22"/>
        </w:rPr>
      </w:pPr>
      <w:r>
        <w:rPr>
          <w:rStyle w:val="Emphasis"/>
          <w:rFonts w:eastAsia="Arial" w:cs="Arial" w:ascii="Arial" w:hAnsi="Arial"/>
          <w:i w:val="false"/>
          <w:sz w:val="22"/>
          <w:szCs w:val="22"/>
        </w:rPr>
        <w:t xml:space="preserve">  </w:t>
      </w:r>
      <w:r>
        <w:rPr>
          <w:rStyle w:val="Emphasis"/>
          <w:rFonts w:cs="Arial" w:ascii="Arial" w:hAnsi="Arial"/>
          <w:i w:val="false"/>
          <w:sz w:val="22"/>
          <w:szCs w:val="22"/>
        </w:rPr>
        <w:t xml:space="preserve">Действительная стоимость доли </w:t>
      </w:r>
      <w:bookmarkStart w:id="5" w:name="_DV_C523"/>
      <w:r>
        <w:rPr>
          <w:rStyle w:val="Emphasis"/>
          <w:rFonts w:cs="Arial" w:ascii="Arial" w:hAnsi="Arial"/>
          <w:i w:val="false"/>
          <w:sz w:val="22"/>
          <w:szCs w:val="22"/>
        </w:rPr>
        <w:t xml:space="preserve">или </w:t>
      </w:r>
      <w:bookmarkStart w:id="6" w:name="_DV_M424"/>
      <w:bookmarkEnd w:id="5"/>
      <w:bookmarkEnd w:id="6"/>
      <w:r>
        <w:rPr>
          <w:rStyle w:val="Emphasis"/>
          <w:rFonts w:cs="Arial" w:ascii="Arial" w:hAnsi="Arial"/>
          <w:i w:val="false"/>
          <w:sz w:val="22"/>
          <w:szCs w:val="22"/>
        </w:rPr>
        <w:t>части доли</w:t>
      </w:r>
      <w:bookmarkStart w:id="7" w:name="_DV_C525"/>
      <w:r>
        <w:rPr>
          <w:rStyle w:val="Emphasis"/>
          <w:rFonts w:cs="Arial" w:ascii="Arial" w:hAnsi="Arial"/>
          <w:i w:val="false"/>
          <w:sz w:val="22"/>
          <w:szCs w:val="22"/>
        </w:rPr>
        <w:t xml:space="preserve"> в уставном капитале Общества</w:t>
      </w:r>
      <w:bookmarkStart w:id="8" w:name="_DV_M425"/>
      <w:bookmarkEnd w:id="7"/>
      <w:bookmarkEnd w:id="8"/>
      <w:r>
        <w:rPr>
          <w:rStyle w:val="Emphasis"/>
          <w:rFonts w:cs="Arial" w:ascii="Arial" w:hAnsi="Arial"/>
          <w:i w:val="false"/>
          <w:sz w:val="22"/>
          <w:szCs w:val="22"/>
        </w:rPr>
        <w:t xml:space="preserve"> выплачивается за счет разницы между стоимостью чистых активов Общества и размером его уставного капитала. В случае</w:t>
      </w:r>
      <w:bookmarkStart w:id="9" w:name="_DV_M426"/>
      <w:bookmarkEnd w:id="9"/>
      <w:r>
        <w:rPr>
          <w:rStyle w:val="Emphasis"/>
          <w:rFonts w:cs="Arial" w:ascii="Arial" w:hAnsi="Arial"/>
          <w:i w:val="false"/>
          <w:sz w:val="22"/>
          <w:szCs w:val="22"/>
        </w:rPr>
        <w:t xml:space="preserve"> если такой разницы недостаточно, Общество обязано уменьшить свой уставный капитал на недостающую сумму.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4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Выход участника Общества из Общества не освобождает его от обязанности перед Обществом по внесению вклада в имущество Общества, возникшей до подачи заявления о выходе из Общества.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7. СПОРЫ.</w:t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Споры, возникающие между Участниками, подлежат урегулированию путем переговоров.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При недостижении согласия спор рассматривается Общим собранием Участников Общества, решение которого является окончательным и обязательным к исполнению.</w:t>
      </w:r>
    </w:p>
    <w:p>
      <w:pPr>
        <w:pStyle w:val="Normal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Учредители также имеют право на судебную защиту своих прав в порядке, предусмотренном действующим законодательством.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8.  КОНФИДИЦИАЛЬНОСТЬ.</w:t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Предоставляемая Участниками Общества друг другу, а также Обществу документация или любая информация, обладающая коммерческой ценностью, считается конфиденциальной и не может быть передана третьим лицам.</w:t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Статья 9. ФОРС-МАЖОР.</w:t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Участник освобождается от ответственности за частичное или полное неисполнение обязательств по настоящему Договору, если это неисполнение являлось следствием непреодолимой силы, возникшей после заключения настоящего договора в результате обстоятельств чрезвычайного характера, которые Участник не мог предвидеть и предотвратить разумными мерами. К этим обстоятельствам относятся: наводнение, пожар, землетрясение или иные явления природы, а также война, военные действия, акты или действия государственных органов и любые обстоятельства вне разумного контроля Участников.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При наступлении указанных  п. 9.1. обстоятельств Участник должен без промедления сообщить о них в письменном виде другим Участникам. Извещение должно содержать данные о характере обстоятельств, а также, по возможности, оценку их влияния на возможность исполнения Участником своих обязательств по настоящему Договору.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В случаях, предусмотренных п.п. 9.1. и 9.2. настоящего Договора, срок выполнения Участником своих обязательств отодвигается соразмерно времени, в течение которого действуют такие обстоятельства.</w:t>
      </w:r>
    </w:p>
    <w:p>
      <w:pPr>
        <w:pStyle w:val="Normal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В случаях, когда указанные п. 9.1. настоящего Договора обстоятельства и их последствия продолжают действовать более 6 месяцев, или при наступлении данных обстоятельств становится ясно, что они и их последствия будут действовать более этого срока, Участники в возможно более короткий срок должны провести переговоры с целью выявления приемлемых для них альтернативных способов исполнения настоящего Договора.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10. ЗАКЛЮЧИТЕЛЬНЫЕ УСЛОВИЯ.</w:t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Любые изменения и дополнения к настоящему Договору действительны лишь при условии, что они выполнены в письменной форме, подписаны Участниками или  уполномоченными на то представителями Участников, а также прошли соответствующую регистрацию.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С момента подписания настоящего Договора вся предыдущая переписка, документы и переговоры между Участниками  по вопросам, являющимся предметом настоящего Договора считается недействительными. 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Договор вступает в силу с момента его подписания всеми Учредителями Общества.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Учредители самостоятельно несут расходы, связанные с регистрацией Общества.</w:t>
      </w:r>
    </w:p>
    <w:p>
      <w:pPr>
        <w:pStyle w:val="Normal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Договор составлен на четырех страницах, в двух экземплярах.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Статья 11. ПОДПИСИ СТОРОН.</w:t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Иванов Иван Иванович ______________________________________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Петров Петр Петрович ______________________________________</w:t>
      </w:r>
    </w:p>
    <w:p>
      <w:pPr>
        <w:pStyle w:val="Normal"/>
        <w:tabs>
          <w:tab w:val="clear" w:pos="708"/>
          <w:tab w:val="left" w:pos="5880" w:leader="none"/>
        </w:tabs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ab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260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Cambria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83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3.8pt;mso-wrap-distance-left:0pt;mso-wrap-distance-right:0pt;mso-wrap-distance-top:0pt;mso-wrap-distance-bottom:0pt;margin-top:0.05pt;mso-position-vertical-relative:text;margin-left:488.6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2">
    <w:lvl w:ilvl="0">
      <w:start w:val="1"/>
      <w:numFmt w:val="decimal"/>
      <w:lvlText w:val="6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3">
    <w:lvl w:ilvl="0">
      <w:start w:val="1"/>
      <w:numFmt w:val="decimal"/>
      <w:lvlText w:val="7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4">
    <w:lvl w:ilvl="0">
      <w:start w:val="1"/>
      <w:numFmt w:val="decimal"/>
      <w:lvlText w:val="8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5">
    <w:lvl w:ilvl="0">
      <w:start w:val="1"/>
      <w:numFmt w:val="decimal"/>
      <w:lvlText w:val="10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6">
    <w:lvl w:ilvl="0">
      <w:start w:val="1"/>
      <w:numFmt w:val="decimal"/>
      <w:lvlText w:val="6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1440" w:hanging="360"/>
      </w:pPr>
      <w:rPr>
        <w:rFonts w:ascii="Symbol" w:hAnsi="Symbol" w:cs="Symbol" w:hint="default"/>
        <w:i w:val="false"/>
        <w:b w:val="fals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624"/>
        </w:tabs>
        <w:ind w:left="624" w:hanging="624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1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9">
    <w:lvl w:ilvl="0">
      <w:start w:val="1"/>
      <w:numFmt w:val="decimal"/>
      <w:lvlText w:val="3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10">
    <w:lvl w:ilvl="0">
      <w:start w:val="1"/>
      <w:numFmt w:val="decimal"/>
      <w:lvlText w:val="4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i w:val="false"/>
        <w:b w:val="fals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decimal"/>
      <w:lvlText w:val="9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12">
    <w:lvl w:ilvl="0">
      <w:start w:val="1"/>
      <w:numFmt w:val="decimal"/>
      <w:lvlText w:val="2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13">
    <w:lvl w:ilvl="0">
      <w:start w:val="1"/>
      <w:numFmt w:val="decimal"/>
      <w:lvlText w:val="5.%1."/>
      <w:lvlJc w:val="left"/>
      <w:pPr>
        <w:tabs>
          <w:tab w:val="num" w:pos="624"/>
        </w:tabs>
        <w:ind w:left="624" w:hanging="624"/>
      </w:pPr>
      <w:rPr>
        <w:i w:val="false"/>
        <w:b w:val="fals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b w:val="false"/>
      <w:i w:val="false"/>
    </w:rPr>
  </w:style>
  <w:style w:type="character" w:styleId="WW8Num2z0">
    <w:name w:val="WW8Num2z0"/>
    <w:qFormat/>
    <w:rPr>
      <w:b w:val="false"/>
      <w:i w:val="false"/>
    </w:rPr>
  </w:style>
  <w:style w:type="character" w:styleId="WW8Num3z0">
    <w:name w:val="WW8Num3z0"/>
    <w:qFormat/>
    <w:rPr>
      <w:b w:val="false"/>
      <w:i w:val="false"/>
    </w:rPr>
  </w:style>
  <w:style w:type="character" w:styleId="WW8Num3z1">
    <w:name w:val="WW8Num3z1"/>
    <w:qFormat/>
    <w:rPr>
      <w:rFonts w:ascii="Wingdings" w:hAnsi="Wingdings" w:cs="Wingdings"/>
      <w:b w:val="false"/>
      <w:i w:val="false"/>
    </w:rPr>
  </w:style>
  <w:style w:type="character" w:styleId="WW8Num4z0">
    <w:name w:val="WW8Num4z0"/>
    <w:qFormat/>
    <w:rPr>
      <w:b w:val="false"/>
      <w:i w:val="false"/>
    </w:rPr>
  </w:style>
  <w:style w:type="character" w:styleId="WW8Num5z0">
    <w:name w:val="WW8Num5z0"/>
    <w:qFormat/>
    <w:rPr>
      <w:b w:val="false"/>
      <w:i w:val="false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>
      <w:b w:val="false"/>
      <w:i w:val="false"/>
    </w:rPr>
  </w:style>
  <w:style w:type="character" w:styleId="WW8Num7z0">
    <w:name w:val="WW8Num7z0"/>
    <w:qFormat/>
    <w:rPr>
      <w:b w:val="false"/>
      <w:i w:val="false"/>
    </w:rPr>
  </w:style>
  <w:style w:type="character" w:styleId="WW8Num8z0">
    <w:name w:val="WW8Num8z0"/>
    <w:qFormat/>
    <w:rPr>
      <w:b w:val="false"/>
      <w:i w:val="false"/>
    </w:rPr>
  </w:style>
  <w:style w:type="character" w:styleId="WW8Num8z1">
    <w:name w:val="WW8Num8z1"/>
    <w:qFormat/>
    <w:rPr>
      <w:rFonts w:ascii="Symbol" w:hAnsi="Symbol" w:cs="Symbol"/>
      <w:b w:val="false"/>
      <w:i w:val="false"/>
    </w:rPr>
  </w:style>
  <w:style w:type="character" w:styleId="WW8Num9z0">
    <w:name w:val="WW8Num9z0"/>
    <w:qFormat/>
    <w:rPr>
      <w:b w:val="false"/>
      <w:i w:val="false"/>
    </w:rPr>
  </w:style>
  <w:style w:type="character" w:styleId="WW8Num9z1">
    <w:name w:val="WW8Num9z1"/>
    <w:qFormat/>
    <w:rPr>
      <w:rFonts w:ascii="Wingdings" w:hAnsi="Wingdings" w:cs="Wingdings"/>
      <w:b w:val="false"/>
      <w:i w:val="false"/>
    </w:rPr>
  </w:style>
  <w:style w:type="character" w:styleId="WW8Num10z0">
    <w:name w:val="WW8Num10z0"/>
    <w:qFormat/>
    <w:rPr>
      <w:b w:val="false"/>
      <w:i w:val="false"/>
    </w:rPr>
  </w:style>
  <w:style w:type="character" w:styleId="WW8Num11z0">
    <w:name w:val="WW8Num11z0"/>
    <w:qFormat/>
    <w:rPr>
      <w:b w:val="false"/>
      <w:i w:val="false"/>
    </w:rPr>
  </w:style>
  <w:style w:type="character" w:styleId="WW8Num11z1">
    <w:name w:val="WW8Num11z1"/>
    <w:qFormat/>
    <w:rPr>
      <w:rFonts w:ascii="Symbol" w:hAnsi="Symbol" w:cs="Symbol"/>
      <w:b w:val="false"/>
      <w:i w:val="false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b w:val="false"/>
      <w:i w:val="false"/>
    </w:rPr>
  </w:style>
  <w:style w:type="character" w:styleId="WW8Num14z0">
    <w:name w:val="WW8Num14z0"/>
    <w:qFormat/>
    <w:rPr>
      <w:b w:val="false"/>
      <w:i w:val="false"/>
    </w:rPr>
  </w:style>
  <w:style w:type="character" w:styleId="WW8Num15z0">
    <w:name w:val="WW8Num15z0"/>
    <w:qFormat/>
    <w:rPr>
      <w:b w:val="false"/>
      <w:i w:val="false"/>
    </w:rPr>
  </w:style>
  <w:style w:type="character" w:styleId="WW8Num15z1">
    <w:name w:val="WW8Num15z1"/>
    <w:qFormat/>
    <w:rPr>
      <w:rFonts w:ascii="Symbol" w:hAnsi="Symbol" w:cs="Symbol"/>
      <w:b w:val="false"/>
      <w:i w:val="false"/>
    </w:rPr>
  </w:style>
  <w:style w:type="character" w:styleId="WW8Num16z0">
    <w:name w:val="WW8Num16z0"/>
    <w:qFormat/>
    <w:rPr>
      <w:b w:val="false"/>
      <w:i w:val="false"/>
    </w:rPr>
  </w:style>
  <w:style w:type="character" w:styleId="WW8Num16z1">
    <w:name w:val="WW8Num16z1"/>
    <w:qFormat/>
    <w:rPr>
      <w:rFonts w:ascii="Symbol" w:hAnsi="Symbol" w:cs="Symbol"/>
      <w:b w:val="false"/>
      <w:i w:val="false"/>
    </w:rPr>
  </w:style>
  <w:style w:type="character" w:styleId="WW8Num17z0">
    <w:name w:val="WW8Num17z0"/>
    <w:qFormat/>
    <w:rPr>
      <w:b w:val="false"/>
      <w:i w:val="false"/>
    </w:rPr>
  </w:style>
  <w:style w:type="character" w:styleId="WW8Num18z0">
    <w:name w:val="WW8Num18z0"/>
    <w:qFormat/>
    <w:rPr>
      <w:b w:val="false"/>
      <w:i w:val="false"/>
    </w:rPr>
  </w:style>
  <w:style w:type="character" w:styleId="WW8Num19z0">
    <w:name w:val="WW8Num19z0"/>
    <w:qFormat/>
    <w:rPr>
      <w:b w:val="false"/>
      <w:i w:val="false"/>
    </w:rPr>
  </w:style>
  <w:style w:type="character" w:styleId="WW8Num20z0">
    <w:name w:val="WW8Num20z0"/>
    <w:qFormat/>
    <w:rPr>
      <w:b w:val="false"/>
      <w:i w:val="false"/>
    </w:rPr>
  </w:style>
  <w:style w:type="character" w:styleId="WW8Num20z1">
    <w:name w:val="WW8Num20z1"/>
    <w:qFormat/>
    <w:rPr>
      <w:rFonts w:ascii="Wingdings" w:hAnsi="Wingdings" w:cs="Wingdings"/>
      <w:b w:val="false"/>
      <w:i w:val="false"/>
    </w:rPr>
  </w:style>
  <w:style w:type="character" w:styleId="Style14">
    <w:name w:val="Основной шрифт абзаца"/>
    <w:qFormat/>
    <w:rPr/>
  </w:style>
  <w:style w:type="character" w:styleId="PageNumber">
    <w:name w:val="Page Number"/>
    <w:basedOn w:val="Style14"/>
    <w:rPr/>
  </w:style>
  <w:style w:type="character" w:styleId="DeltaViewInsertion">
    <w:name w:val="DeltaView Insertion"/>
    <w:qFormat/>
    <w:rPr>
      <w:b/>
      <w:color w:val="0000FF"/>
      <w:spacing w:val="0"/>
      <w:u w:val="single"/>
    </w:rPr>
  </w:style>
  <w:style w:type="character" w:styleId="Style15">
    <w:name w:val=" Знак Знак"/>
    <w:basedOn w:val="Style14"/>
    <w:qFormat/>
    <w:rPr>
      <w:rFonts w:ascii="Cambria" w:hAnsi="Cambria" w:cs="Cambria"/>
      <w:sz w:val="24"/>
      <w:szCs w:val="24"/>
    </w:rPr>
  </w:style>
  <w:style w:type="character" w:styleId="Style16">
    <w:name w:val="Слабое выделение"/>
    <w:basedOn w:val="Style14"/>
    <w:qFormat/>
    <w:rPr>
      <w:i/>
      <w:iCs/>
      <w:color w:val="808080"/>
    </w:rPr>
  </w:style>
  <w:style w:type="character" w:styleId="Emphasis">
    <w:name w:val="Emphasis"/>
    <w:basedOn w:val="Style14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ubtitle">
    <w:name w:val="Subtitle"/>
    <w:basedOn w:val="Normal"/>
    <w:next w:val="Normal"/>
    <w:qFormat/>
    <w:pPr>
      <w:widowControl w:val="false"/>
      <w:spacing w:before="0" w:after="60"/>
      <w:jc w:val="center"/>
      <w:outlineLvl w:val="1"/>
    </w:pPr>
    <w:rPr>
      <w:rFonts w:ascii="Cambria" w:hAnsi="Cambria" w:cs="Cambria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</TotalTime>
  <Application>LibreOffice/7.6.4.1$Linux_X86_64 LibreOffice_project/60$Build-1</Application>
  <AppVersion>15.0000</AppVersion>
  <Pages>4</Pages>
  <Words>1253</Words>
  <Characters>8392</Characters>
  <CharactersWithSpaces>9660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2011-11-17T13:51:00Z</dcterms:created>
  <dc:creator>Максим</dc:creator>
  <dc:description/>
  <cp:keywords/>
  <dc:language>en-US</dc:language>
  <cp:lastModifiedBy>Admin</cp:lastModifiedBy>
  <cp:lastPrinted>2010-01-25T02:05:00Z</cp:lastPrinted>
  <dcterms:modified xsi:type="dcterms:W3CDTF">2011-11-17T14:04:00Z</dcterms:modified>
  <cp:revision>3</cp:revision>
  <dc:subject/>
  <dc:title>ДОГОВОР ОБ УЧРЕЖДЕНИИ</dc:title>
</cp:coreProperties>
</file>