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AC834" w14:textId="77777777" w:rsidR="00EF4E66" w:rsidRDefault="00B651C0" w:rsidP="009609F3">
      <w:pPr>
        <w:jc w:val="center"/>
        <w:rPr>
          <w:sz w:val="36"/>
          <w:szCs w:val="36"/>
        </w:rPr>
      </w:pPr>
      <w:r w:rsidRPr="00B651C0">
        <w:rPr>
          <w:sz w:val="36"/>
          <w:szCs w:val="36"/>
        </w:rPr>
        <w:t>ОТРАЖЕНИЕ И ПРЕЛОМЛЕНИЕ ЭЛЕКТРОМАГНИТНОЙ ВОЛНЫ</w:t>
      </w:r>
      <w:r w:rsidR="009609F3">
        <w:rPr>
          <w:sz w:val="36"/>
          <w:szCs w:val="36"/>
        </w:rPr>
        <w:t xml:space="preserve">. </w:t>
      </w:r>
    </w:p>
    <w:p w14:paraId="0309E8C5" w14:textId="659467BE" w:rsidR="009609F3" w:rsidRDefault="009609F3" w:rsidP="009609F3">
      <w:pPr>
        <w:jc w:val="center"/>
        <w:rPr>
          <w:sz w:val="36"/>
          <w:szCs w:val="36"/>
        </w:rPr>
      </w:pPr>
      <w:r>
        <w:rPr>
          <w:sz w:val="36"/>
          <w:szCs w:val="36"/>
        </w:rPr>
        <w:t>ФОРМУЛЫ ФРЕНЕЛЯ.</w:t>
      </w:r>
      <w:r w:rsidR="00EF4E66">
        <w:rPr>
          <w:sz w:val="36"/>
          <w:szCs w:val="36"/>
        </w:rPr>
        <w:t xml:space="preserve"> ЗАКОНЫ СНЕЛЛИУСА.</w:t>
      </w:r>
    </w:p>
    <w:p w14:paraId="5962CDB1" w14:textId="3E79F457" w:rsidR="00B651C0" w:rsidRPr="00EF4E66" w:rsidRDefault="00B651C0" w:rsidP="00B651C0">
      <w:pPr>
        <w:jc w:val="center"/>
        <w:rPr>
          <w:sz w:val="36"/>
          <w:szCs w:val="36"/>
        </w:rPr>
      </w:pPr>
    </w:p>
    <w:p w14:paraId="7EAF1ABE" w14:textId="33EEE61A" w:rsidR="00084948" w:rsidRDefault="00B651C0" w:rsidP="00B651C0">
      <w:pPr>
        <w:spacing w:line="360" w:lineRule="auto"/>
        <w:ind w:firstLine="709"/>
        <w:jc w:val="both"/>
      </w:pPr>
      <w:r>
        <w:t xml:space="preserve">После запуска программа на рабочей панели (рис. 1) </w:t>
      </w:r>
      <w:r w:rsidR="00084948">
        <w:t>условно поделена на 3 области</w:t>
      </w:r>
      <w:r w:rsidR="00084948" w:rsidRPr="00084948">
        <w:t xml:space="preserve"> (</w:t>
      </w:r>
      <w:r w:rsidR="00084948">
        <w:t>рис. 2)</w:t>
      </w:r>
      <w:r w:rsidR="004E413F">
        <w:t>, отделенны</w:t>
      </w:r>
      <w:r w:rsidR="00497835">
        <w:t>х</w:t>
      </w:r>
      <w:r w:rsidR="004E413F">
        <w:t xml:space="preserve"> друг от друга красными рамками</w:t>
      </w:r>
      <w:r w:rsidR="00084948">
        <w:t>.</w:t>
      </w:r>
    </w:p>
    <w:p w14:paraId="34957D7C" w14:textId="26DAF565" w:rsidR="002E0E99" w:rsidRDefault="004E413F" w:rsidP="00B651C0">
      <w:pPr>
        <w:spacing w:line="360" w:lineRule="auto"/>
        <w:ind w:firstLine="709"/>
        <w:jc w:val="both"/>
      </w:pPr>
      <w:r>
        <w:t xml:space="preserve">В первой области рабочей панели </w:t>
      </w:r>
      <w:r w:rsidR="00B651C0">
        <w:t>можно увидеть</w:t>
      </w:r>
      <w:r w:rsidR="00925BC7">
        <w:t xml:space="preserve"> поля для ввода </w:t>
      </w:r>
      <w:r w:rsidR="00925BC7" w:rsidRPr="00B402A3">
        <w:rPr>
          <w:i/>
          <w:iCs/>
        </w:rPr>
        <w:t>показателей преломления сред</w:t>
      </w:r>
      <w:r w:rsidR="00925BC7">
        <w:t xml:space="preserve">, в которых проводится исследование, </w:t>
      </w:r>
      <w:r w:rsidR="00925BC7" w:rsidRPr="00B402A3">
        <w:rPr>
          <w:i/>
          <w:iCs/>
        </w:rPr>
        <w:t>амплитуд</w:t>
      </w:r>
      <w:r w:rsidR="00925BC7">
        <w:t xml:space="preserve"> </w:t>
      </w:r>
      <w:r w:rsidR="002D2368">
        <w:t>перпендикулярной и</w:t>
      </w:r>
      <w:r w:rsidR="00925BC7">
        <w:t xml:space="preserve"> параллельной составляющих </w:t>
      </w:r>
      <w:r w:rsidR="00925BC7" w:rsidRPr="00B402A3">
        <w:rPr>
          <w:i/>
          <w:iCs/>
        </w:rPr>
        <w:t>падающей</w:t>
      </w:r>
      <w:r w:rsidR="00925BC7">
        <w:t xml:space="preserve"> </w:t>
      </w:r>
      <w:r w:rsidR="00925BC7" w:rsidRPr="00B402A3">
        <w:rPr>
          <w:i/>
          <w:iCs/>
        </w:rPr>
        <w:t>волны</w:t>
      </w:r>
      <w:r w:rsidR="00925BC7">
        <w:t xml:space="preserve"> и </w:t>
      </w:r>
      <w:r w:rsidR="00925BC7" w:rsidRPr="00B402A3">
        <w:rPr>
          <w:i/>
          <w:iCs/>
        </w:rPr>
        <w:t>угла падения</w:t>
      </w:r>
      <w:r w:rsidR="00925BC7">
        <w:t xml:space="preserve"> электромагнитной волны</w:t>
      </w:r>
      <w:r w:rsidR="002D2368">
        <w:t xml:space="preserve">. </w:t>
      </w:r>
      <w:r w:rsidR="00FC3EE7">
        <w:t>Здесь же находится кнопк</w:t>
      </w:r>
      <w:r w:rsidR="00E932B9">
        <w:t>а</w:t>
      </w:r>
      <w:r w:rsidR="00FC3EE7">
        <w:t xml:space="preserve"> «Применить», которая пересчитывает показатели с новыми данными.</w:t>
      </w:r>
    </w:p>
    <w:p w14:paraId="544B333E" w14:textId="159938DB" w:rsidR="004E413F" w:rsidRDefault="004E413F" w:rsidP="00B651C0">
      <w:pPr>
        <w:spacing w:line="360" w:lineRule="auto"/>
        <w:ind w:firstLine="709"/>
        <w:jc w:val="both"/>
      </w:pPr>
      <w:r>
        <w:t xml:space="preserve">Во второй области рабочей панели представлены </w:t>
      </w:r>
      <w:r w:rsidR="000B4626">
        <w:t>следующие значения:</w:t>
      </w:r>
      <w:r>
        <w:t xml:space="preserve"> </w:t>
      </w:r>
      <w:r w:rsidR="000B4626" w:rsidRPr="00B402A3">
        <w:rPr>
          <w:i/>
          <w:iCs/>
        </w:rPr>
        <w:t>угол преломления</w:t>
      </w:r>
      <w:r w:rsidR="000B4626">
        <w:t xml:space="preserve">, </w:t>
      </w:r>
      <w:r w:rsidR="000B4626" w:rsidRPr="00B402A3">
        <w:rPr>
          <w:i/>
          <w:iCs/>
        </w:rPr>
        <w:t>угол</w:t>
      </w:r>
      <w:r w:rsidR="000B4626">
        <w:t xml:space="preserve"> </w:t>
      </w:r>
      <w:r w:rsidR="000B4626" w:rsidRPr="00B402A3">
        <w:rPr>
          <w:i/>
          <w:iCs/>
        </w:rPr>
        <w:t>полного</w:t>
      </w:r>
      <w:r w:rsidR="000B4626">
        <w:t xml:space="preserve"> внутреннего </w:t>
      </w:r>
      <w:r w:rsidR="000B4626" w:rsidRPr="00B402A3">
        <w:rPr>
          <w:i/>
          <w:iCs/>
        </w:rPr>
        <w:t>отражения</w:t>
      </w:r>
      <w:r w:rsidR="000B4626">
        <w:t xml:space="preserve">, </w:t>
      </w:r>
      <w:r w:rsidR="000B4626" w:rsidRPr="00B402A3">
        <w:rPr>
          <w:i/>
          <w:iCs/>
        </w:rPr>
        <w:t xml:space="preserve">угол </w:t>
      </w:r>
      <w:proofErr w:type="spellStart"/>
      <w:r w:rsidR="000B4626" w:rsidRPr="00B402A3">
        <w:rPr>
          <w:i/>
          <w:iCs/>
        </w:rPr>
        <w:t>Брюстера</w:t>
      </w:r>
      <w:proofErr w:type="spellEnd"/>
      <w:r w:rsidR="000B4626">
        <w:t xml:space="preserve">, </w:t>
      </w:r>
      <w:r w:rsidR="000B4626" w:rsidRPr="00B402A3">
        <w:rPr>
          <w:i/>
          <w:iCs/>
        </w:rPr>
        <w:t>амплитуды</w:t>
      </w:r>
      <w:r w:rsidR="000B4626">
        <w:t xml:space="preserve"> перпендикулярной и параллельной составляющих </w:t>
      </w:r>
      <w:r w:rsidR="000B4626" w:rsidRPr="00B402A3">
        <w:rPr>
          <w:i/>
          <w:iCs/>
        </w:rPr>
        <w:t>отраженной</w:t>
      </w:r>
      <w:r w:rsidR="000B4626">
        <w:t xml:space="preserve"> и </w:t>
      </w:r>
      <w:r w:rsidR="000B4626" w:rsidRPr="00B402A3">
        <w:rPr>
          <w:i/>
          <w:iCs/>
        </w:rPr>
        <w:t>преломленной</w:t>
      </w:r>
      <w:r w:rsidR="000B4626">
        <w:t xml:space="preserve"> </w:t>
      </w:r>
      <w:r w:rsidR="000B4626" w:rsidRPr="00B402A3">
        <w:rPr>
          <w:i/>
          <w:iCs/>
        </w:rPr>
        <w:t>волны</w:t>
      </w:r>
      <w:r w:rsidR="000B4626">
        <w:t xml:space="preserve">, </w:t>
      </w:r>
      <w:r w:rsidR="000B4626" w:rsidRPr="00B402A3">
        <w:rPr>
          <w:i/>
          <w:iCs/>
        </w:rPr>
        <w:t>коэффициенты</w:t>
      </w:r>
      <w:r w:rsidR="000B4626">
        <w:t xml:space="preserve"> </w:t>
      </w:r>
      <w:r w:rsidR="000B4626" w:rsidRPr="00B402A3">
        <w:rPr>
          <w:i/>
          <w:iCs/>
        </w:rPr>
        <w:t>отражения</w:t>
      </w:r>
      <w:r w:rsidR="000B4626">
        <w:t xml:space="preserve"> и </w:t>
      </w:r>
      <w:r w:rsidR="000B4626" w:rsidRPr="00B402A3">
        <w:rPr>
          <w:i/>
          <w:iCs/>
        </w:rPr>
        <w:t>пропускания</w:t>
      </w:r>
      <w:r w:rsidR="000B4626">
        <w:t>.</w:t>
      </w:r>
    </w:p>
    <w:p w14:paraId="679F7CCD" w14:textId="527AC21D" w:rsidR="00B651C0" w:rsidRDefault="002D2368" w:rsidP="00B651C0">
      <w:pPr>
        <w:spacing w:line="360" w:lineRule="auto"/>
        <w:ind w:firstLine="709"/>
        <w:jc w:val="both"/>
      </w:pPr>
      <w:r>
        <w:t>В</w:t>
      </w:r>
      <w:r w:rsidR="00C23AB1">
        <w:t xml:space="preserve"> </w:t>
      </w:r>
      <w:r w:rsidR="004E413F">
        <w:t>третьей</w:t>
      </w:r>
      <w:r w:rsidR="00C23AB1">
        <w:t xml:space="preserve"> области </w:t>
      </w:r>
      <w:r>
        <w:t xml:space="preserve">рабочей панели можно увидеть </w:t>
      </w:r>
      <w:r w:rsidRPr="00B402A3">
        <w:rPr>
          <w:i/>
          <w:iCs/>
        </w:rPr>
        <w:t>график отражения и преломления падающего луча</w:t>
      </w:r>
      <w:r>
        <w:t xml:space="preserve"> (более плотная среда помечена бледно-голубым цветом) и  ниже вкладка с набором графиков (по оси </w:t>
      </w:r>
      <w:r>
        <w:rPr>
          <w:lang w:val="en-US"/>
        </w:rPr>
        <w:t>X</w:t>
      </w:r>
      <w:r w:rsidRPr="002D2368">
        <w:t xml:space="preserve"> </w:t>
      </w:r>
      <w:r>
        <w:t xml:space="preserve">отложен угол падения от 0 до 90): </w:t>
      </w:r>
      <w:r w:rsidRPr="002E0E99">
        <w:rPr>
          <w:i/>
          <w:iCs/>
        </w:rPr>
        <w:t>коэффициенты</w:t>
      </w:r>
      <w:r>
        <w:t xml:space="preserve"> </w:t>
      </w:r>
      <w:r w:rsidRPr="00B402A3">
        <w:rPr>
          <w:i/>
          <w:iCs/>
        </w:rPr>
        <w:t>отражения</w:t>
      </w:r>
      <w:r>
        <w:t xml:space="preserve"> </w:t>
      </w:r>
      <w:r w:rsidRPr="00B402A3">
        <w:rPr>
          <w:i/>
          <w:iCs/>
        </w:rPr>
        <w:t>и</w:t>
      </w:r>
      <w:r>
        <w:t xml:space="preserve"> </w:t>
      </w:r>
      <w:r w:rsidRPr="00B402A3">
        <w:rPr>
          <w:i/>
          <w:iCs/>
        </w:rPr>
        <w:t>преломления</w:t>
      </w:r>
      <w:r>
        <w:t xml:space="preserve"> для данных сред</w:t>
      </w:r>
      <w:r w:rsidR="002E0E99">
        <w:t xml:space="preserve">, </w:t>
      </w:r>
      <w:r w:rsidR="002E0E99" w:rsidRPr="002E0E99">
        <w:rPr>
          <w:i/>
          <w:iCs/>
        </w:rPr>
        <w:t>амплитуды</w:t>
      </w:r>
      <w:r w:rsidR="002E0E99">
        <w:t xml:space="preserve"> перпендикулярной и параллельной составляющих </w:t>
      </w:r>
      <w:r w:rsidR="002E0E99" w:rsidRPr="00B402A3">
        <w:rPr>
          <w:i/>
          <w:iCs/>
        </w:rPr>
        <w:t>отраженной</w:t>
      </w:r>
      <w:r w:rsidR="002E0E99">
        <w:t xml:space="preserve"> волны, </w:t>
      </w:r>
      <w:r w:rsidR="002E0E99" w:rsidRPr="00B402A3">
        <w:rPr>
          <w:i/>
          <w:iCs/>
        </w:rPr>
        <w:t>отношение амплитуд</w:t>
      </w:r>
      <w:r w:rsidR="002E0E99">
        <w:t xml:space="preserve"> отраженной и падающей волн, </w:t>
      </w:r>
      <w:r w:rsidR="002E0E99" w:rsidRPr="00B402A3">
        <w:rPr>
          <w:i/>
          <w:iCs/>
        </w:rPr>
        <w:t>отношение абсолютных амплитуд</w:t>
      </w:r>
      <w:r w:rsidR="002E0E99">
        <w:t xml:space="preserve"> отраженной и падающей волн и </w:t>
      </w:r>
      <w:r w:rsidR="002E0E99" w:rsidRPr="00B402A3">
        <w:rPr>
          <w:i/>
          <w:iCs/>
        </w:rPr>
        <w:t>поперечное сечение преломленного луча</w:t>
      </w:r>
      <w:r w:rsidR="002E0E99">
        <w:t>.</w:t>
      </w:r>
    </w:p>
    <w:p w14:paraId="1C45086C" w14:textId="77777777" w:rsidR="00D94F80" w:rsidRDefault="00D94F80" w:rsidP="000B4626">
      <w:pPr>
        <w:spacing w:line="360" w:lineRule="auto"/>
        <w:jc w:val="both"/>
      </w:pPr>
    </w:p>
    <w:p w14:paraId="6110C57C" w14:textId="77777777" w:rsidR="00D94F80" w:rsidRDefault="00D94F80" w:rsidP="000B4626">
      <w:pPr>
        <w:spacing w:line="360" w:lineRule="auto"/>
        <w:jc w:val="both"/>
      </w:pPr>
    </w:p>
    <w:p w14:paraId="7A7AFA0C" w14:textId="59876633" w:rsidR="00B651C0" w:rsidRPr="00D94F80" w:rsidRDefault="00946073" w:rsidP="000B4626">
      <w:pPr>
        <w:spacing w:line="360" w:lineRule="auto"/>
        <w:jc w:val="both"/>
        <w:rPr>
          <w:i/>
          <w:iCs/>
          <w:color w:val="FFFFFF" w:themeColor="background1"/>
        </w:rPr>
      </w:pPr>
      <w:r w:rsidRPr="00D94F80">
        <w:rPr>
          <w:i/>
          <w:iCs/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1455BA3" wp14:editId="6AD59D27">
                <wp:simplePos x="0" y="0"/>
                <wp:positionH relativeFrom="column">
                  <wp:posOffset>-499110</wp:posOffset>
                </wp:positionH>
                <wp:positionV relativeFrom="paragraph">
                  <wp:posOffset>7890510</wp:posOffset>
                </wp:positionV>
                <wp:extent cx="6614795" cy="635"/>
                <wp:effectExtent l="0" t="0" r="0" b="2540"/>
                <wp:wrapTight wrapText="bothSides">
                  <wp:wrapPolygon edited="0">
                    <wp:start x="0" y="0"/>
                    <wp:lineTo x="0" y="20420"/>
                    <wp:lineTo x="21523" y="20420"/>
                    <wp:lineTo x="21523" y="0"/>
                    <wp:lineTo x="0" y="0"/>
                  </wp:wrapPolygon>
                </wp:wrapTight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47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56AE96" w14:textId="2A144661" w:rsidR="00946073" w:rsidRPr="00946073" w:rsidRDefault="00946073" w:rsidP="00946073">
                            <w:pPr>
                              <w:pStyle w:val="a3"/>
                              <w:jc w:val="center"/>
                              <w:rPr>
                                <w:noProof/>
                                <w:sz w:val="40"/>
                                <w:szCs w:val="40"/>
                              </w:rPr>
                            </w:pPr>
                            <w:r w:rsidRPr="00946073">
                              <w:rPr>
                                <w:sz w:val="24"/>
                                <w:szCs w:val="24"/>
                              </w:rPr>
                              <w:t>Рис. 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 Рабочая панель, поделенная на области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455BA3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-39.3pt;margin-top:621.3pt;width:520.8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" stroked="f">
                <v:textbox style="mso-fit-shape-to-text:t" inset="0,0,0,0">
                  <w:txbxContent>
                    <w:p w14:paraId="1656AE96" w14:textId="2A144661" w:rsidR="00946073" w:rsidRPr="00946073" w:rsidRDefault="00946073" w:rsidP="00946073">
                      <w:pPr>
                        <w:pStyle w:val="a3"/>
                        <w:jc w:val="center"/>
                        <w:rPr>
                          <w:noProof/>
                          <w:sz w:val="40"/>
                          <w:szCs w:val="40"/>
                        </w:rPr>
                      </w:pPr>
                      <w:r w:rsidRPr="00946073">
                        <w:rPr>
                          <w:sz w:val="24"/>
                          <w:szCs w:val="24"/>
                        </w:rPr>
                        <w:t>Рис. 2</w:t>
                      </w:r>
                      <w:r>
                        <w:rPr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sz w:val="24"/>
                          <w:szCs w:val="24"/>
                        </w:rPr>
                        <w:t>Рабочая панель</w:t>
                      </w:r>
                      <w:r>
                        <w:rPr>
                          <w:sz w:val="24"/>
                          <w:szCs w:val="24"/>
                        </w:rPr>
                        <w:t>, поделенная на области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D94F80">
        <w:rPr>
          <w:i/>
          <w:iCs/>
          <w:noProof/>
          <w:color w:val="FFFFFF" w:themeColor="background1"/>
        </w:rPr>
        <w:drawing>
          <wp:anchor distT="0" distB="0" distL="114300" distR="114300" simplePos="0" relativeHeight="251661312" behindDoc="1" locked="0" layoutInCell="1" allowOverlap="1" wp14:anchorId="13BF4098" wp14:editId="1D1E5FAC">
            <wp:simplePos x="0" y="0"/>
            <wp:positionH relativeFrom="column">
              <wp:posOffset>-494665</wp:posOffset>
            </wp:positionH>
            <wp:positionV relativeFrom="paragraph">
              <wp:posOffset>4222750</wp:posOffset>
            </wp:positionV>
            <wp:extent cx="6614795" cy="3609975"/>
            <wp:effectExtent l="0" t="0" r="0" b="9525"/>
            <wp:wrapTight wrapText="bothSides">
              <wp:wrapPolygon edited="0">
                <wp:start x="0" y="0"/>
                <wp:lineTo x="0" y="21543"/>
                <wp:lineTo x="21523" y="21543"/>
                <wp:lineTo x="2152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79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626" w:rsidRPr="00D94F80">
        <w:rPr>
          <w:i/>
          <w:i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8148DB" wp14:editId="61CF84E4">
                <wp:simplePos x="0" y="0"/>
                <wp:positionH relativeFrom="column">
                  <wp:posOffset>-485140</wp:posOffset>
                </wp:positionH>
                <wp:positionV relativeFrom="paragraph">
                  <wp:posOffset>3819525</wp:posOffset>
                </wp:positionV>
                <wp:extent cx="66128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28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7B36B8" w14:textId="7872A1E1" w:rsidR="00B651C0" w:rsidRPr="00B651C0" w:rsidRDefault="00B651C0" w:rsidP="00B651C0">
                            <w:pPr>
                              <w:pStyle w:val="a3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651C0">
                              <w:rPr>
                                <w:sz w:val="24"/>
                                <w:szCs w:val="24"/>
                              </w:rPr>
                              <w:t>Рис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B651C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80C3B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 Рабочая панель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148DB" id="Надпись 2" o:spid="_x0000_s1027" type="#_x0000_t202" style="position:absolute;left:0;text-align:left;margin-left:-38.2pt;margin-top:300.75pt;width:520.7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" stroked="f">
                <v:textbox style="mso-fit-shape-to-text:t" inset="0,0,0,0">
                  <w:txbxContent>
                    <w:p w14:paraId="707B36B8" w14:textId="7872A1E1" w:rsidR="00B651C0" w:rsidRPr="00B651C0" w:rsidRDefault="00B651C0" w:rsidP="00B651C0">
                      <w:pPr>
                        <w:pStyle w:val="a3"/>
                        <w:jc w:val="center"/>
                        <w:rPr>
                          <w:sz w:val="24"/>
                          <w:szCs w:val="24"/>
                        </w:rPr>
                      </w:pPr>
                      <w:r w:rsidRPr="00B651C0">
                        <w:rPr>
                          <w:sz w:val="24"/>
                          <w:szCs w:val="24"/>
                        </w:rPr>
                        <w:t>Рис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  <w:r w:rsidRPr="00B651C0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F80C3B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</w:rPr>
                        <w:t>. Рабочая панель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B4626" w:rsidRPr="00D94F80">
        <w:rPr>
          <w:i/>
          <w:iCs/>
          <w:noProof/>
          <w:color w:val="FFFFFF" w:themeColor="background1"/>
        </w:rPr>
        <w:drawing>
          <wp:anchor distT="0" distB="0" distL="114300" distR="114300" simplePos="0" relativeHeight="251658240" behindDoc="1" locked="0" layoutInCell="1" allowOverlap="1" wp14:anchorId="7AE73D8B" wp14:editId="0FCF6571">
            <wp:simplePos x="0" y="0"/>
            <wp:positionH relativeFrom="column">
              <wp:posOffset>-485140</wp:posOffset>
            </wp:positionH>
            <wp:positionV relativeFrom="paragraph">
              <wp:posOffset>0</wp:posOffset>
            </wp:positionV>
            <wp:extent cx="6613230" cy="3657600"/>
            <wp:effectExtent l="0" t="0" r="0" b="0"/>
            <wp:wrapTight wrapText="bothSides">
              <wp:wrapPolygon edited="0">
                <wp:start x="0" y="0"/>
                <wp:lineTo x="0" y="21488"/>
                <wp:lineTo x="21529" y="21488"/>
                <wp:lineTo x="2152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323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4F80" w:rsidRPr="00D94F80">
        <w:rPr>
          <w:i/>
          <w:iCs/>
          <w:noProof/>
          <w:color w:val="FFFFFF" w:themeColor="background1"/>
        </w:rPr>
        <w:t>поздравляю, вы обнаружили пасхалку!</w:t>
      </w:r>
    </w:p>
    <w:p w14:paraId="50BD70F3" w14:textId="0EA2EE20" w:rsidR="00D94F80" w:rsidRDefault="00D94F80" w:rsidP="000B4626">
      <w:pPr>
        <w:spacing w:line="360" w:lineRule="auto"/>
        <w:jc w:val="both"/>
        <w:rPr>
          <w:i/>
          <w:iCs/>
        </w:rPr>
      </w:pPr>
    </w:p>
    <w:p w14:paraId="1B95FEEB" w14:textId="4D472EF2" w:rsidR="00D94F80" w:rsidRDefault="00D94F80" w:rsidP="000B4626">
      <w:pPr>
        <w:spacing w:line="360" w:lineRule="auto"/>
        <w:jc w:val="both"/>
        <w:rPr>
          <w:i/>
          <w:iCs/>
        </w:rPr>
      </w:pPr>
    </w:p>
    <w:p w14:paraId="3EE0C9B7" w14:textId="27DE08A0" w:rsidR="00D94F80" w:rsidRPr="007969CA" w:rsidRDefault="008237A8" w:rsidP="005E3707">
      <w:pPr>
        <w:spacing w:line="360" w:lineRule="auto"/>
        <w:ind w:firstLine="567"/>
        <w:jc w:val="center"/>
        <w:rPr>
          <w:b/>
          <w:bCs/>
        </w:rPr>
      </w:pPr>
      <w:r w:rsidRPr="007969CA">
        <w:rPr>
          <w:b/>
          <w:bCs/>
        </w:rPr>
        <w:lastRenderedPageBreak/>
        <w:t>Данная программа использует следующи</w:t>
      </w:r>
      <w:r w:rsidR="00B63EAC" w:rsidRPr="007969CA">
        <w:rPr>
          <w:b/>
          <w:bCs/>
        </w:rPr>
        <w:t>е</w:t>
      </w:r>
      <w:r w:rsidRPr="007969CA">
        <w:rPr>
          <w:b/>
          <w:bCs/>
        </w:rPr>
        <w:t xml:space="preserve"> формулы для расчётов:</w:t>
      </w:r>
    </w:p>
    <w:p w14:paraId="7C72D58D" w14:textId="450D4EDD" w:rsidR="008237A8" w:rsidRPr="00D02BA9" w:rsidRDefault="003669E2" w:rsidP="005E3707">
      <w:pPr>
        <w:spacing w:line="360" w:lineRule="auto"/>
        <w:ind w:firstLine="567"/>
        <w:jc w:val="both"/>
        <w:rPr>
          <w:i/>
          <w:iCs/>
        </w:rPr>
      </w:pPr>
      <w:r w:rsidRPr="00D02BA9">
        <w:rPr>
          <w:i/>
          <w:iCs/>
        </w:rPr>
        <w:t>Угол преломления</w:t>
      </w:r>
      <w:r w:rsidR="000A723F">
        <w:rPr>
          <w:i/>
          <w:iCs/>
        </w:rPr>
        <w:t xml:space="preserve"> (по </w:t>
      </w:r>
      <w:r w:rsidR="000A723F" w:rsidRPr="000A723F">
        <w:rPr>
          <w:b/>
          <w:bCs/>
          <w:i/>
          <w:iCs/>
        </w:rPr>
        <w:t xml:space="preserve">закону </w:t>
      </w:r>
      <w:proofErr w:type="spellStart"/>
      <w:r w:rsidR="000A723F" w:rsidRPr="000A723F">
        <w:rPr>
          <w:b/>
          <w:bCs/>
          <w:i/>
          <w:iCs/>
        </w:rPr>
        <w:t>Снеллиуса</w:t>
      </w:r>
      <w:proofErr w:type="spellEnd"/>
      <w:r w:rsidR="000A723F">
        <w:rPr>
          <w:i/>
          <w:iCs/>
        </w:rPr>
        <w:t>)</w:t>
      </w:r>
      <w:r w:rsidRPr="00D02BA9">
        <w:rPr>
          <w:i/>
          <w:iCs/>
        </w:rPr>
        <w:t>:</w:t>
      </w:r>
    </w:p>
    <w:p w14:paraId="4C22E583" w14:textId="00EF1576" w:rsidR="003669E2" w:rsidRPr="00E46122" w:rsidRDefault="00E46122" w:rsidP="005E3707">
      <w:pPr>
        <w:spacing w:line="360" w:lineRule="auto"/>
        <w:ind w:firstLine="567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θ=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sinφ∙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     (1)</m:t>
          </m:r>
        </m:oMath>
      </m:oMathPara>
    </w:p>
    <w:p w14:paraId="297502C7" w14:textId="29357DCF" w:rsidR="00E46122" w:rsidRDefault="00E46122" w:rsidP="005E3707">
      <w:pPr>
        <w:spacing w:line="360" w:lineRule="auto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– угол преломления, 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 w:rsidRPr="00E46122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E46122">
        <w:rPr>
          <w:rFonts w:eastAsiaTheme="minorEastAsia"/>
        </w:rPr>
        <w:t xml:space="preserve"> </w:t>
      </w:r>
      <w:r>
        <w:rPr>
          <w:rFonts w:eastAsiaTheme="minorEastAsia"/>
        </w:rPr>
        <w:t>угол падения.</w:t>
      </w:r>
    </w:p>
    <w:p w14:paraId="04283DB4" w14:textId="5F31DB1A" w:rsidR="00D02BA9" w:rsidRPr="00D02BA9" w:rsidRDefault="00D02BA9" w:rsidP="005E3707">
      <w:pPr>
        <w:spacing w:line="360" w:lineRule="auto"/>
        <w:ind w:firstLine="567"/>
        <w:jc w:val="both"/>
        <w:rPr>
          <w:rFonts w:eastAsiaTheme="minorEastAsia"/>
          <w:i/>
          <w:iCs/>
        </w:rPr>
      </w:pPr>
      <w:r w:rsidRPr="00D02BA9">
        <w:rPr>
          <w:rFonts w:eastAsiaTheme="minorEastAsia"/>
          <w:i/>
          <w:iCs/>
        </w:rPr>
        <w:t xml:space="preserve">Угол </w:t>
      </w:r>
      <w:proofErr w:type="spellStart"/>
      <w:r w:rsidRPr="00D02BA9">
        <w:rPr>
          <w:rFonts w:eastAsiaTheme="minorEastAsia"/>
          <w:i/>
          <w:iCs/>
        </w:rPr>
        <w:t>Брюстера</w:t>
      </w:r>
      <w:proofErr w:type="spellEnd"/>
      <w:r w:rsidRPr="00D02BA9">
        <w:rPr>
          <w:rFonts w:eastAsiaTheme="minorEastAsia"/>
          <w:i/>
          <w:iCs/>
        </w:rPr>
        <w:t>:</w:t>
      </w:r>
    </w:p>
    <w:p w14:paraId="16AF5B2D" w14:textId="3AC0CBCE" w:rsidR="00D02BA9" w:rsidRPr="003F3D75" w:rsidRDefault="00B67714" w:rsidP="005E3707">
      <w:pPr>
        <w:spacing w:line="360" w:lineRule="auto"/>
        <w:ind w:firstLine="567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БР</m:t>
              </m:r>
            </m:sub>
          </m:sSub>
          <m:r>
            <w:rPr>
              <w:rFonts w:ascii="Cambria Math" w:hAnsi="Cambria Math"/>
            </w:rPr>
            <m:t>=arctg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    (2)</m:t>
          </m:r>
        </m:oMath>
      </m:oMathPara>
    </w:p>
    <w:p w14:paraId="02F45FF8" w14:textId="36C54EE0" w:rsidR="00D94F80" w:rsidRDefault="00AF6166" w:rsidP="005E3707">
      <w:pPr>
        <w:spacing w:line="360" w:lineRule="auto"/>
        <w:ind w:firstLine="567"/>
        <w:jc w:val="both"/>
        <w:rPr>
          <w:i/>
          <w:iCs/>
        </w:rPr>
      </w:pPr>
      <w:r>
        <w:rPr>
          <w:i/>
          <w:iCs/>
        </w:rPr>
        <w:t>Угол полного внутреннего отражения:</w:t>
      </w:r>
    </w:p>
    <w:p w14:paraId="4A6FB886" w14:textId="7234DFB7" w:rsidR="00AF6166" w:rsidRPr="00463148" w:rsidRDefault="00B67714" w:rsidP="005E3707">
      <w:pPr>
        <w:spacing w:line="360" w:lineRule="auto"/>
        <w:ind w:firstLine="567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полн.отр.</m:t>
              </m:r>
            </m:sub>
          </m:sSub>
          <m:r>
            <w:rPr>
              <w:rFonts w:ascii="Cambria Math" w:hAnsi="Cambria Math"/>
            </w:rPr>
            <m:t>=arcsin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     (3)</m:t>
          </m:r>
        </m:oMath>
      </m:oMathPara>
    </w:p>
    <w:p w14:paraId="2C4338B7" w14:textId="6012F82E" w:rsidR="00463148" w:rsidRDefault="00463148" w:rsidP="005E3707">
      <w:pPr>
        <w:spacing w:line="360" w:lineRule="auto"/>
        <w:ind w:firstLine="567"/>
        <w:jc w:val="both"/>
        <w:rPr>
          <w:rFonts w:eastAsiaTheme="minorEastAsia"/>
          <w:i/>
        </w:rPr>
      </w:pPr>
      <w:r>
        <w:rPr>
          <w:rFonts w:eastAsiaTheme="minorEastAsia"/>
          <w:i/>
        </w:rPr>
        <w:t>Амплитуды:</w:t>
      </w:r>
    </w:p>
    <w:p w14:paraId="7DB0C3FE" w14:textId="2425DDE9" w:rsidR="00463148" w:rsidRPr="00986494" w:rsidRDefault="00B67714" w:rsidP="005E3707">
      <w:pPr>
        <w:spacing w:line="360" w:lineRule="auto"/>
        <w:ind w:firstLine="567"/>
        <w:jc w:val="both"/>
        <w:rPr>
          <w:i/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прелом.</m:t>
              </m:r>
            </m:sub>
            <m:sup>
              <m:r>
                <m:rPr>
                  <m:sty m:val="p"/>
                </m:rPr>
                <w:rPr>
                  <w:rFonts w:ascii="Cambria Math" w:hAnsi="Cambria Math" w:cs="Cambria Math"/>
                </w:rPr>
                <m:t>⊥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cosφ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cosφ+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cosθ ⁡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пад.</m:t>
              </m:r>
            </m:sub>
            <m:sup>
              <m:r>
                <m:rPr>
                  <m:sty m:val="p"/>
                </m:rPr>
                <w:rPr>
                  <w:rFonts w:ascii="Cambria Math" w:hAnsi="Cambria Math" w:cs="Cambria Math"/>
                </w:rPr>
                <m:t>⊥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2cosφ sinθ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(φ+θ)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пад.</m:t>
              </m:r>
            </m:sub>
            <m:sup>
              <m:r>
                <m:rPr>
                  <m:sty m:val="p"/>
                </m:rPr>
                <w:rPr>
                  <w:rFonts w:ascii="Cambria Math" w:hAnsi="Cambria Math" w:cs="Cambria Math"/>
                </w:rPr>
                <m:t>⊥</m:t>
              </m:r>
            </m:sup>
          </m:sSubSup>
          <m:r>
            <w:rPr>
              <w:rFonts w:ascii="Cambria Math" w:hAnsi="Cambria Math"/>
            </w:rPr>
            <m:t xml:space="preserve">     (4)</m:t>
          </m:r>
        </m:oMath>
      </m:oMathPara>
    </w:p>
    <w:p w14:paraId="50537F5A" w14:textId="66026F4E" w:rsidR="008E3174" w:rsidRPr="00986494" w:rsidRDefault="00B67714" w:rsidP="005E3707">
      <w:pPr>
        <w:spacing w:line="360" w:lineRule="auto"/>
        <w:ind w:firstLine="567"/>
        <w:jc w:val="both"/>
        <w:rPr>
          <w:i/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прелом.</m:t>
              </m:r>
            </m:sub>
            <m:sup>
              <m:r>
                <m:rPr>
                  <m:sty m:val="p"/>
                </m:rPr>
                <w:rPr>
                  <w:rFonts w:ascii="Cambria Math" w:hAnsi="Cambria Math" w:cs="Cambria Math"/>
                </w:rPr>
                <m:t>||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cosφ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cosφ+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cosθ ⁡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пад.</m:t>
              </m:r>
            </m:sub>
            <m:sup>
              <m:r>
                <m:rPr>
                  <m:sty m:val="p"/>
                </m:rPr>
                <w:rPr>
                  <w:rFonts w:ascii="Cambria Math" w:hAnsi="Cambria Math" w:cs="Cambria Math"/>
                </w:rPr>
                <m:t>||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2cosφ sinθ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φ+θ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(φ-θ)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пад.</m:t>
              </m:r>
            </m:sub>
            <m:sup>
              <m:r>
                <m:rPr>
                  <m:sty m:val="p"/>
                </m:rPr>
                <w:rPr>
                  <w:rFonts w:ascii="Cambria Math" w:hAnsi="Cambria Math" w:cs="Cambria Math"/>
                </w:rPr>
                <m:t>||</m:t>
              </m:r>
            </m:sup>
          </m:sSubSup>
          <m:r>
            <w:rPr>
              <w:rFonts w:ascii="Cambria Math" w:hAnsi="Cambria Math"/>
            </w:rPr>
            <m:t xml:space="preserve">     (5)</m:t>
          </m:r>
        </m:oMath>
      </m:oMathPara>
    </w:p>
    <w:p w14:paraId="1B3E5A39" w14:textId="4D4D06D5" w:rsidR="00D94F80" w:rsidRPr="00B559D8" w:rsidRDefault="00B67714" w:rsidP="005E3707">
      <w:pPr>
        <w:spacing w:line="360" w:lineRule="auto"/>
        <w:ind w:firstLine="567"/>
        <w:jc w:val="both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отр.</m:t>
              </m:r>
            </m:sub>
            <m:sup>
              <m:r>
                <m:rPr>
                  <m:sty m:val="p"/>
                </m:rPr>
                <w:rPr>
                  <w:rFonts w:ascii="Cambria Math" w:hAnsi="Cambria Math" w:cs="Cambria Math"/>
                </w:rPr>
                <m:t>⊥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cosφ-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cosθ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cosφ+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cosθ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пад.</m:t>
              </m:r>
            </m:sub>
            <m:sup>
              <m:r>
                <m:rPr>
                  <m:sty m:val="p"/>
                </m:rPr>
                <w:rPr>
                  <w:rFonts w:ascii="Cambria Math" w:hAnsi="Cambria Math" w:cs="Cambria Math"/>
                </w:rPr>
                <m:t>⊥</m:t>
              </m:r>
            </m:sup>
          </m:sSubSup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φ-θ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φ+θ</m:t>
                      </m:r>
                    </m:e>
                  </m:d>
                </m:e>
              </m:func>
            </m:den>
          </m:f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пад.</m:t>
              </m:r>
            </m:sub>
            <m:sup>
              <m:r>
                <m:rPr>
                  <m:sty m:val="p"/>
                </m:rPr>
                <w:rPr>
                  <w:rFonts w:ascii="Cambria Math" w:hAnsi="Cambria Math" w:cs="Cambria Math"/>
                </w:rPr>
                <m:t>⊥</m:t>
              </m:r>
            </m:sup>
          </m:sSubSup>
          <m:r>
            <w:rPr>
              <w:rFonts w:ascii="Cambria Math" w:eastAsiaTheme="minorEastAsia" w:hAnsi="Cambria Math"/>
            </w:rPr>
            <m:t xml:space="preserve">     (6)</m:t>
          </m:r>
        </m:oMath>
      </m:oMathPara>
    </w:p>
    <w:p w14:paraId="27BA5A90" w14:textId="5D045620" w:rsidR="00B559D8" w:rsidRPr="00476FEB" w:rsidRDefault="00B67714" w:rsidP="005E3707">
      <w:pPr>
        <w:spacing w:line="360" w:lineRule="auto"/>
        <w:ind w:firstLine="567"/>
        <w:jc w:val="both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отр.</m:t>
              </m:r>
            </m:sub>
            <m:sup>
              <m:r>
                <m:rPr>
                  <m:sty m:val="p"/>
                </m:rPr>
                <w:rPr>
                  <w:rFonts w:ascii="Cambria Math" w:hAnsi="Cambria Math" w:cs="Cambria Math"/>
                </w:rPr>
                <m:t>||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cosφ-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cosθ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cosφ+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cosθ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пад.</m:t>
              </m:r>
            </m:sub>
            <m:sup>
              <m:r>
                <m:rPr>
                  <m:sty m:val="p"/>
                </m:rPr>
                <w:rPr>
                  <w:rFonts w:ascii="Cambria Math" w:hAnsi="Cambria Math" w:cs="Cambria Math"/>
                </w:rPr>
                <m:t>||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 xml:space="preserve">tg 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(φ-θ)  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 xml:space="preserve">tg </m:t>
              </m:r>
              <m:r>
                <w:rPr>
                  <w:rFonts w:ascii="Cambria Math" w:eastAsiaTheme="minorEastAsia" w:hAnsi="Cambria Math"/>
                  <w:lang w:val="en-US"/>
                </w:rPr>
                <m:t>(φ+θ)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пад.</m:t>
              </m:r>
            </m:sub>
            <m:sup>
              <m:r>
                <m:rPr>
                  <m:sty m:val="p"/>
                </m:rPr>
                <w:rPr>
                  <w:rFonts w:ascii="Cambria Math" w:hAnsi="Cambria Math" w:cs="Cambria Math"/>
                </w:rPr>
                <m:t>||</m:t>
              </m:r>
            </m:sup>
          </m:sSubSup>
          <m:r>
            <w:rPr>
              <w:rFonts w:ascii="Cambria Math" w:hAnsi="Cambria Math"/>
            </w:rPr>
            <m:t xml:space="preserve">     (7)</m:t>
          </m:r>
        </m:oMath>
      </m:oMathPara>
    </w:p>
    <w:p w14:paraId="2C772076" w14:textId="6053ADFA" w:rsidR="00D94F80" w:rsidRPr="00EE287E" w:rsidRDefault="000D28E6" w:rsidP="005E3707">
      <w:pPr>
        <w:spacing w:line="360" w:lineRule="auto"/>
        <w:ind w:firstLine="567"/>
        <w:jc w:val="both"/>
      </w:pPr>
      <w:r>
        <w:t xml:space="preserve">Соотношения (4), (5), (6) и (7) называются </w:t>
      </w:r>
      <w:r w:rsidRPr="000D28E6">
        <w:rPr>
          <w:b/>
          <w:bCs/>
        </w:rPr>
        <w:t>формулами Френеля</w:t>
      </w:r>
      <w:r w:rsidR="00EE287E">
        <w:t xml:space="preserve">, они полностью определяют </w:t>
      </w:r>
      <w:proofErr w:type="gramStart"/>
      <w:r w:rsidR="00EE287E">
        <w:t>характеристики</w:t>
      </w:r>
      <w:proofErr w:type="gramEnd"/>
      <w:r w:rsidR="00EE287E">
        <w:t xml:space="preserve"> отраженной и преломленной волн.</w:t>
      </w:r>
    </w:p>
    <w:p w14:paraId="385867C8" w14:textId="3AB7C5D4" w:rsidR="00D94F80" w:rsidRDefault="0050795F" w:rsidP="005E3707">
      <w:pPr>
        <w:spacing w:line="360" w:lineRule="auto"/>
        <w:ind w:firstLine="567"/>
        <w:jc w:val="both"/>
        <w:rPr>
          <w:i/>
          <w:iCs/>
        </w:rPr>
      </w:pPr>
      <w:r>
        <w:rPr>
          <w:i/>
          <w:iCs/>
        </w:rPr>
        <w:t>Коэффициенты отражения (</w:t>
      </w:r>
      <w:r>
        <w:rPr>
          <w:i/>
          <w:iCs/>
          <w:lang w:val="en-US"/>
        </w:rPr>
        <w:t>R</w:t>
      </w:r>
      <w:r w:rsidRPr="0050795F">
        <w:rPr>
          <w:i/>
          <w:iCs/>
        </w:rPr>
        <w:t>)</w:t>
      </w:r>
      <w:r>
        <w:rPr>
          <w:i/>
          <w:iCs/>
        </w:rPr>
        <w:t xml:space="preserve"> и пропускания </w:t>
      </w:r>
      <w:r w:rsidRPr="0050795F">
        <w:rPr>
          <w:i/>
          <w:iCs/>
        </w:rPr>
        <w:t>(</w:t>
      </w:r>
      <w:r>
        <w:rPr>
          <w:i/>
          <w:iCs/>
          <w:lang w:val="en-US"/>
        </w:rPr>
        <w:t>T</w:t>
      </w:r>
      <w:r w:rsidRPr="0050795F">
        <w:rPr>
          <w:i/>
          <w:iCs/>
        </w:rPr>
        <w:t>):</w:t>
      </w:r>
    </w:p>
    <w:p w14:paraId="372D31A7" w14:textId="0E2FE611" w:rsidR="0050795F" w:rsidRPr="00AE05DC" w:rsidRDefault="00B67714" w:rsidP="005E3707">
      <w:pPr>
        <w:spacing w:line="360" w:lineRule="auto"/>
        <w:ind w:firstLine="567"/>
        <w:jc w:val="both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⊥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sin⁡</m:t>
                      </m:r>
                      <m:r>
                        <w:rPr>
                          <w:rFonts w:ascii="Cambria Math" w:hAnsi="Cambria Math"/>
                        </w:rPr>
                        <m:t>(φ-θ)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sin⁡</m:t>
                      </m:r>
                      <m:r>
                        <w:rPr>
                          <w:rFonts w:ascii="Cambria Math" w:hAnsi="Cambria Math"/>
                        </w:rPr>
                        <m:t>(φ+θ)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   (8)</m:t>
          </m:r>
        </m:oMath>
      </m:oMathPara>
    </w:p>
    <w:p w14:paraId="0F3BC2AE" w14:textId="62D729DC" w:rsidR="00AE05DC" w:rsidRPr="0050795F" w:rsidRDefault="00B67714" w:rsidP="005E3707">
      <w:pPr>
        <w:spacing w:line="360" w:lineRule="auto"/>
        <w:ind w:firstLine="567"/>
        <w:jc w:val="both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||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tg⁡</m:t>
                      </m:r>
                      <m:r>
                        <w:rPr>
                          <w:rFonts w:ascii="Cambria Math" w:hAnsi="Cambria Math"/>
                        </w:rPr>
                        <m:t>(φ-θ)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tg⁡</m:t>
                      </m:r>
                      <m:r>
                        <w:rPr>
                          <w:rFonts w:ascii="Cambria Math" w:hAnsi="Cambria Math"/>
                        </w:rPr>
                        <m:t>(φ+θ)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  (9)</m:t>
          </m:r>
        </m:oMath>
      </m:oMathPara>
    </w:p>
    <w:p w14:paraId="0CC22616" w14:textId="2E039684" w:rsidR="00AE05DC" w:rsidRPr="00073947" w:rsidRDefault="00B67714" w:rsidP="005E3707">
      <w:pPr>
        <w:spacing w:line="360" w:lineRule="auto"/>
        <w:ind w:firstLine="567"/>
        <w:jc w:val="both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⊥</m:t>
              </m:r>
            </m:sub>
          </m:sSub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φ-θ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φ+θ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⊥</m:t>
              </m:r>
            </m:sub>
          </m:sSub>
          <m:r>
            <w:rPr>
              <w:rFonts w:ascii="Cambria Math" w:hAnsi="Cambria Math"/>
            </w:rPr>
            <m:t xml:space="preserve">     (10)</m:t>
          </m:r>
        </m:oMath>
      </m:oMathPara>
    </w:p>
    <w:p w14:paraId="725FA4CA" w14:textId="28AA177C" w:rsidR="00073947" w:rsidRPr="00B62151" w:rsidRDefault="00B67714" w:rsidP="005E3707">
      <w:pPr>
        <w:spacing w:line="360" w:lineRule="auto"/>
        <w:ind w:firstLine="567"/>
        <w:jc w:val="both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||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 xml:space="preserve">(2φ)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sin⁡(</m:t>
              </m:r>
              <m:r>
                <w:rPr>
                  <w:rFonts w:ascii="Cambria Math" w:hAnsi="Cambria Math"/>
                </w:rPr>
                <m:t>2θ)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func>
              <m:r>
                <w:rPr>
                  <w:rFonts w:ascii="Cambria Math" w:hAnsi="Cambria Math"/>
                </w:rPr>
                <m:t>φ+θ)</m:t>
              </m:r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(φ-θ)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func>
            </m:den>
          </m:f>
          <m:r>
            <w:rPr>
              <w:rFonts w:ascii="Cambria Math" w:eastAsiaTheme="minorEastAsia" w:hAnsi="Cambria Math"/>
            </w:rPr>
            <m:t xml:space="preserve">     (11)</m:t>
          </m:r>
        </m:oMath>
      </m:oMathPara>
    </w:p>
    <w:p w14:paraId="2A3DBEF1" w14:textId="00536F66" w:rsidR="00073947" w:rsidRPr="007969CA" w:rsidRDefault="00073947" w:rsidP="005E3707">
      <w:pPr>
        <w:spacing w:line="360" w:lineRule="auto"/>
        <w:ind w:firstLine="567"/>
        <w:jc w:val="both"/>
        <w:rPr>
          <w:lang w:val="en-US"/>
        </w:rPr>
      </w:pPr>
    </w:p>
    <w:p w14:paraId="4161F6E7" w14:textId="2BC928E7" w:rsidR="007969CA" w:rsidRDefault="00D71A88" w:rsidP="005E3707">
      <w:pPr>
        <w:spacing w:line="360" w:lineRule="auto"/>
        <w:ind w:firstLine="567"/>
        <w:jc w:val="center"/>
        <w:rPr>
          <w:b/>
          <w:bCs/>
        </w:rPr>
      </w:pPr>
      <w:r w:rsidRPr="00D71A88">
        <w:rPr>
          <w:b/>
          <w:bCs/>
        </w:rPr>
        <w:t>Для выполнения расчёта необходимо:</w:t>
      </w:r>
    </w:p>
    <w:p w14:paraId="5F32E4C8" w14:textId="0B60613E" w:rsidR="00714768" w:rsidRDefault="00F62F6E" w:rsidP="00307996">
      <w:pPr>
        <w:pStyle w:val="a5"/>
        <w:numPr>
          <w:ilvl w:val="0"/>
          <w:numId w:val="5"/>
        </w:numPr>
        <w:spacing w:line="360" w:lineRule="auto"/>
        <w:jc w:val="both"/>
      </w:pPr>
      <w:r>
        <w:t xml:space="preserve">Ввести значение первого показателя преломления </w:t>
      </w:r>
      <w:r w:rsidRPr="00307996">
        <w:rPr>
          <w:lang w:val="en-US"/>
        </w:rPr>
        <w:t>n</w:t>
      </w:r>
      <w:r w:rsidRPr="00307996">
        <w:rPr>
          <w:vertAlign w:val="subscript"/>
        </w:rPr>
        <w:t>1</w:t>
      </w:r>
      <w:r w:rsidRPr="00F62F6E">
        <w:t>.</w:t>
      </w:r>
    </w:p>
    <w:p w14:paraId="41192C9C" w14:textId="3DD5A03C" w:rsidR="00F62F6E" w:rsidRPr="00F62F6E" w:rsidRDefault="00F62F6E" w:rsidP="00307996">
      <w:pPr>
        <w:pStyle w:val="a5"/>
        <w:numPr>
          <w:ilvl w:val="0"/>
          <w:numId w:val="5"/>
        </w:numPr>
        <w:spacing w:line="360" w:lineRule="auto"/>
        <w:jc w:val="both"/>
      </w:pPr>
      <w:r>
        <w:t xml:space="preserve">Ввести значение второго показателя преломления </w:t>
      </w:r>
      <w:r w:rsidRPr="00307996">
        <w:rPr>
          <w:lang w:val="en-US"/>
        </w:rPr>
        <w:t>n</w:t>
      </w:r>
      <w:r w:rsidRPr="00307996">
        <w:rPr>
          <w:vertAlign w:val="subscript"/>
        </w:rPr>
        <w:t>2</w:t>
      </w:r>
      <w:r w:rsidRPr="00F62F6E">
        <w:t>.</w:t>
      </w:r>
    </w:p>
    <w:p w14:paraId="510EBAD7" w14:textId="7A60142F" w:rsidR="00F62F6E" w:rsidRDefault="00F62F6E" w:rsidP="00307996">
      <w:pPr>
        <w:pStyle w:val="a5"/>
        <w:numPr>
          <w:ilvl w:val="0"/>
          <w:numId w:val="5"/>
        </w:numPr>
        <w:spacing w:line="360" w:lineRule="auto"/>
        <w:jc w:val="both"/>
      </w:pPr>
      <w:r>
        <w:t>Ввести значение амплитуды перпендикулярной составляющей падающей волны.</w:t>
      </w:r>
    </w:p>
    <w:p w14:paraId="158E1A61" w14:textId="005C7E1A" w:rsidR="00F62F6E" w:rsidRDefault="00F62F6E" w:rsidP="00307996">
      <w:pPr>
        <w:pStyle w:val="a5"/>
        <w:numPr>
          <w:ilvl w:val="0"/>
          <w:numId w:val="5"/>
        </w:numPr>
        <w:spacing w:line="360" w:lineRule="auto"/>
        <w:jc w:val="both"/>
      </w:pPr>
      <w:r>
        <w:t>Ввести значение амплитуды параллельной составляющей падающей волны.</w:t>
      </w:r>
    </w:p>
    <w:p w14:paraId="737EC7C1" w14:textId="15A75AB3" w:rsidR="00F62F6E" w:rsidRDefault="00F62F6E" w:rsidP="00307996">
      <w:pPr>
        <w:pStyle w:val="a5"/>
        <w:numPr>
          <w:ilvl w:val="0"/>
          <w:numId w:val="5"/>
        </w:numPr>
        <w:spacing w:line="360" w:lineRule="auto"/>
        <w:jc w:val="both"/>
      </w:pPr>
      <w:r>
        <w:t>Ввести (или выбрать ползунком) значение угла падения ЭМВ (от 0 до 90)</w:t>
      </w:r>
      <w:r w:rsidR="0038174F">
        <w:t>.</w:t>
      </w:r>
    </w:p>
    <w:p w14:paraId="2D34DE28" w14:textId="66C458D0" w:rsidR="00F62F6E" w:rsidRDefault="00F62F6E" w:rsidP="00307996">
      <w:pPr>
        <w:pStyle w:val="a5"/>
        <w:numPr>
          <w:ilvl w:val="0"/>
          <w:numId w:val="5"/>
        </w:numPr>
        <w:spacing w:line="360" w:lineRule="auto"/>
        <w:jc w:val="both"/>
      </w:pPr>
      <w:r>
        <w:t>Нажать на кнопку «Применить».</w:t>
      </w:r>
    </w:p>
    <w:p w14:paraId="3F1B1C32" w14:textId="237D8EB3" w:rsidR="00EE3485" w:rsidRDefault="00EE3485" w:rsidP="005E3707">
      <w:pPr>
        <w:spacing w:line="360" w:lineRule="auto"/>
        <w:ind w:firstLine="567"/>
        <w:jc w:val="both"/>
      </w:pPr>
    </w:p>
    <w:p w14:paraId="64C63D03" w14:textId="44AB5816" w:rsidR="00BC1A85" w:rsidRPr="000E2782" w:rsidRDefault="00EE3485" w:rsidP="005E3707">
      <w:pPr>
        <w:spacing w:line="360" w:lineRule="auto"/>
        <w:ind w:left="708" w:firstLine="567"/>
        <w:jc w:val="both"/>
        <w:rPr>
          <w:rFonts w:eastAsiaTheme="minorEastAsia"/>
          <w:iCs/>
        </w:rPr>
      </w:pPr>
      <w:r w:rsidRPr="00EE3485">
        <w:rPr>
          <w:i/>
          <w:iCs/>
        </w:rPr>
        <w:t xml:space="preserve">Примечание: </w:t>
      </w:r>
      <w:r>
        <w:t xml:space="preserve">при запуске программы автоматически проводится расчёт </w:t>
      </w:r>
      <w:r w:rsidR="00F83E59">
        <w:t xml:space="preserve">с параметрами: </w:t>
      </w:r>
      <w:r w:rsidR="00F83E59">
        <w:rPr>
          <w:lang w:val="en-US"/>
        </w:rPr>
        <w:t>n</w:t>
      </w:r>
      <w:r w:rsidR="00F83E59" w:rsidRPr="00F83E59">
        <w:rPr>
          <w:vertAlign w:val="subscript"/>
        </w:rPr>
        <w:t>1</w:t>
      </w:r>
      <w:r w:rsidR="00F83E59" w:rsidRPr="00F83E59">
        <w:t xml:space="preserve"> = 1.0, </w:t>
      </w:r>
      <w:r w:rsidR="00F83E59">
        <w:rPr>
          <w:lang w:val="en-US"/>
        </w:rPr>
        <w:t>n</w:t>
      </w:r>
      <w:r w:rsidR="00F83E59" w:rsidRPr="00F83E59">
        <w:rPr>
          <w:vertAlign w:val="subscript"/>
        </w:rPr>
        <w:t>2</w:t>
      </w:r>
      <w:r w:rsidR="00F83E59" w:rsidRPr="00F83E59">
        <w:t xml:space="preserve"> = 1.5,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пад.</m:t>
            </m:r>
          </m:sub>
          <m:sup>
            <m:r>
              <m:rPr>
                <m:sty m:val="p"/>
              </m:rPr>
              <w:rPr>
                <w:rFonts w:ascii="Cambria Math" w:hAnsi="Cambria Math" w:cs="Cambria Math"/>
              </w:rPr>
              <m:t>⊥</m:t>
            </m:r>
          </m:sup>
        </m:sSubSup>
      </m:oMath>
      <w:r w:rsidR="00F83E59">
        <w:rPr>
          <w:rFonts w:eastAsiaTheme="minorEastAsia"/>
          <w:iCs/>
        </w:rPr>
        <w:t xml:space="preserve"> = 10,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пад.</m:t>
            </m:r>
          </m:sub>
          <m:sup>
            <m:r>
              <m:rPr>
                <m:sty m:val="p"/>
              </m:rPr>
              <w:rPr>
                <w:rFonts w:ascii="Cambria Math" w:hAnsi="Cambria Math" w:cs="Cambria Math"/>
              </w:rPr>
              <m:t>||</m:t>
            </m:r>
          </m:sup>
        </m:sSubSup>
      </m:oMath>
      <w:r w:rsidR="00F83E59">
        <w:rPr>
          <w:rFonts w:eastAsiaTheme="minorEastAsia"/>
          <w:iCs/>
        </w:rPr>
        <w:t xml:space="preserve"> = 20, φ = 45.</w:t>
      </w:r>
    </w:p>
    <w:p w14:paraId="7CC5E6EC" w14:textId="29B01FF2" w:rsidR="00C46F48" w:rsidRPr="00C46F48" w:rsidRDefault="00C46F48" w:rsidP="005E3707">
      <w:pPr>
        <w:spacing w:line="360" w:lineRule="auto"/>
        <w:ind w:left="567" w:firstLine="567"/>
        <w:jc w:val="both"/>
        <w:rPr>
          <w:i/>
          <w:iCs/>
        </w:rPr>
      </w:pPr>
      <w:r w:rsidRPr="00C46F48">
        <w:rPr>
          <w:i/>
          <w:iCs/>
        </w:rPr>
        <w:t>Пояснения по работе с графиками:</w:t>
      </w:r>
    </w:p>
    <w:p w14:paraId="61CFD99A" w14:textId="3FCB162D" w:rsidR="00C46F48" w:rsidRDefault="00BC1A85" w:rsidP="005E3707">
      <w:pPr>
        <w:spacing w:line="360" w:lineRule="auto"/>
        <w:ind w:left="567" w:firstLine="567"/>
        <w:jc w:val="both"/>
      </w:pPr>
      <w:r>
        <w:t>Под окном с график</w:t>
      </w:r>
      <w:r w:rsidR="006F1FEB">
        <w:t>ами</w:t>
      </w:r>
      <w:r>
        <w:t xml:space="preserve"> можно заметить панель </w:t>
      </w:r>
      <w:r w:rsidR="006F1FEB">
        <w:t xml:space="preserve">управления, которая позволяет </w:t>
      </w:r>
      <w:r w:rsidR="00B67714">
        <w:t>изменять</w:t>
      </w:r>
      <w:r w:rsidR="006F1FEB">
        <w:t xml:space="preserve"> </w:t>
      </w:r>
      <w:r w:rsidR="000B1AEA">
        <w:t>масштаб, ос</w:t>
      </w:r>
      <w:r w:rsidR="00B67714">
        <w:t>и</w:t>
      </w:r>
      <w:r w:rsidR="000B1AEA">
        <w:t xml:space="preserve"> и т.п. (рис. 3)</w:t>
      </w:r>
      <w:r w:rsidR="000E2782">
        <w:t>. Пояснения</w:t>
      </w:r>
      <w:r w:rsidR="002D56D6">
        <w:t xml:space="preserve"> (англ.)</w:t>
      </w:r>
      <w:r w:rsidR="000E2782">
        <w:t xml:space="preserve"> к функциям каждой кнопки можно получить, наведя курсор на соответствующую кнопку.</w:t>
      </w:r>
    </w:p>
    <w:p w14:paraId="507210F5" w14:textId="77777777" w:rsidR="003C5647" w:rsidRDefault="003C5647" w:rsidP="005E3707">
      <w:pPr>
        <w:keepNext/>
        <w:spacing w:line="360" w:lineRule="auto"/>
        <w:ind w:firstLine="567"/>
        <w:jc w:val="center"/>
      </w:pPr>
      <w:r>
        <w:rPr>
          <w:noProof/>
        </w:rPr>
        <w:drawing>
          <wp:inline distT="0" distB="0" distL="0" distR="0" wp14:anchorId="7E281C19" wp14:editId="53944655">
            <wp:extent cx="2533650" cy="504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247B1" w14:textId="4E1BAEAF" w:rsidR="003C5647" w:rsidRDefault="003C5647" w:rsidP="005E3707">
      <w:pPr>
        <w:pStyle w:val="a3"/>
        <w:spacing w:line="360" w:lineRule="auto"/>
        <w:ind w:firstLine="567"/>
        <w:jc w:val="center"/>
        <w:rPr>
          <w:sz w:val="24"/>
          <w:szCs w:val="24"/>
        </w:rPr>
      </w:pPr>
      <w:r w:rsidRPr="003C5647">
        <w:rPr>
          <w:sz w:val="24"/>
          <w:szCs w:val="24"/>
        </w:rPr>
        <w:t>Рис. 3. Панель управления графиком</w:t>
      </w:r>
    </w:p>
    <w:p w14:paraId="0C146652" w14:textId="697B8FE2" w:rsidR="00221D00" w:rsidRDefault="00221D00" w:rsidP="005E3707">
      <w:pPr>
        <w:spacing w:line="360" w:lineRule="auto"/>
        <w:ind w:firstLine="567"/>
      </w:pPr>
      <w:r>
        <w:lastRenderedPageBreak/>
        <w:tab/>
      </w:r>
      <w:r w:rsidR="0052617F">
        <w:rPr>
          <w:lang w:val="en-US"/>
        </w:rPr>
        <w:t xml:space="preserve">      </w:t>
      </w:r>
      <w:r w:rsidR="009F5843">
        <w:rPr>
          <w:lang w:val="en-US"/>
        </w:rPr>
        <w:tab/>
      </w:r>
      <w:r w:rsidR="009F5843">
        <w:rPr>
          <w:lang w:val="en-US"/>
        </w:rPr>
        <w:tab/>
      </w:r>
      <w:r>
        <w:t>Каждая кнопка по отдельности:</w:t>
      </w:r>
    </w:p>
    <w:p w14:paraId="073F8229" w14:textId="11F9F8CE" w:rsidR="00221D00" w:rsidRDefault="0052617F" w:rsidP="009F5843">
      <w:pPr>
        <w:pStyle w:val="a5"/>
        <w:numPr>
          <w:ilvl w:val="0"/>
          <w:numId w:val="4"/>
        </w:numPr>
        <w:spacing w:line="360" w:lineRule="auto"/>
      </w:pPr>
      <w:r>
        <w:t>Возвращает график в исходное положение</w:t>
      </w:r>
      <w:r w:rsidRPr="0052617F">
        <w:t>;</w:t>
      </w:r>
    </w:p>
    <w:p w14:paraId="1B169987" w14:textId="6F4E82E6" w:rsidR="0052617F" w:rsidRDefault="002F052E" w:rsidP="009F5843">
      <w:pPr>
        <w:pStyle w:val="a5"/>
        <w:numPr>
          <w:ilvl w:val="0"/>
          <w:numId w:val="4"/>
        </w:numPr>
        <w:spacing w:line="360" w:lineRule="auto"/>
      </w:pPr>
      <w:r>
        <w:t>Возвращает график в предыдущее положение</w:t>
      </w:r>
      <w:r w:rsidRPr="002F052E">
        <w:t>;</w:t>
      </w:r>
    </w:p>
    <w:p w14:paraId="497DC312" w14:textId="76431246" w:rsidR="002F052E" w:rsidRPr="00221D00" w:rsidRDefault="006515B7" w:rsidP="009F5843">
      <w:pPr>
        <w:pStyle w:val="a5"/>
        <w:numPr>
          <w:ilvl w:val="0"/>
          <w:numId w:val="4"/>
        </w:numPr>
        <w:spacing w:line="360" w:lineRule="auto"/>
      </w:pPr>
      <w:r>
        <w:t>«</w:t>
      </w:r>
      <w:r w:rsidR="002F052E">
        <w:t>Возвращает</w:t>
      </w:r>
      <w:r>
        <w:t>»</w:t>
      </w:r>
      <w:r w:rsidR="002F052E">
        <w:t xml:space="preserve"> график в следующее положение</w:t>
      </w:r>
      <w:r w:rsidR="002F052E" w:rsidRPr="002F052E">
        <w:t>;</w:t>
      </w:r>
    </w:p>
    <w:p w14:paraId="2107F63A" w14:textId="51E59355" w:rsidR="002F052E" w:rsidRDefault="00714B68" w:rsidP="009F5843">
      <w:pPr>
        <w:pStyle w:val="a5"/>
        <w:numPr>
          <w:ilvl w:val="0"/>
          <w:numId w:val="4"/>
        </w:numPr>
        <w:spacing w:line="360" w:lineRule="auto"/>
      </w:pPr>
      <w:r>
        <w:t>Позволяет перемещать график</w:t>
      </w:r>
      <w:r w:rsidRPr="009F5843">
        <w:rPr>
          <w:lang w:val="en-US"/>
        </w:rPr>
        <w:t>;</w:t>
      </w:r>
    </w:p>
    <w:p w14:paraId="3097D69E" w14:textId="7E234868" w:rsidR="00714B68" w:rsidRDefault="00714B68" w:rsidP="009F5843">
      <w:pPr>
        <w:pStyle w:val="a5"/>
        <w:numPr>
          <w:ilvl w:val="0"/>
          <w:numId w:val="4"/>
        </w:numPr>
        <w:spacing w:line="360" w:lineRule="auto"/>
      </w:pPr>
      <w:r>
        <w:t>Масштабирование графика</w:t>
      </w:r>
      <w:r w:rsidRPr="009F5843">
        <w:rPr>
          <w:lang w:val="en-US"/>
        </w:rPr>
        <w:t>;</w:t>
      </w:r>
    </w:p>
    <w:p w14:paraId="2BA6AF13" w14:textId="6D947FCE" w:rsidR="00714B68" w:rsidRDefault="00714B68" w:rsidP="009F5843">
      <w:pPr>
        <w:pStyle w:val="a5"/>
        <w:numPr>
          <w:ilvl w:val="0"/>
          <w:numId w:val="4"/>
        </w:numPr>
        <w:spacing w:line="360" w:lineRule="auto"/>
      </w:pPr>
      <w:r>
        <w:t xml:space="preserve">Управление </w:t>
      </w:r>
      <w:r w:rsidR="0075280A">
        <w:t>холстом, на котором размещен график</w:t>
      </w:r>
      <w:r w:rsidR="0075280A" w:rsidRPr="0075280A">
        <w:t>;</w:t>
      </w:r>
    </w:p>
    <w:p w14:paraId="552E8818" w14:textId="776D4DB8" w:rsidR="0075280A" w:rsidRDefault="0075280A" w:rsidP="009F5843">
      <w:pPr>
        <w:pStyle w:val="a5"/>
        <w:numPr>
          <w:ilvl w:val="0"/>
          <w:numId w:val="4"/>
        </w:numPr>
        <w:spacing w:line="360" w:lineRule="auto"/>
      </w:pPr>
      <w:r>
        <w:t>Управление осями и кривыми</w:t>
      </w:r>
      <w:r w:rsidR="00096E95">
        <w:t xml:space="preserve"> </w:t>
      </w:r>
      <w:r>
        <w:t>график</w:t>
      </w:r>
      <w:r w:rsidR="00096E95">
        <w:t>а</w:t>
      </w:r>
      <w:r w:rsidRPr="0075280A">
        <w:t>;</w:t>
      </w:r>
    </w:p>
    <w:p w14:paraId="6B421A05" w14:textId="46BE57FF" w:rsidR="0075280A" w:rsidRPr="00221D00" w:rsidRDefault="00A62AB6" w:rsidP="009F5843">
      <w:pPr>
        <w:pStyle w:val="a5"/>
        <w:numPr>
          <w:ilvl w:val="0"/>
          <w:numId w:val="4"/>
        </w:numPr>
        <w:spacing w:line="360" w:lineRule="auto"/>
      </w:pPr>
      <w:r>
        <w:t>Сохранение графика.</w:t>
      </w:r>
    </w:p>
    <w:p w14:paraId="77FE1C48" w14:textId="6E6271C1" w:rsidR="00034AAD" w:rsidRPr="00714768" w:rsidRDefault="00034AAD" w:rsidP="00221D00">
      <w:pPr>
        <w:pStyle w:val="a5"/>
        <w:spacing w:line="360" w:lineRule="auto"/>
        <w:ind w:left="1069" w:firstLine="709"/>
        <w:jc w:val="both"/>
      </w:pPr>
    </w:p>
    <w:sectPr w:rsidR="00034AAD" w:rsidRPr="007147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F294C"/>
    <w:multiLevelType w:val="hybridMultilevel"/>
    <w:tmpl w:val="80024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A231C"/>
    <w:multiLevelType w:val="hybridMultilevel"/>
    <w:tmpl w:val="D834D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32059"/>
    <w:multiLevelType w:val="hybridMultilevel"/>
    <w:tmpl w:val="4018301A"/>
    <w:lvl w:ilvl="0" w:tplc="F3EC6AC4">
      <w:start w:val="1"/>
      <w:numFmt w:val="decimal"/>
      <w:lvlText w:val="%1."/>
      <w:lvlJc w:val="left"/>
      <w:pPr>
        <w:ind w:left="18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69" w:hanging="360"/>
      </w:pPr>
    </w:lvl>
    <w:lvl w:ilvl="2" w:tplc="0419001B" w:tentative="1">
      <w:start w:val="1"/>
      <w:numFmt w:val="lowerRoman"/>
      <w:lvlText w:val="%3."/>
      <w:lvlJc w:val="right"/>
      <w:pPr>
        <w:ind w:left="3289" w:hanging="180"/>
      </w:pPr>
    </w:lvl>
    <w:lvl w:ilvl="3" w:tplc="0419000F" w:tentative="1">
      <w:start w:val="1"/>
      <w:numFmt w:val="decimal"/>
      <w:lvlText w:val="%4."/>
      <w:lvlJc w:val="left"/>
      <w:pPr>
        <w:ind w:left="4009" w:hanging="360"/>
      </w:pPr>
    </w:lvl>
    <w:lvl w:ilvl="4" w:tplc="04190019" w:tentative="1">
      <w:start w:val="1"/>
      <w:numFmt w:val="lowerLetter"/>
      <w:lvlText w:val="%5."/>
      <w:lvlJc w:val="left"/>
      <w:pPr>
        <w:ind w:left="4729" w:hanging="360"/>
      </w:pPr>
    </w:lvl>
    <w:lvl w:ilvl="5" w:tplc="0419001B" w:tentative="1">
      <w:start w:val="1"/>
      <w:numFmt w:val="lowerRoman"/>
      <w:lvlText w:val="%6."/>
      <w:lvlJc w:val="right"/>
      <w:pPr>
        <w:ind w:left="5449" w:hanging="180"/>
      </w:pPr>
    </w:lvl>
    <w:lvl w:ilvl="6" w:tplc="0419000F" w:tentative="1">
      <w:start w:val="1"/>
      <w:numFmt w:val="decimal"/>
      <w:lvlText w:val="%7."/>
      <w:lvlJc w:val="left"/>
      <w:pPr>
        <w:ind w:left="6169" w:hanging="360"/>
      </w:pPr>
    </w:lvl>
    <w:lvl w:ilvl="7" w:tplc="04190019" w:tentative="1">
      <w:start w:val="1"/>
      <w:numFmt w:val="lowerLetter"/>
      <w:lvlText w:val="%8."/>
      <w:lvlJc w:val="left"/>
      <w:pPr>
        <w:ind w:left="6889" w:hanging="360"/>
      </w:pPr>
    </w:lvl>
    <w:lvl w:ilvl="8" w:tplc="041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3" w15:restartNumberingAfterBreak="0">
    <w:nsid w:val="436706AF"/>
    <w:multiLevelType w:val="hybridMultilevel"/>
    <w:tmpl w:val="D6D40C74"/>
    <w:lvl w:ilvl="0" w:tplc="3EA0DF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56D58C6"/>
    <w:multiLevelType w:val="hybridMultilevel"/>
    <w:tmpl w:val="04D80F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96"/>
    <w:rsid w:val="00032E6F"/>
    <w:rsid w:val="00034AAD"/>
    <w:rsid w:val="00073947"/>
    <w:rsid w:val="00084948"/>
    <w:rsid w:val="00096E95"/>
    <w:rsid w:val="000A3B0B"/>
    <w:rsid w:val="000A723F"/>
    <w:rsid w:val="000B1AEA"/>
    <w:rsid w:val="000B4626"/>
    <w:rsid w:val="000C0496"/>
    <w:rsid w:val="000D28E6"/>
    <w:rsid w:val="000E2782"/>
    <w:rsid w:val="00221D00"/>
    <w:rsid w:val="002C2D6E"/>
    <w:rsid w:val="002D2368"/>
    <w:rsid w:val="002D2D78"/>
    <w:rsid w:val="002D56D6"/>
    <w:rsid w:val="002E0E99"/>
    <w:rsid w:val="002F052E"/>
    <w:rsid w:val="002F5F11"/>
    <w:rsid w:val="003070CD"/>
    <w:rsid w:val="00307996"/>
    <w:rsid w:val="00337128"/>
    <w:rsid w:val="00364B00"/>
    <w:rsid w:val="003669E2"/>
    <w:rsid w:val="0038174F"/>
    <w:rsid w:val="003C5647"/>
    <w:rsid w:val="003F3D75"/>
    <w:rsid w:val="00453C97"/>
    <w:rsid w:val="00463148"/>
    <w:rsid w:val="00476FEB"/>
    <w:rsid w:val="00497835"/>
    <w:rsid w:val="004E413F"/>
    <w:rsid w:val="0050795F"/>
    <w:rsid w:val="0052617F"/>
    <w:rsid w:val="005A3D20"/>
    <w:rsid w:val="005E3707"/>
    <w:rsid w:val="00602893"/>
    <w:rsid w:val="00640689"/>
    <w:rsid w:val="006515B7"/>
    <w:rsid w:val="006D7462"/>
    <w:rsid w:val="006F1FEB"/>
    <w:rsid w:val="00714768"/>
    <w:rsid w:val="00714B68"/>
    <w:rsid w:val="0075280A"/>
    <w:rsid w:val="007969CA"/>
    <w:rsid w:val="008237A8"/>
    <w:rsid w:val="008A5796"/>
    <w:rsid w:val="008E3174"/>
    <w:rsid w:val="008F18E2"/>
    <w:rsid w:val="00925BC7"/>
    <w:rsid w:val="00946073"/>
    <w:rsid w:val="009609F3"/>
    <w:rsid w:val="00963A74"/>
    <w:rsid w:val="00986494"/>
    <w:rsid w:val="009A302D"/>
    <w:rsid w:val="009F5843"/>
    <w:rsid w:val="00A62AB6"/>
    <w:rsid w:val="00AE05DC"/>
    <w:rsid w:val="00AF6166"/>
    <w:rsid w:val="00B16510"/>
    <w:rsid w:val="00B402A3"/>
    <w:rsid w:val="00B4511B"/>
    <w:rsid w:val="00B559D8"/>
    <w:rsid w:val="00B62151"/>
    <w:rsid w:val="00B63EAC"/>
    <w:rsid w:val="00B651C0"/>
    <w:rsid w:val="00B67714"/>
    <w:rsid w:val="00BC1A85"/>
    <w:rsid w:val="00C139EC"/>
    <w:rsid w:val="00C23AB1"/>
    <w:rsid w:val="00C46F48"/>
    <w:rsid w:val="00CE61D0"/>
    <w:rsid w:val="00D02BA9"/>
    <w:rsid w:val="00D71A88"/>
    <w:rsid w:val="00D75C61"/>
    <w:rsid w:val="00D94F80"/>
    <w:rsid w:val="00DD5592"/>
    <w:rsid w:val="00E46122"/>
    <w:rsid w:val="00E932B9"/>
    <w:rsid w:val="00E94C6B"/>
    <w:rsid w:val="00EA0A74"/>
    <w:rsid w:val="00EE287E"/>
    <w:rsid w:val="00EE3485"/>
    <w:rsid w:val="00EE69D4"/>
    <w:rsid w:val="00EF4E66"/>
    <w:rsid w:val="00F11596"/>
    <w:rsid w:val="00F62F6E"/>
    <w:rsid w:val="00F80C3B"/>
    <w:rsid w:val="00F82897"/>
    <w:rsid w:val="00F83E59"/>
    <w:rsid w:val="00FB6F52"/>
    <w:rsid w:val="00FC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C4ACD"/>
  <w15:chartTrackingRefBased/>
  <w15:docId w15:val="{A5369D86-AA8A-41E8-9DEB-F8592574C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651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Placeholder Text"/>
    <w:basedOn w:val="a0"/>
    <w:uiPriority w:val="99"/>
    <w:semiHidden/>
    <w:rsid w:val="003669E2"/>
    <w:rPr>
      <w:color w:val="808080"/>
    </w:rPr>
  </w:style>
  <w:style w:type="paragraph" w:styleId="a5">
    <w:name w:val="List Paragraph"/>
    <w:basedOn w:val="a"/>
    <w:uiPriority w:val="34"/>
    <w:qFormat/>
    <w:rsid w:val="00364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Cawa</dc:creator>
  <cp:keywords/>
  <dc:description/>
  <cp:lastModifiedBy>Cawa</cp:lastModifiedBy>
  <cp:revision>90</cp:revision>
  <dcterms:created xsi:type="dcterms:W3CDTF">2021-03-17T07:17:00Z</dcterms:created>
  <dcterms:modified xsi:type="dcterms:W3CDTF">2021-03-18T02:12:00Z</dcterms:modified>
</cp:coreProperties>
</file>