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从这里开始记录或展开内容。需要拆分时用“标题 2”；积累一些内容后打开“导航窗格”看看整体结构。以后每个“标题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宋体" w:eastAsia="宋体" w:hAnsi="宋体" w:cs="宋体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宋体" w:eastAsia="宋体" w:hAnsi="宋体" w:cs="宋体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宋体" w:eastAsia="宋体" w:hAnsi="宋体" w:cs="宋体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9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