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从这里开始写正文。需要拆分时用“标题 2”；写一会儿后打开“导航窗格”检查整体结构。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（%2）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3.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（%4）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8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40" w:line="240" w:lineRule="auto" w:before="200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宋体" w:hAnsi="宋体" w:eastAsia="宋体" w:cs="宋体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9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2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8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宋体" w:eastAsia="宋体" w:hAnsi="宋体" w:cs="宋体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文章-中文论文 - 常用结构 - Windows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