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816EB" w14:textId="44E81654" w:rsidR="00D45CE7" w:rsidRDefault="00D45CE7">
      <w:r>
        <w:t>[2025-06-10]</w:t>
      </w:r>
    </w:p>
    <w:p w14:paraId="610356B4" w14:textId="234096E5" w:rsidR="00913272" w:rsidRDefault="00D45CE7">
      <w:r>
        <w:t xml:space="preserve">From: </w:t>
      </w:r>
      <w:r w:rsidR="00006CA2">
        <w:t>COL</w:t>
      </w:r>
      <w:r>
        <w:t xml:space="preserve"> John G. Smyth [john.g.smyth.mil@mail.mil]</w:t>
      </w:r>
    </w:p>
    <w:p w14:paraId="7C4C342C" w14:textId="1CCFDF1E" w:rsidR="00D45CE7" w:rsidRDefault="00D45CE7">
      <w:r>
        <w:t>To: 32</w:t>
      </w:r>
      <w:r w:rsidR="001403BF">
        <w:t>ABCT</w:t>
      </w:r>
      <w:r>
        <w:t>-STAFF-G3</w:t>
      </w:r>
    </w:p>
    <w:p w14:paraId="5E308AB4" w14:textId="4A500D6D" w:rsidR="00D45CE7" w:rsidRDefault="00D45CE7">
      <w:r>
        <w:t xml:space="preserve">Cc: </w:t>
      </w:r>
      <w:r w:rsidR="00006CA2">
        <w:t>LTC</w:t>
      </w:r>
      <w:r>
        <w:t xml:space="preserve"> Steve I. Akers [steven.i.akers.mil@mail.mil]</w:t>
      </w:r>
    </w:p>
    <w:p w14:paraId="2E684AA5" w14:textId="77777777" w:rsidR="00D45CE7" w:rsidRDefault="00D45CE7"/>
    <w:p w14:paraId="2F4FB507" w14:textId="7829918C" w:rsidR="00D45CE7" w:rsidRDefault="00D45CE7">
      <w:r>
        <w:t>Subject: Commander’s Intent, Operation Indignant Seagulls</w:t>
      </w:r>
    </w:p>
    <w:p w14:paraId="39FD181D" w14:textId="77777777" w:rsidR="00D45CE7" w:rsidRDefault="00D45CE7"/>
    <w:p w14:paraId="5BD69FCB" w14:textId="77777777" w:rsidR="00D45CE7" w:rsidRPr="00D45CE7" w:rsidRDefault="00D45CE7" w:rsidP="00D45CE7">
      <w:pPr>
        <w:rPr>
          <w:b/>
          <w:bCs/>
        </w:rPr>
      </w:pPr>
      <w:r w:rsidRPr="00D45CE7">
        <w:rPr>
          <w:b/>
          <w:bCs/>
        </w:rPr>
        <w:t>Purpose</w:t>
      </w:r>
    </w:p>
    <w:p w14:paraId="53BD0A15" w14:textId="6EE9EC9F" w:rsidR="00D45CE7" w:rsidRDefault="00D45CE7" w:rsidP="00D45CE7">
      <w:r w:rsidRPr="00D45CE7">
        <w:t>Operation </w:t>
      </w:r>
      <w:r w:rsidRPr="00D45CE7">
        <w:rPr>
          <w:i/>
          <w:iCs/>
        </w:rPr>
        <w:t>Indignant Seagulls</w:t>
      </w:r>
      <w:r w:rsidRPr="00D45CE7">
        <w:t xml:space="preserve"> aims to establish and secure a forward outpost in the </w:t>
      </w:r>
      <w:proofErr w:type="spellStart"/>
      <w:r w:rsidRPr="00D45CE7">
        <w:t>Durayah</w:t>
      </w:r>
      <w:proofErr w:type="spellEnd"/>
      <w:r w:rsidRPr="00D45CE7">
        <w:t xml:space="preserve"> region, situated along the volatile border between </w:t>
      </w:r>
      <w:proofErr w:type="spellStart"/>
      <w:r w:rsidR="00006CA2" w:rsidRPr="00006CA2">
        <w:rPr>
          <w:b/>
          <w:bCs/>
        </w:rPr>
        <w:t>Kataybah</w:t>
      </w:r>
      <w:proofErr w:type="spellEnd"/>
      <w:r w:rsidRPr="00D45CE7">
        <w:t xml:space="preserve"> and </w:t>
      </w:r>
      <w:proofErr w:type="spellStart"/>
      <w:r w:rsidRPr="00D45CE7">
        <w:rPr>
          <w:b/>
          <w:bCs/>
        </w:rPr>
        <w:t>Khorzestan</w:t>
      </w:r>
      <w:proofErr w:type="spellEnd"/>
      <w:r w:rsidRPr="00D45CE7">
        <w:t>. This area offers strategic oversight into the approaches leading toward </w:t>
      </w:r>
      <w:proofErr w:type="spellStart"/>
      <w:r w:rsidRPr="00D45CE7">
        <w:rPr>
          <w:b/>
          <w:bCs/>
        </w:rPr>
        <w:t>Narak</w:t>
      </w:r>
      <w:proofErr w:type="spellEnd"/>
      <w:r w:rsidRPr="00D45CE7">
        <w:t xml:space="preserve">, the capital of </w:t>
      </w:r>
      <w:proofErr w:type="spellStart"/>
      <w:r w:rsidRPr="00D45CE7">
        <w:t>Khorzestan</w:t>
      </w:r>
      <w:proofErr w:type="spellEnd"/>
      <w:r w:rsidRPr="00D45CE7">
        <w:t>. The intent is to deny adversarial influence, disrupt destabilizing activity, and prepare the battlespace for potential kinetic or non-kinetic actions in the event of regional escalation.</w:t>
      </w:r>
    </w:p>
    <w:p w14:paraId="28284CB9" w14:textId="4BF40F84" w:rsidR="001403BF" w:rsidRDefault="001403BF" w:rsidP="00D45CE7">
      <w:pPr>
        <w:rPr>
          <w:b/>
          <w:bCs/>
        </w:rPr>
      </w:pPr>
      <w:r w:rsidRPr="001403BF">
        <w:rPr>
          <w:b/>
          <w:bCs/>
        </w:rPr>
        <w:t>Available Forces</w:t>
      </w:r>
    </w:p>
    <w:p w14:paraId="65ED76D9" w14:textId="77777777" w:rsidR="001403BF" w:rsidRDefault="001403BF" w:rsidP="00D45CE7">
      <w:pPr>
        <w:rPr>
          <w:b/>
          <w:bCs/>
        </w:rPr>
      </w:pPr>
      <w:r>
        <w:rPr>
          <w:b/>
          <w:bCs/>
        </w:rPr>
        <w:t>The following forces are arrayed to this mission:</w:t>
      </w:r>
    </w:p>
    <w:p w14:paraId="505F4443" w14:textId="18C88F44" w:rsidR="001403BF" w:rsidRDefault="001403BF" w:rsidP="00D45CE7">
      <w:pPr>
        <w:rPr>
          <w:b/>
          <w:bCs/>
        </w:rPr>
      </w:pPr>
      <w:r>
        <w:rPr>
          <w:b/>
          <w:bCs/>
        </w:rPr>
        <w:t>Headquarters and Headquarters Company, 32ABCT (C2)</w:t>
      </w:r>
    </w:p>
    <w:p w14:paraId="1186E308" w14:textId="12EE47F8" w:rsidR="001403BF" w:rsidRDefault="001403BF" w:rsidP="00D45CE7">
      <w:pPr>
        <w:rPr>
          <w:b/>
          <w:bCs/>
        </w:rPr>
      </w:pPr>
      <w:r>
        <w:rPr>
          <w:b/>
          <w:bCs/>
        </w:rPr>
        <w:t>2</w:t>
      </w:r>
      <w:r w:rsidRPr="001403BF">
        <w:rPr>
          <w:b/>
          <w:bCs/>
          <w:vertAlign w:val="superscript"/>
        </w:rPr>
        <w:t>nd</w:t>
      </w:r>
      <w:r>
        <w:rPr>
          <w:b/>
          <w:bCs/>
        </w:rPr>
        <w:t xml:space="preserve"> Battalion, 39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Infantry Regiment (Mechanized) “Golden </w:t>
      </w:r>
      <w:proofErr w:type="spellStart"/>
      <w:r>
        <w:rPr>
          <w:b/>
          <w:bCs/>
        </w:rPr>
        <w:t>Sabres</w:t>
      </w:r>
      <w:proofErr w:type="spellEnd"/>
      <w:r>
        <w:rPr>
          <w:b/>
          <w:bCs/>
        </w:rPr>
        <w:t>”</w:t>
      </w:r>
    </w:p>
    <w:p w14:paraId="2715521B" w14:textId="5D0EB5C5" w:rsidR="001403BF" w:rsidRDefault="001403BF" w:rsidP="00D45CE7">
      <w:pPr>
        <w:rPr>
          <w:b/>
          <w:bCs/>
        </w:rPr>
      </w:pPr>
      <w:r>
        <w:rPr>
          <w:b/>
          <w:bCs/>
        </w:rPr>
        <w:t>1</w:t>
      </w:r>
      <w:r w:rsidRPr="001403BF">
        <w:rPr>
          <w:b/>
          <w:bCs/>
          <w:vertAlign w:val="superscript"/>
        </w:rPr>
        <w:t>st</w:t>
      </w:r>
      <w:r>
        <w:rPr>
          <w:b/>
          <w:bCs/>
        </w:rPr>
        <w:t xml:space="preserve"> Battalion, 69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Armor Regiment “Wishbone”</w:t>
      </w:r>
    </w:p>
    <w:p w14:paraId="3A9729A7" w14:textId="502EDC28" w:rsidR="001403BF" w:rsidRDefault="001403BF" w:rsidP="00D45CE7">
      <w:pPr>
        <w:rPr>
          <w:b/>
          <w:bCs/>
        </w:rPr>
      </w:pPr>
      <w:r>
        <w:rPr>
          <w:b/>
          <w:bCs/>
        </w:rPr>
        <w:t>3</w:t>
      </w:r>
      <w:r w:rsidRPr="001403BF">
        <w:rPr>
          <w:b/>
          <w:bCs/>
          <w:vertAlign w:val="superscript"/>
        </w:rPr>
        <w:t>rd</w:t>
      </w:r>
      <w:r>
        <w:rPr>
          <w:b/>
          <w:bCs/>
        </w:rPr>
        <w:t xml:space="preserve"> Battalion, 16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Armor Regiment “Heavy Hands”</w:t>
      </w:r>
    </w:p>
    <w:p w14:paraId="6FEF2E86" w14:textId="131D7714" w:rsidR="001403BF" w:rsidRDefault="001403BF" w:rsidP="00D45CE7">
      <w:pPr>
        <w:rPr>
          <w:b/>
          <w:bCs/>
        </w:rPr>
      </w:pPr>
      <w:r>
        <w:rPr>
          <w:b/>
          <w:bCs/>
        </w:rPr>
        <w:t>1</w:t>
      </w:r>
      <w:r w:rsidRPr="001403BF">
        <w:rPr>
          <w:b/>
          <w:bCs/>
          <w:vertAlign w:val="superscript"/>
        </w:rPr>
        <w:t>st</w:t>
      </w:r>
      <w:r>
        <w:rPr>
          <w:b/>
          <w:bCs/>
        </w:rPr>
        <w:t xml:space="preserve"> Battalion, 17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Cavalry “</w:t>
      </w:r>
      <w:proofErr w:type="spellStart"/>
      <w:r>
        <w:rPr>
          <w:b/>
          <w:bCs/>
        </w:rPr>
        <w:t>Quarterhorse</w:t>
      </w:r>
      <w:proofErr w:type="spellEnd"/>
      <w:r>
        <w:rPr>
          <w:b/>
          <w:bCs/>
        </w:rPr>
        <w:t>”</w:t>
      </w:r>
    </w:p>
    <w:p w14:paraId="50F89BAD" w14:textId="2497C13A" w:rsidR="001403BF" w:rsidRDefault="001403BF" w:rsidP="00D45CE7">
      <w:pPr>
        <w:rPr>
          <w:b/>
          <w:bCs/>
        </w:rPr>
      </w:pPr>
      <w:r>
        <w:rPr>
          <w:b/>
          <w:bCs/>
        </w:rPr>
        <w:t>99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Engineer Battalion “</w:t>
      </w:r>
      <w:proofErr w:type="spellStart"/>
      <w:r>
        <w:rPr>
          <w:b/>
          <w:bCs/>
        </w:rPr>
        <w:t>Handymannies</w:t>
      </w:r>
      <w:proofErr w:type="spellEnd"/>
      <w:r>
        <w:rPr>
          <w:b/>
          <w:bCs/>
        </w:rPr>
        <w:t>”</w:t>
      </w:r>
    </w:p>
    <w:p w14:paraId="6633FD8F" w14:textId="3183682D" w:rsidR="001403BF" w:rsidRDefault="001403BF" w:rsidP="00D45CE7">
      <w:pPr>
        <w:rPr>
          <w:b/>
          <w:bCs/>
        </w:rPr>
      </w:pPr>
      <w:r>
        <w:rPr>
          <w:b/>
          <w:bCs/>
        </w:rPr>
        <w:t>216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Brigade Support Battalion “Lifeline”</w:t>
      </w:r>
    </w:p>
    <w:p w14:paraId="5316415F" w14:textId="769391EB" w:rsidR="001403BF" w:rsidRDefault="001403BF" w:rsidP="00D45CE7">
      <w:pPr>
        <w:rPr>
          <w:b/>
          <w:bCs/>
        </w:rPr>
      </w:pPr>
      <w:r>
        <w:rPr>
          <w:b/>
          <w:bCs/>
        </w:rPr>
        <w:t>2</w:t>
      </w:r>
      <w:r w:rsidRPr="001403BF">
        <w:rPr>
          <w:b/>
          <w:bCs/>
          <w:vertAlign w:val="superscript"/>
        </w:rPr>
        <w:t>nd</w:t>
      </w:r>
      <w:r>
        <w:rPr>
          <w:b/>
          <w:bCs/>
        </w:rPr>
        <w:t xml:space="preserve"> Battalion, 8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Field Artillery Regiment “Hot Salvo”</w:t>
      </w:r>
    </w:p>
    <w:p w14:paraId="5D507D71" w14:textId="223C326E" w:rsidR="001403BF" w:rsidRDefault="001403BF" w:rsidP="00D45CE7">
      <w:pPr>
        <w:rPr>
          <w:b/>
          <w:bCs/>
        </w:rPr>
      </w:pPr>
      <w:r>
        <w:rPr>
          <w:b/>
          <w:bCs/>
        </w:rPr>
        <w:t>32BDE Military Intelligence Company “Creepers” (Direct Support)</w:t>
      </w:r>
    </w:p>
    <w:p w14:paraId="6F179338" w14:textId="0A406542" w:rsidR="001403BF" w:rsidRDefault="001403BF" w:rsidP="00D45CE7">
      <w:pPr>
        <w:rPr>
          <w:b/>
          <w:bCs/>
        </w:rPr>
      </w:pPr>
      <w:r>
        <w:rPr>
          <w:b/>
          <w:bCs/>
        </w:rPr>
        <w:t>328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Military Intelligence Battalion, 590</w:t>
      </w:r>
      <w:r w:rsidRPr="001403BF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eMIB</w:t>
      </w:r>
      <w:proofErr w:type="spellEnd"/>
      <w:r>
        <w:rPr>
          <w:b/>
          <w:bCs/>
        </w:rPr>
        <w:t xml:space="preserve">  (General Support)</w:t>
      </w:r>
    </w:p>
    <w:p w14:paraId="19E025C7" w14:textId="77777777" w:rsidR="001403BF" w:rsidRPr="001403BF" w:rsidRDefault="001403BF" w:rsidP="00D45CE7">
      <w:pPr>
        <w:rPr>
          <w:b/>
          <w:bCs/>
        </w:rPr>
      </w:pPr>
    </w:p>
    <w:p w14:paraId="1638BD0B" w14:textId="77777777" w:rsidR="00D45CE7" w:rsidRPr="00D45CE7" w:rsidRDefault="002609E3" w:rsidP="00D45CE7">
      <w:r>
        <w:rPr>
          <w:noProof/>
        </w:rPr>
        <w:lastRenderedPageBreak/>
        <w:pict w14:anchorId="7566642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9B91AAD" w14:textId="77777777" w:rsidR="00D45CE7" w:rsidRPr="00D45CE7" w:rsidRDefault="00D45CE7" w:rsidP="00D45CE7">
      <w:pPr>
        <w:rPr>
          <w:b/>
          <w:bCs/>
        </w:rPr>
      </w:pPr>
      <w:r w:rsidRPr="00D45CE7">
        <w:rPr>
          <w:b/>
          <w:bCs/>
        </w:rPr>
        <w:t>Key Tasks</w:t>
      </w:r>
    </w:p>
    <w:p w14:paraId="6D4123DB" w14:textId="77777777" w:rsidR="00D45CE7" w:rsidRPr="00D45CE7" w:rsidRDefault="00D45CE7" w:rsidP="00D45CE7">
      <w:pPr>
        <w:numPr>
          <w:ilvl w:val="0"/>
          <w:numId w:val="1"/>
        </w:numPr>
      </w:pPr>
      <w:r w:rsidRPr="00D45CE7">
        <w:rPr>
          <w:b/>
          <w:bCs/>
        </w:rPr>
        <w:t xml:space="preserve">Secure </w:t>
      </w:r>
      <w:proofErr w:type="spellStart"/>
      <w:r w:rsidRPr="00D45CE7">
        <w:rPr>
          <w:b/>
          <w:bCs/>
        </w:rPr>
        <w:t>Durayah</w:t>
      </w:r>
      <w:proofErr w:type="spellEnd"/>
      <w:r w:rsidRPr="00D45CE7">
        <w:rPr>
          <w:b/>
          <w:bCs/>
        </w:rPr>
        <w:t xml:space="preserve"> AO</w:t>
      </w:r>
    </w:p>
    <w:p w14:paraId="77096D8F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Establish control over key terrain along the border through combat outpost construction and persistent armored patrols.</w:t>
      </w:r>
    </w:p>
    <w:p w14:paraId="3FBD0175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Deny freedom of movement to hostile irregular or state-backed actors infiltrating through known smuggling and infiltration corridors.</w:t>
      </w:r>
    </w:p>
    <w:p w14:paraId="50EDBEBE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Maintain a persistent presence to reassure local populations and reinforce regional stability.</w:t>
      </w:r>
    </w:p>
    <w:p w14:paraId="4BBB65AD" w14:textId="77777777" w:rsidR="00D45CE7" w:rsidRPr="00D45CE7" w:rsidRDefault="00D45CE7" w:rsidP="00D45CE7">
      <w:pPr>
        <w:numPr>
          <w:ilvl w:val="0"/>
          <w:numId w:val="1"/>
        </w:numPr>
      </w:pPr>
      <w:r w:rsidRPr="00D45CE7">
        <w:rPr>
          <w:b/>
          <w:bCs/>
        </w:rPr>
        <w:t>Establish Forward Outpost Vigilance</w:t>
      </w:r>
    </w:p>
    <w:p w14:paraId="6F3871D7" w14:textId="44BC714B" w:rsidR="00D45CE7" w:rsidRPr="00D45CE7" w:rsidRDefault="00D45CE7" w:rsidP="00D45CE7">
      <w:pPr>
        <w:numPr>
          <w:ilvl w:val="1"/>
          <w:numId w:val="1"/>
        </w:numPr>
      </w:pPr>
      <w:r w:rsidRPr="00D45CE7">
        <w:t>Construct </w:t>
      </w:r>
      <w:r w:rsidRPr="00D45CE7">
        <w:rPr>
          <w:b/>
          <w:bCs/>
        </w:rPr>
        <w:t xml:space="preserve">FOB </w:t>
      </w:r>
      <w:r w:rsidR="00006CA2">
        <w:rPr>
          <w:b/>
          <w:bCs/>
        </w:rPr>
        <w:t>Sheridan</w:t>
      </w:r>
      <w:r w:rsidRPr="00D45CE7">
        <w:t xml:space="preserve"> in </w:t>
      </w:r>
      <w:proofErr w:type="spellStart"/>
      <w:r w:rsidRPr="00D45CE7">
        <w:t>Durayah</w:t>
      </w:r>
      <w:proofErr w:type="spellEnd"/>
      <w:r w:rsidRPr="00D45CE7">
        <w:t>, capable of supporting armored maneuver elements, ISR operations, long-range fires, and secure comms backhaul.</w:t>
      </w:r>
    </w:p>
    <w:p w14:paraId="637436B2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The outpost must function as both a surveillance hub and quick reaction launch point with modular support infrastructure.</w:t>
      </w:r>
    </w:p>
    <w:p w14:paraId="7C633296" w14:textId="77777777" w:rsidR="00D45CE7" w:rsidRPr="00D45CE7" w:rsidRDefault="00D45CE7" w:rsidP="00D45CE7">
      <w:pPr>
        <w:numPr>
          <w:ilvl w:val="0"/>
          <w:numId w:val="1"/>
        </w:numPr>
      </w:pPr>
      <w:r w:rsidRPr="00D45CE7">
        <w:rPr>
          <w:b/>
          <w:bCs/>
        </w:rPr>
        <w:t xml:space="preserve">Conduct Persistent Surveillance on </w:t>
      </w:r>
      <w:proofErr w:type="spellStart"/>
      <w:r w:rsidRPr="00D45CE7">
        <w:rPr>
          <w:b/>
          <w:bCs/>
        </w:rPr>
        <w:t>Narak</w:t>
      </w:r>
      <w:proofErr w:type="spellEnd"/>
    </w:p>
    <w:p w14:paraId="0498A23A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Deploy long-range and remote surveillance assets (including elevated platforms, UAVs, and ground sensors) to monitor military and paramilitary movements in and around </w:t>
      </w:r>
      <w:proofErr w:type="spellStart"/>
      <w:r w:rsidRPr="00D45CE7">
        <w:rPr>
          <w:b/>
          <w:bCs/>
        </w:rPr>
        <w:t>Narak</w:t>
      </w:r>
      <w:proofErr w:type="spellEnd"/>
      <w:r w:rsidRPr="00D45CE7">
        <w:t>.</w:t>
      </w:r>
    </w:p>
    <w:p w14:paraId="6E94369A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Fuse SIGINT, GEOINT, and HUMINT inputs to build a real-time operational picture of adversary intent and capability shifts.</w:t>
      </w:r>
    </w:p>
    <w:p w14:paraId="46FFA03D" w14:textId="77777777" w:rsidR="00D45CE7" w:rsidRPr="00D45CE7" w:rsidRDefault="00D45CE7" w:rsidP="00D45CE7">
      <w:pPr>
        <w:numPr>
          <w:ilvl w:val="0"/>
          <w:numId w:val="1"/>
        </w:numPr>
      </w:pPr>
      <w:r w:rsidRPr="00D45CE7">
        <w:rPr>
          <w:b/>
          <w:bCs/>
        </w:rPr>
        <w:t>Shape the Operational Environment for Decisive Action</w:t>
      </w:r>
    </w:p>
    <w:p w14:paraId="57B32C62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Preposition supplies, coordinate joint targeting protocols, and rehearse maneuver contingencies for a rapid armored thrust toward </w:t>
      </w:r>
      <w:proofErr w:type="spellStart"/>
      <w:r w:rsidRPr="00D45CE7">
        <w:rPr>
          <w:b/>
          <w:bCs/>
        </w:rPr>
        <w:t>Narak</w:t>
      </w:r>
      <w:proofErr w:type="spellEnd"/>
      <w:r w:rsidRPr="00D45CE7">
        <w:t xml:space="preserve">, should regional or national command </w:t>
      </w:r>
      <w:proofErr w:type="gramStart"/>
      <w:r w:rsidRPr="00D45CE7">
        <w:t>authorities</w:t>
      </w:r>
      <w:proofErr w:type="gramEnd"/>
      <w:r w:rsidRPr="00D45CE7">
        <w:t xml:space="preserve"> direct escalation.</w:t>
      </w:r>
    </w:p>
    <w:p w14:paraId="0FBA9ED8" w14:textId="77777777" w:rsidR="00D45CE7" w:rsidRPr="00D45CE7" w:rsidRDefault="00D45CE7" w:rsidP="00D45CE7">
      <w:pPr>
        <w:numPr>
          <w:ilvl w:val="1"/>
          <w:numId w:val="1"/>
        </w:numPr>
      </w:pPr>
      <w:r w:rsidRPr="00D45CE7">
        <w:t>Establish and maintain primary and alternate mobility corridors capable of supporting heavy armor and support elements through the border chokepoints.</w:t>
      </w:r>
    </w:p>
    <w:p w14:paraId="056C85E3" w14:textId="77777777" w:rsidR="00D45CE7" w:rsidRPr="00D45CE7" w:rsidRDefault="002609E3" w:rsidP="00D45CE7">
      <w:r>
        <w:rPr>
          <w:noProof/>
        </w:rPr>
        <w:pict w14:anchorId="741C8640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F58F888" w14:textId="77777777" w:rsidR="00D45CE7" w:rsidRPr="00D45CE7" w:rsidRDefault="00D45CE7" w:rsidP="00D45CE7">
      <w:pPr>
        <w:rPr>
          <w:b/>
          <w:bCs/>
        </w:rPr>
      </w:pPr>
      <w:r w:rsidRPr="00D45CE7">
        <w:rPr>
          <w:b/>
          <w:bCs/>
        </w:rPr>
        <w:t>End State</w:t>
      </w:r>
    </w:p>
    <w:p w14:paraId="0343538D" w14:textId="3691DC99" w:rsidR="00D45CE7" w:rsidRPr="00D45CE7" w:rsidRDefault="00D45CE7" w:rsidP="00D45CE7">
      <w:proofErr w:type="spellStart"/>
      <w:r w:rsidRPr="00D45CE7">
        <w:lastRenderedPageBreak/>
        <w:t>Durayah</w:t>
      </w:r>
      <w:proofErr w:type="spellEnd"/>
      <w:r w:rsidRPr="00D45CE7">
        <w:t xml:space="preserve"> is secure and stabilized under coalition influence, FOB </w:t>
      </w:r>
      <w:r w:rsidR="00006CA2">
        <w:t>Sheridan</w:t>
      </w:r>
      <w:r w:rsidRPr="00D45CE7">
        <w:t xml:space="preserve"> is fully operational and sustaining ISR coverage on </w:t>
      </w:r>
      <w:proofErr w:type="spellStart"/>
      <w:r w:rsidRPr="00D45CE7">
        <w:t>Narak</w:t>
      </w:r>
      <w:proofErr w:type="spellEnd"/>
      <w:r w:rsidRPr="00D45CE7">
        <w:t xml:space="preserve"> and adjacent military infrastructure. The 32nd ABCT remains postured to rapidly project combat power into </w:t>
      </w:r>
      <w:proofErr w:type="spellStart"/>
      <w:r w:rsidRPr="00D45CE7">
        <w:t>Khorzestan</w:t>
      </w:r>
      <w:proofErr w:type="spellEnd"/>
      <w:r w:rsidRPr="00D45CE7">
        <w:t xml:space="preserve"> if directed, with complete freedom of maneuver and logistics chains in place.</w:t>
      </w:r>
    </w:p>
    <w:p w14:paraId="48E8E90B" w14:textId="77777777" w:rsidR="00D45CE7" w:rsidRPr="00D45CE7" w:rsidRDefault="002609E3" w:rsidP="00D45CE7">
      <w:r>
        <w:rPr>
          <w:noProof/>
        </w:rPr>
        <w:pict w14:anchorId="055748E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A4113E8" w14:textId="77777777" w:rsidR="00D45CE7" w:rsidRPr="00D45CE7" w:rsidRDefault="00D45CE7" w:rsidP="00D45CE7">
      <w:pPr>
        <w:rPr>
          <w:b/>
          <w:bCs/>
        </w:rPr>
      </w:pPr>
      <w:r w:rsidRPr="00D45CE7">
        <w:rPr>
          <w:b/>
          <w:bCs/>
        </w:rPr>
        <w:t>Commander’s Guidance</w:t>
      </w:r>
    </w:p>
    <w:p w14:paraId="1DA56BA6" w14:textId="77777777" w:rsidR="00D45CE7" w:rsidRPr="00D45CE7" w:rsidRDefault="00D45CE7" w:rsidP="00D45CE7">
      <w:pPr>
        <w:numPr>
          <w:ilvl w:val="0"/>
          <w:numId w:val="2"/>
        </w:numPr>
      </w:pPr>
      <w:r w:rsidRPr="00D45CE7">
        <w:t>Prioritize speed and decisiveness in establishing security—delay allows adversaries to entrench.</w:t>
      </w:r>
    </w:p>
    <w:p w14:paraId="6E1F73E7" w14:textId="77777777" w:rsidR="00D45CE7" w:rsidRPr="00D45CE7" w:rsidRDefault="00D45CE7" w:rsidP="00D45CE7">
      <w:pPr>
        <w:numPr>
          <w:ilvl w:val="0"/>
          <w:numId w:val="2"/>
        </w:numPr>
      </w:pPr>
      <w:r w:rsidRPr="00D45CE7">
        <w:t>Win the trust of local populations, but do not let goodwill compromise operational integrity.</w:t>
      </w:r>
    </w:p>
    <w:p w14:paraId="47AE5263" w14:textId="77777777" w:rsidR="00D45CE7" w:rsidRPr="00D45CE7" w:rsidRDefault="00D45CE7" w:rsidP="00D45CE7">
      <w:pPr>
        <w:numPr>
          <w:ilvl w:val="0"/>
          <w:numId w:val="2"/>
        </w:numPr>
      </w:pPr>
      <w:r w:rsidRPr="00D45CE7">
        <w:t>Maintain persistent overmatch in the ISR and fires domains—knowledge will be our shield and sword.</w:t>
      </w:r>
    </w:p>
    <w:p w14:paraId="059B8858" w14:textId="77777777" w:rsidR="00D45CE7" w:rsidRPr="00D45CE7" w:rsidRDefault="00D45CE7" w:rsidP="00D45CE7">
      <w:pPr>
        <w:numPr>
          <w:ilvl w:val="0"/>
          <w:numId w:val="2"/>
        </w:numPr>
      </w:pPr>
      <w:r w:rsidRPr="00D45CE7">
        <w:t>Always be ready to shift from surveillance posture to full offensive maneuver should national command authority issue the execute order.</w:t>
      </w:r>
    </w:p>
    <w:p w14:paraId="3ACA4C6B" w14:textId="77777777" w:rsidR="00D45CE7" w:rsidRPr="00D45CE7" w:rsidRDefault="002609E3" w:rsidP="00D45CE7">
      <w:r>
        <w:rPr>
          <w:noProof/>
        </w:rPr>
        <w:pict w14:anchorId="00947E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DE28467" w14:textId="77777777" w:rsidR="00D45CE7" w:rsidRPr="00D45CE7" w:rsidRDefault="00D45CE7" w:rsidP="00D45CE7">
      <w:r w:rsidRPr="00D45CE7">
        <w:rPr>
          <w:b/>
          <w:bCs/>
        </w:rPr>
        <w:t>"We set the tempo. We shape the battlefield. We hold the line, and if needed—we cross it."</w:t>
      </w:r>
      <w:r w:rsidRPr="00D45CE7">
        <w:br/>
      </w:r>
      <w:r w:rsidRPr="00D45CE7">
        <w:rPr>
          <w:b/>
          <w:bCs/>
        </w:rPr>
        <w:t>– Commander, 32nd ABCT</w:t>
      </w:r>
    </w:p>
    <w:p w14:paraId="4772BF57" w14:textId="77777777" w:rsidR="00D45CE7" w:rsidRDefault="00D45CE7"/>
    <w:p w14:paraId="0B836AF1" w14:textId="77777777" w:rsidR="00D45CE7" w:rsidRDefault="00D45CE7"/>
    <w:p w14:paraId="5FD2CA21" w14:textId="1CB47AFB" w:rsidR="00D45CE7" w:rsidRDefault="00D45CE7"/>
    <w:sectPr w:rsidR="00D45CE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BBB46" w14:textId="77777777" w:rsidR="002609E3" w:rsidRDefault="002609E3" w:rsidP="00006CA2">
      <w:pPr>
        <w:spacing w:after="0" w:line="240" w:lineRule="auto"/>
      </w:pPr>
      <w:r>
        <w:separator/>
      </w:r>
    </w:p>
  </w:endnote>
  <w:endnote w:type="continuationSeparator" w:id="0">
    <w:p w14:paraId="4B5599C9" w14:textId="77777777" w:rsidR="002609E3" w:rsidRDefault="002609E3" w:rsidP="00006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9BA1C6" w14:textId="0E895E6B" w:rsidR="00006CA2" w:rsidRDefault="00006CA2" w:rsidP="00006CA2">
    <w:pPr>
      <w:pStyle w:val="Footer"/>
      <w:jc w:val="center"/>
    </w:pPr>
    <w:r>
      <w:t>UNCLASSIFIED</w:t>
    </w:r>
  </w:p>
  <w:p w14:paraId="3056EF20" w14:textId="0482336E" w:rsidR="00006CA2" w:rsidRDefault="00006CA2" w:rsidP="00006CA2">
    <w:pPr>
      <w:pStyle w:val="Footer"/>
      <w:jc w:val="center"/>
    </w:pPr>
    <w:r>
      <w:t>FOR TRAINING USE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79CB90" w14:textId="77777777" w:rsidR="002609E3" w:rsidRDefault="002609E3" w:rsidP="00006CA2">
      <w:pPr>
        <w:spacing w:after="0" w:line="240" w:lineRule="auto"/>
      </w:pPr>
      <w:r>
        <w:separator/>
      </w:r>
    </w:p>
  </w:footnote>
  <w:footnote w:type="continuationSeparator" w:id="0">
    <w:p w14:paraId="21BADCA3" w14:textId="77777777" w:rsidR="002609E3" w:rsidRDefault="002609E3" w:rsidP="00006C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D6CF" w14:textId="400DE036" w:rsidR="00006CA2" w:rsidRDefault="00006CA2" w:rsidP="00006CA2">
    <w:pPr>
      <w:pStyle w:val="Header"/>
      <w:jc w:val="center"/>
    </w:pPr>
    <w:r>
      <w:t>UNCLASSIFIED</w:t>
    </w:r>
  </w:p>
  <w:p w14:paraId="33E2086A" w14:textId="7761ADA9" w:rsidR="00006CA2" w:rsidRDefault="00006CA2" w:rsidP="00006CA2">
    <w:pPr>
      <w:pStyle w:val="Header"/>
      <w:jc w:val="center"/>
    </w:pPr>
    <w:r>
      <w:t>FOR TRAINING USE ONLY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17C65"/>
    <w:multiLevelType w:val="multilevel"/>
    <w:tmpl w:val="22F0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B7738"/>
    <w:multiLevelType w:val="multilevel"/>
    <w:tmpl w:val="C73E4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872194">
    <w:abstractNumId w:val="1"/>
  </w:num>
  <w:num w:numId="2" w16cid:durableId="1584872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E7"/>
    <w:rsid w:val="00006CA2"/>
    <w:rsid w:val="00132EB1"/>
    <w:rsid w:val="001403BF"/>
    <w:rsid w:val="002609E3"/>
    <w:rsid w:val="004145FB"/>
    <w:rsid w:val="0044708D"/>
    <w:rsid w:val="00733647"/>
    <w:rsid w:val="007D2896"/>
    <w:rsid w:val="00913272"/>
    <w:rsid w:val="00A11856"/>
    <w:rsid w:val="00A94695"/>
    <w:rsid w:val="00B41810"/>
    <w:rsid w:val="00C62A8F"/>
    <w:rsid w:val="00D45CE7"/>
    <w:rsid w:val="00DB399A"/>
    <w:rsid w:val="00FD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F94A"/>
  <w15:chartTrackingRefBased/>
  <w15:docId w15:val="{562F8A15-323A-6E41-BEC5-56E340B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CE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6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CA2"/>
  </w:style>
  <w:style w:type="paragraph" w:styleId="Footer">
    <w:name w:val="footer"/>
    <w:basedOn w:val="Normal"/>
    <w:link w:val="FooterChar"/>
    <w:uiPriority w:val="99"/>
    <w:unhideWhenUsed/>
    <w:rsid w:val="00006C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11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GDIT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Bean, Brandon T</dc:creator>
  <cp:keywords/>
  <dc:description/>
  <cp:lastModifiedBy>Bean, Brandon T</cp:lastModifiedBy>
  <cp:revision>2</cp:revision>
  <dcterms:created xsi:type="dcterms:W3CDTF">2025-06-19T10:12:00Z</dcterms:created>
  <dcterms:modified xsi:type="dcterms:W3CDTF">2025-06-19T10:38:00Z</dcterms:modified>
</cp:coreProperties>
</file>