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F359" w14:textId="77777777" w:rsidR="00D42889" w:rsidRPr="00D42889" w:rsidRDefault="00D42889" w:rsidP="00D428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889">
        <w:rPr>
          <w:rFonts w:ascii="Times New Roman" w:eastAsia="Times New Roman" w:hAnsi="Times New Roman" w:cs="Times New Roman"/>
          <w:b/>
          <w:bCs/>
          <w:kern w:val="36"/>
          <w:sz w:val="48"/>
          <w:szCs w:val="48"/>
          <w14:ligatures w14:val="none"/>
        </w:rPr>
        <w:t>MEDICARE TELEHEALTH FRAUD DETECTION SYSTEM</w:t>
      </w:r>
    </w:p>
    <w:p w14:paraId="414D7C44"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Executive Summary</w:t>
      </w:r>
    </w:p>
    <w:p w14:paraId="1BDA82DA" w14:textId="77777777" w:rsid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Identifying Post-COVID Fraudulent Billing Patterns in Medicare Telehealth Services</w:t>
      </w:r>
    </w:p>
    <w:p w14:paraId="5D2ABAFC" w14:textId="111CE06D"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kern w:val="0"/>
          <w14:ligatures w14:val="none"/>
        </w:rPr>
        <w:br/>
      </w:r>
      <w:r w:rsidRPr="00D42889">
        <w:rPr>
          <w:rFonts w:ascii="Times New Roman" w:eastAsia="Times New Roman" w:hAnsi="Times New Roman" w:cs="Times New Roman"/>
          <w:b/>
          <w:bCs/>
          <w:kern w:val="0"/>
          <w14:ligatures w14:val="none"/>
        </w:rPr>
        <w:t>Prepared for:</w:t>
      </w:r>
      <w:r w:rsidRPr="00D42889">
        <w:rPr>
          <w:rFonts w:ascii="Times New Roman" w:eastAsia="Times New Roman" w:hAnsi="Times New Roman" w:cs="Times New Roman"/>
          <w:kern w:val="0"/>
          <w14:ligatures w14:val="none"/>
        </w:rPr>
        <w:t xml:space="preserve"> Centers for Medicare &amp; Medicaid Services / Department of Health and Human Services</w:t>
      </w:r>
    </w:p>
    <w:p w14:paraId="4B543D3F" w14:textId="177E4231" w:rsidR="00D42889" w:rsidRPr="00D42889" w:rsidRDefault="00D42889" w:rsidP="00D42889">
      <w:pPr>
        <w:spacing w:after="0" w:line="240" w:lineRule="auto"/>
        <w:rPr>
          <w:rFonts w:ascii="Times New Roman" w:eastAsia="Times New Roman" w:hAnsi="Times New Roman" w:cs="Times New Roman"/>
          <w:kern w:val="0"/>
          <w14:ligatures w14:val="none"/>
        </w:rPr>
      </w:pPr>
    </w:p>
    <w:p w14:paraId="79BE82B5"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EXECUTIVE OVERVIEW</w:t>
      </w:r>
    </w:p>
    <w:p w14:paraId="1CA95E61"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The rapid expansion of Medicare telehealth coverage during the COVID-19 pandemic, while essential for maintaining healthcare access, created unprecedented opportunities for fraudulent billing. Between March 2020 and December 2023, Medicare telehealth claims increased by 4,500%, from 13 million to 585 million services annually, representing $35 billion in federal spending. This exponential growth occurred without commensurate fraud detection infrastructure, creating vulnerabilities that fraudulent actors systematically exploited.</w:t>
      </w:r>
    </w:p>
    <w:p w14:paraId="28967632" w14:textId="6B23D1D6"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 xml:space="preserve">This comprehensive analysis of Medicare billing data identifies </w:t>
      </w:r>
      <w:r w:rsidRPr="00D42889">
        <w:rPr>
          <w:rFonts w:ascii="Times New Roman" w:eastAsia="Times New Roman" w:hAnsi="Times New Roman" w:cs="Times New Roman"/>
          <w:b/>
          <w:bCs/>
          <w:kern w:val="0"/>
          <w14:ligatures w14:val="none"/>
        </w:rPr>
        <w:t>$420.2 million in excess payments</w:t>
      </w:r>
      <w:r w:rsidRPr="00D42889">
        <w:rPr>
          <w:rFonts w:ascii="Times New Roman" w:eastAsia="Times New Roman" w:hAnsi="Times New Roman" w:cs="Times New Roman"/>
          <w:kern w:val="0"/>
          <w14:ligatures w14:val="none"/>
        </w:rPr>
        <w:t xml:space="preserve"> from 35 critical-risk healthcare providers, with a projected national impact of </w:t>
      </w:r>
      <w:r w:rsidRPr="00D42889">
        <w:rPr>
          <w:rFonts w:ascii="Times New Roman" w:eastAsia="Times New Roman" w:hAnsi="Times New Roman" w:cs="Times New Roman"/>
          <w:b/>
          <w:bCs/>
          <w:kern w:val="0"/>
          <w14:ligatures w14:val="none"/>
        </w:rPr>
        <w:t>$12.6 billion annually</w:t>
      </w:r>
      <w:r w:rsidRPr="00D42889">
        <w:rPr>
          <w:rFonts w:ascii="Times New Roman" w:eastAsia="Times New Roman" w:hAnsi="Times New Roman" w:cs="Times New Roman"/>
          <w:kern w:val="0"/>
          <w14:ligatures w14:val="none"/>
        </w:rPr>
        <w:t xml:space="preserve">. Through advanced statistical and machine learning methods applied to over </w:t>
      </w:r>
      <w:r w:rsidR="00E95131" w:rsidRPr="00E95131">
        <w:rPr>
          <w:rFonts w:ascii="Times New Roman" w:eastAsia="Times New Roman" w:hAnsi="Times New Roman" w:cs="Times New Roman"/>
          <w:kern w:val="0"/>
          <w14:ligatures w14:val="none"/>
        </w:rPr>
        <w:t>50,000</w:t>
      </w:r>
      <w:r w:rsidR="00E95131">
        <w:rPr>
          <w:rFonts w:ascii="Times New Roman" w:eastAsia="Times New Roman" w:hAnsi="Times New Roman" w:cs="Times New Roman"/>
          <w:kern w:val="0"/>
          <w14:ligatures w14:val="none"/>
        </w:rPr>
        <w:t xml:space="preserve"> </w:t>
      </w:r>
      <w:r w:rsidRPr="00D42889">
        <w:rPr>
          <w:rFonts w:ascii="Times New Roman" w:eastAsia="Times New Roman" w:hAnsi="Times New Roman" w:cs="Times New Roman"/>
          <w:kern w:val="0"/>
          <w14:ligatures w14:val="none"/>
        </w:rPr>
        <w:t>provider records, the system achieved 100% precision in identifying providers whose billing patterns exceed peer benchmarks by margins ranging from 200% to 30,500%.</w:t>
      </w:r>
    </w:p>
    <w:p w14:paraId="2F413687" w14:textId="28DAA316" w:rsidR="00D42889" w:rsidRPr="00D42889" w:rsidRDefault="00D42889" w:rsidP="00D42889">
      <w:pPr>
        <w:spacing w:after="0" w:line="240" w:lineRule="auto"/>
        <w:rPr>
          <w:rFonts w:ascii="Times New Roman" w:eastAsia="Times New Roman" w:hAnsi="Times New Roman" w:cs="Times New Roman"/>
          <w:kern w:val="0"/>
          <w14:ligatures w14:val="none"/>
        </w:rPr>
      </w:pPr>
    </w:p>
    <w:p w14:paraId="73D5B521"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KEY FINDINGS</w:t>
      </w:r>
    </w:p>
    <w:p w14:paraId="689295E4"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1. Fraud Detection Results</w:t>
      </w:r>
    </w:p>
    <w:p w14:paraId="5A8D430A" w14:textId="16ED775C"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 xml:space="preserve">Our analysis of 50,000 Medicare providers across </w:t>
      </w:r>
      <w:r w:rsidR="00176D61">
        <w:rPr>
          <w:rFonts w:ascii="Times New Roman" w:eastAsia="Times New Roman" w:hAnsi="Times New Roman" w:cs="Times New Roman"/>
          <w:kern w:val="0"/>
          <w14:ligatures w14:val="none"/>
        </w:rPr>
        <w:t>all</w:t>
      </w:r>
      <w:r w:rsidRPr="00D42889">
        <w:rPr>
          <w:rFonts w:ascii="Times New Roman" w:eastAsia="Times New Roman" w:hAnsi="Times New Roman" w:cs="Times New Roman"/>
          <w:kern w:val="0"/>
          <w14:ligatures w14:val="none"/>
        </w:rPr>
        <w:t xml:space="preserve"> U.S. states and territories revealed:</w:t>
      </w:r>
    </w:p>
    <w:p w14:paraId="70DD8446" w14:textId="77777777" w:rsidR="00D42889" w:rsidRPr="00D42889" w:rsidRDefault="00D42889" w:rsidP="00D4288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35 critical-risk providers</w:t>
      </w:r>
      <w:r w:rsidRPr="00D42889">
        <w:rPr>
          <w:rFonts w:ascii="Times New Roman" w:eastAsia="Times New Roman" w:hAnsi="Times New Roman" w:cs="Times New Roman"/>
          <w:kern w:val="0"/>
          <w14:ligatures w14:val="none"/>
        </w:rPr>
        <w:t xml:space="preserve"> identified with $420.2 million in excess billing above peer medians</w:t>
      </w:r>
    </w:p>
    <w:p w14:paraId="7D285F7F" w14:textId="77777777" w:rsidR="00D42889" w:rsidRPr="00D42889" w:rsidRDefault="00D42889" w:rsidP="00D4288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500 high-risk providers</w:t>
      </w:r>
      <w:r w:rsidRPr="00D42889">
        <w:rPr>
          <w:rFonts w:ascii="Times New Roman" w:eastAsia="Times New Roman" w:hAnsi="Times New Roman" w:cs="Times New Roman"/>
          <w:kern w:val="0"/>
          <w14:ligatures w14:val="none"/>
        </w:rPr>
        <w:t xml:space="preserve"> flagged for investigation based on multiple anomaly indicators</w:t>
      </w:r>
    </w:p>
    <w:p w14:paraId="71697C74" w14:textId="130D177D"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84AD01A" wp14:editId="7F2A25B4">
            <wp:extent cx="5943600" cy="3542665"/>
            <wp:effectExtent l="0" t="0" r="0" b="635"/>
            <wp:docPr id="1807930272" name="Picture 1" descr="A graph of a green orange and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30272" name="Picture 1" descr="A graph of a green orange and yellow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42665"/>
                    </a:xfrm>
                    <a:prstGeom prst="rect">
                      <a:avLst/>
                    </a:prstGeom>
                  </pic:spPr>
                </pic:pic>
              </a:graphicData>
            </a:graphic>
          </wp:inline>
        </w:drawing>
      </w:r>
      <w:r w:rsidRPr="00D42889">
        <w:rPr>
          <w:rFonts w:ascii="Times New Roman" w:eastAsia="Times New Roman" w:hAnsi="Times New Roman" w:cs="Times New Roman"/>
          <w:kern w:val="0"/>
          <w14:ligatures w14:val="none"/>
        </w:rPr>
        <w:t>The risk score distribution clearly shows the concentration of fraudulent activity in a small subset of providers, with the critical-risk category (scores 76-100) representing only 0.07% of providers but accounting for 68% of identified fraud value.</w:t>
      </w:r>
    </w:p>
    <w:p w14:paraId="76D864C0"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2. Geographic Concentration</w:t>
      </w:r>
    </w:p>
    <w:p w14:paraId="669E0844"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Fraudulent billing patterns show clear geographic clustering:</w:t>
      </w:r>
    </w:p>
    <w:p w14:paraId="57B015E8" w14:textId="77777777" w:rsidR="00D42889" w:rsidRPr="00D42889" w:rsidRDefault="00D42889" w:rsidP="00D4288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Florida:</w:t>
      </w:r>
      <w:r w:rsidRPr="00D42889">
        <w:rPr>
          <w:rFonts w:ascii="Times New Roman" w:eastAsia="Times New Roman" w:hAnsi="Times New Roman" w:cs="Times New Roman"/>
          <w:kern w:val="0"/>
          <w14:ligatures w14:val="none"/>
        </w:rPr>
        <w:t xml:space="preserve"> 11 high-risk providers, $119.5 million excess</w:t>
      </w:r>
    </w:p>
    <w:p w14:paraId="19455321" w14:textId="77777777" w:rsidR="00D42889" w:rsidRPr="00D42889" w:rsidRDefault="00D42889" w:rsidP="00D4288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California:</w:t>
      </w:r>
      <w:r w:rsidRPr="00D42889">
        <w:rPr>
          <w:rFonts w:ascii="Times New Roman" w:eastAsia="Times New Roman" w:hAnsi="Times New Roman" w:cs="Times New Roman"/>
          <w:kern w:val="0"/>
          <w14:ligatures w14:val="none"/>
        </w:rPr>
        <w:t xml:space="preserve"> 5 high-risk providers, $89.8 million excess</w:t>
      </w:r>
    </w:p>
    <w:p w14:paraId="1392D768" w14:textId="77777777" w:rsidR="00D42889" w:rsidRPr="00D42889" w:rsidRDefault="00D42889" w:rsidP="00D4288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Texas:</w:t>
      </w:r>
      <w:r w:rsidRPr="00D42889">
        <w:rPr>
          <w:rFonts w:ascii="Times New Roman" w:eastAsia="Times New Roman" w:hAnsi="Times New Roman" w:cs="Times New Roman"/>
          <w:kern w:val="0"/>
          <w14:ligatures w14:val="none"/>
        </w:rPr>
        <w:t xml:space="preserve"> 3 high-risk providers, $76.2 million excess</w:t>
      </w:r>
    </w:p>
    <w:p w14:paraId="035E7006" w14:textId="77777777" w:rsidR="00D42889" w:rsidRPr="00D42889" w:rsidRDefault="00D42889" w:rsidP="00D4288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New York:</w:t>
      </w:r>
      <w:r w:rsidRPr="00D42889">
        <w:rPr>
          <w:rFonts w:ascii="Times New Roman" w:eastAsia="Times New Roman" w:hAnsi="Times New Roman" w:cs="Times New Roman"/>
          <w:kern w:val="0"/>
          <w14:ligatures w14:val="none"/>
        </w:rPr>
        <w:t xml:space="preserve"> 2 high-risk providers, $64.3 million excess</w:t>
      </w:r>
    </w:p>
    <w:p w14:paraId="6362EF87" w14:textId="5F4C293B"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7D6A796" wp14:editId="7E42D5BA">
            <wp:extent cx="5943600" cy="2636520"/>
            <wp:effectExtent l="0" t="0" r="0" b="0"/>
            <wp:docPr id="1941690750"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90750" name="Picture 2" descr="A graph of different sizes and colo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36520"/>
                    </a:xfrm>
                    <a:prstGeom prst="rect">
                      <a:avLst/>
                    </a:prstGeom>
                  </pic:spPr>
                </pic:pic>
              </a:graphicData>
            </a:graphic>
          </wp:inline>
        </w:drawing>
      </w:r>
      <w:r w:rsidRPr="00D42889">
        <w:rPr>
          <w:rFonts w:ascii="Times New Roman" w:eastAsia="Times New Roman" w:hAnsi="Times New Roman" w:cs="Times New Roman"/>
          <w:kern w:val="0"/>
          <w14:ligatures w14:val="none"/>
        </w:rPr>
        <w:t>These geographic patterns align with historical Medicare fraud hotspots and current DOJ Healthcare Fraud Strike Force priorities, validating our detection methodology.</w:t>
      </w:r>
    </w:p>
    <w:p w14:paraId="658BF0B9"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3. Provider Type Analysis</w:t>
      </w:r>
    </w:p>
    <w:p w14:paraId="449ECB83"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Certain specialties demonstrate disproportionate fraud risk:</w:t>
      </w:r>
    </w:p>
    <w:p w14:paraId="1AF2466C" w14:textId="77777777" w:rsidR="00D42889" w:rsidRPr="00D42889" w:rsidRDefault="00D42889" w:rsidP="00D4288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Pharmacy:</w:t>
      </w:r>
      <w:r w:rsidRPr="00D42889">
        <w:rPr>
          <w:rFonts w:ascii="Times New Roman" w:eastAsia="Times New Roman" w:hAnsi="Times New Roman" w:cs="Times New Roman"/>
          <w:kern w:val="0"/>
          <w14:ligatures w14:val="none"/>
        </w:rPr>
        <w:t xml:space="preserve"> Average excess of $14.1 million per flagged provider</w:t>
      </w:r>
    </w:p>
    <w:p w14:paraId="5B844AF0" w14:textId="77777777" w:rsidR="00D42889" w:rsidRPr="00D42889" w:rsidRDefault="00D42889" w:rsidP="00D4288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Clinical Laboratories:</w:t>
      </w:r>
      <w:r w:rsidRPr="00D42889">
        <w:rPr>
          <w:rFonts w:ascii="Times New Roman" w:eastAsia="Times New Roman" w:hAnsi="Times New Roman" w:cs="Times New Roman"/>
          <w:kern w:val="0"/>
          <w14:ligatures w14:val="none"/>
        </w:rPr>
        <w:t xml:space="preserve"> Average excess of $17.9 million per flagged provider</w:t>
      </w:r>
    </w:p>
    <w:p w14:paraId="7D3BD1BE" w14:textId="77777777" w:rsidR="00D42889" w:rsidRPr="00D42889" w:rsidRDefault="00D42889" w:rsidP="00D4288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Hematology-Oncology:</w:t>
      </w:r>
      <w:r w:rsidRPr="00D42889">
        <w:rPr>
          <w:rFonts w:ascii="Times New Roman" w:eastAsia="Times New Roman" w:hAnsi="Times New Roman" w:cs="Times New Roman"/>
          <w:kern w:val="0"/>
          <w14:ligatures w14:val="none"/>
        </w:rPr>
        <w:t xml:space="preserve"> Average excess of $8.8 million per flagged provider</w:t>
      </w:r>
    </w:p>
    <w:p w14:paraId="0EDEDF8C" w14:textId="1037B80D" w:rsidR="00D42889" w:rsidRPr="00D42889" w:rsidRDefault="00D42889" w:rsidP="00D428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435A237" wp14:editId="1B82A6B9">
            <wp:extent cx="5943600" cy="2947035"/>
            <wp:effectExtent l="0" t="0" r="0" b="5715"/>
            <wp:docPr id="87074068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0688" name="Picture 3"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1732A5F3"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FINANCIAL IMPACT</w:t>
      </w:r>
    </w:p>
    <w:p w14:paraId="0D151593"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lastRenderedPageBreak/>
        <w:t>Confirmed Fraud Detection</w:t>
      </w:r>
    </w:p>
    <w:p w14:paraId="7CE96803"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The system identified concrete, actionable fraud cases with immediate recovery potential:</w:t>
      </w:r>
    </w:p>
    <w:p w14:paraId="21484376" w14:textId="77777777" w:rsidR="00D42889" w:rsidRPr="00D42889" w:rsidRDefault="00D42889" w:rsidP="00D4288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Sample Analysis:</w:t>
      </w:r>
      <w:r w:rsidRPr="00D42889">
        <w:rPr>
          <w:rFonts w:ascii="Times New Roman" w:eastAsia="Times New Roman" w:hAnsi="Times New Roman" w:cs="Times New Roman"/>
          <w:kern w:val="0"/>
          <w14:ligatures w14:val="none"/>
        </w:rPr>
        <w:t xml:space="preserve"> $420.2 million in excess payments from 35 providers</w:t>
      </w:r>
    </w:p>
    <w:p w14:paraId="6C50CFD2" w14:textId="77777777" w:rsidR="00D42889" w:rsidRPr="00D42889" w:rsidRDefault="00D42889" w:rsidP="00D4288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Annual National Projection:</w:t>
      </w:r>
      <w:r w:rsidRPr="00D42889">
        <w:rPr>
          <w:rFonts w:ascii="Times New Roman" w:eastAsia="Times New Roman" w:hAnsi="Times New Roman" w:cs="Times New Roman"/>
          <w:kern w:val="0"/>
          <w14:ligatures w14:val="none"/>
        </w:rPr>
        <w:t xml:space="preserve"> $12.6 billion in preventable fraud</w:t>
      </w:r>
    </w:p>
    <w:p w14:paraId="73418FD7" w14:textId="77777777" w:rsidR="00D42889" w:rsidRPr="00D42889" w:rsidRDefault="00D42889" w:rsidP="00D4288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5-Year Impact:</w:t>
      </w:r>
      <w:r w:rsidRPr="00D42889">
        <w:rPr>
          <w:rFonts w:ascii="Times New Roman" w:eastAsia="Times New Roman" w:hAnsi="Times New Roman" w:cs="Times New Roman"/>
          <w:kern w:val="0"/>
          <w14:ligatures w14:val="none"/>
        </w:rPr>
        <w:t xml:space="preserve"> $63 billion in potential savings</w:t>
      </w:r>
    </w:p>
    <w:p w14:paraId="458956F7" w14:textId="7354435E"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02A96AA9" wp14:editId="2F08C995">
            <wp:extent cx="5943600" cy="3542030"/>
            <wp:effectExtent l="0" t="0" r="0" b="1270"/>
            <wp:docPr id="840502566" name="Picture 4" descr="A graph showing a graph of financial impact proj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02566" name="Picture 4" descr="A graph showing a graph of financial impact proje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inline>
        </w:drawing>
      </w:r>
      <w:r w:rsidRPr="00D42889">
        <w:rPr>
          <w:rFonts w:ascii="Times New Roman" w:eastAsia="Times New Roman" w:hAnsi="Times New Roman" w:cs="Times New Roman"/>
          <w:b/>
          <w:bCs/>
          <w:kern w:val="0"/>
          <w:sz w:val="27"/>
          <w:szCs w:val="27"/>
          <w14:ligatures w14:val="none"/>
        </w:rPr>
        <w:t>Return on Investment</w:t>
      </w:r>
    </w:p>
    <w:p w14:paraId="40DA1DE4" w14:textId="77777777" w:rsidR="00D42889" w:rsidRPr="00D42889" w:rsidRDefault="00D42889" w:rsidP="00D4288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Development Cost:</w:t>
      </w:r>
      <w:r w:rsidRPr="00D42889">
        <w:rPr>
          <w:rFonts w:ascii="Times New Roman" w:eastAsia="Times New Roman" w:hAnsi="Times New Roman" w:cs="Times New Roman"/>
          <w:kern w:val="0"/>
          <w14:ligatures w14:val="none"/>
        </w:rPr>
        <w:t xml:space="preserve"> $100,000 (estimated)</w:t>
      </w:r>
    </w:p>
    <w:p w14:paraId="0AB99DB5" w14:textId="77777777" w:rsidR="00D42889" w:rsidRPr="00D42889" w:rsidRDefault="00D42889" w:rsidP="00D4288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Annual Operating Cost:</w:t>
      </w:r>
      <w:r w:rsidRPr="00D42889">
        <w:rPr>
          <w:rFonts w:ascii="Times New Roman" w:eastAsia="Times New Roman" w:hAnsi="Times New Roman" w:cs="Times New Roman"/>
          <w:kern w:val="0"/>
          <w14:ligatures w14:val="none"/>
        </w:rPr>
        <w:t xml:space="preserve"> $6,000 (cloud infrastructure)</w:t>
      </w:r>
    </w:p>
    <w:p w14:paraId="0DE3CF1F" w14:textId="77777777" w:rsidR="00D42889" w:rsidRPr="00D42889" w:rsidRDefault="00D42889" w:rsidP="00D4288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Annual Savings:</w:t>
      </w:r>
      <w:r w:rsidRPr="00D42889">
        <w:rPr>
          <w:rFonts w:ascii="Times New Roman" w:eastAsia="Times New Roman" w:hAnsi="Times New Roman" w:cs="Times New Roman"/>
          <w:kern w:val="0"/>
          <w14:ligatures w14:val="none"/>
        </w:rPr>
        <w:t xml:space="preserve"> $12.6 billion</w:t>
      </w:r>
    </w:p>
    <w:p w14:paraId="778D8BBC" w14:textId="77777777" w:rsidR="00D42889" w:rsidRPr="00D42889" w:rsidRDefault="00D42889" w:rsidP="00D4288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ROI:</w:t>
      </w:r>
      <w:r w:rsidRPr="00D42889">
        <w:rPr>
          <w:rFonts w:ascii="Times New Roman" w:eastAsia="Times New Roman" w:hAnsi="Times New Roman" w:cs="Times New Roman"/>
          <w:kern w:val="0"/>
          <w14:ligatures w14:val="none"/>
        </w:rPr>
        <w:t xml:space="preserve"> 126,000:1</w:t>
      </w:r>
    </w:p>
    <w:p w14:paraId="0C36A356"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This exceptional return on investment demonstrates the system's value proposition for taxpayers and the Medicare Trust Fund.</w:t>
      </w:r>
    </w:p>
    <w:p w14:paraId="2724CD6C" w14:textId="50D43BE8" w:rsidR="00D42889" w:rsidRPr="00D42889" w:rsidRDefault="00D42889" w:rsidP="00D42889">
      <w:pPr>
        <w:spacing w:after="0" w:line="240" w:lineRule="auto"/>
        <w:rPr>
          <w:rFonts w:ascii="Times New Roman" w:eastAsia="Times New Roman" w:hAnsi="Times New Roman" w:cs="Times New Roman"/>
          <w:kern w:val="0"/>
          <w14:ligatures w14:val="none"/>
        </w:rPr>
      </w:pPr>
    </w:p>
    <w:p w14:paraId="49E95E08"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METHODOLOGY AND VALIDATION</w:t>
      </w:r>
    </w:p>
    <w:p w14:paraId="18C942C8"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Data Sources</w:t>
      </w:r>
    </w:p>
    <w:p w14:paraId="7C13BF61"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The analysis integrated six official government databases:</w:t>
      </w:r>
    </w:p>
    <w:p w14:paraId="1CA1EC71" w14:textId="77777777" w:rsidR="00D42889" w:rsidRPr="00D42889" w:rsidRDefault="00D42889" w:rsidP="00D4288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lastRenderedPageBreak/>
        <w:t>Medicare Provider Utilization Data (2019-2023)</w:t>
      </w:r>
    </w:p>
    <w:p w14:paraId="0AF87CCD" w14:textId="77777777" w:rsidR="00D42889" w:rsidRPr="00D42889" w:rsidRDefault="00D42889" w:rsidP="00D4288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National Provider Identifier (NPPES) Registry (8.2 million providers)</w:t>
      </w:r>
    </w:p>
    <w:p w14:paraId="79D87E77" w14:textId="77777777" w:rsidR="00D42889" w:rsidRPr="00D42889" w:rsidRDefault="00D42889" w:rsidP="00D4288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OIG List of Excluded Individuals/Entities (81,914 exclusions)</w:t>
      </w:r>
    </w:p>
    <w:p w14:paraId="01788BB4" w14:textId="77777777" w:rsidR="00D42889" w:rsidRPr="00D42889" w:rsidRDefault="00D42889" w:rsidP="00D4288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Medicare Provider Enrollment Data (quarterly updates)</w:t>
      </w:r>
    </w:p>
    <w:p w14:paraId="08941E3C" w14:textId="77777777" w:rsidR="00D42889" w:rsidRPr="00D42889" w:rsidRDefault="00D42889" w:rsidP="00D4288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Geographic Variation Public Use Files</w:t>
      </w:r>
    </w:p>
    <w:p w14:paraId="35588CDC" w14:textId="77777777" w:rsidR="00D42889" w:rsidRPr="00D42889" w:rsidRDefault="00D42889" w:rsidP="00D4288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Telehealth Trends Dataset</w:t>
      </w:r>
    </w:p>
    <w:p w14:paraId="2120A795"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Detection Methods</w:t>
      </w:r>
    </w:p>
    <w:p w14:paraId="7CC9BE2D"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The fraud detection framework employs multiple complementary approaches:</w:t>
      </w:r>
    </w:p>
    <w:p w14:paraId="6291D1FF" w14:textId="77777777" w:rsidR="00D42889" w:rsidRPr="00D42889" w:rsidRDefault="00D42889" w:rsidP="00D4288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Statistical Analysis:</w:t>
      </w:r>
      <w:r w:rsidRPr="00D42889">
        <w:rPr>
          <w:rFonts w:ascii="Times New Roman" w:eastAsia="Times New Roman" w:hAnsi="Times New Roman" w:cs="Times New Roman"/>
          <w:kern w:val="0"/>
          <w14:ligatures w14:val="none"/>
        </w:rPr>
        <w:t xml:space="preserve"> Z-score outlier detection comparing providers to specialty-geographic peers</w:t>
      </w:r>
    </w:p>
    <w:p w14:paraId="0F321FCC" w14:textId="77777777" w:rsidR="00D42889" w:rsidRPr="00D42889" w:rsidRDefault="00D42889" w:rsidP="00D4288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Machine Learning:</w:t>
      </w:r>
      <w:r w:rsidRPr="00D42889">
        <w:rPr>
          <w:rFonts w:ascii="Times New Roman" w:eastAsia="Times New Roman" w:hAnsi="Times New Roman" w:cs="Times New Roman"/>
          <w:kern w:val="0"/>
          <w14:ligatures w14:val="none"/>
        </w:rPr>
        <w:t xml:space="preserve"> Isolation Forest algorithm for multivariate anomaly detection</w:t>
      </w:r>
    </w:p>
    <w:p w14:paraId="52E05B4B" w14:textId="5F787737" w:rsidR="006C09E9" w:rsidRPr="006C09E9" w:rsidRDefault="006C09E9" w:rsidP="00D4288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C09E9">
        <w:rPr>
          <w:rFonts w:ascii="Times New Roman" w:eastAsia="Times New Roman" w:hAnsi="Times New Roman" w:cs="Times New Roman"/>
          <w:b/>
          <w:bCs/>
          <w:kern w:val="0"/>
          <w14:ligatures w14:val="none"/>
        </w:rPr>
        <w:t>Cross-Validation:</w:t>
      </w:r>
      <w:r w:rsidRPr="006C09E9">
        <w:rPr>
          <w:rFonts w:ascii="Times New Roman" w:eastAsia="Times New Roman" w:hAnsi="Times New Roman" w:cs="Times New Roman"/>
          <w:kern w:val="0"/>
          <w14:ligatures w14:val="none"/>
        </w:rPr>
        <w:t>Statistical k-fold validation methodology</w:t>
      </w:r>
    </w:p>
    <w:p w14:paraId="76371595" w14:textId="4D8A6F65" w:rsidR="00D42889" w:rsidRPr="00D42889" w:rsidRDefault="00D42889" w:rsidP="00D4288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Risk Scoring:</w:t>
      </w:r>
      <w:r w:rsidRPr="00D42889">
        <w:rPr>
          <w:rFonts w:ascii="Times New Roman" w:eastAsia="Times New Roman" w:hAnsi="Times New Roman" w:cs="Times New Roman"/>
          <w:kern w:val="0"/>
          <w14:ligatures w14:val="none"/>
        </w:rPr>
        <w:t xml:space="preserve"> Combined framework integrating all detection methods</w:t>
      </w:r>
    </w:p>
    <w:p w14:paraId="5D21A473" w14:textId="41281F9A"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3B5130EF" wp14:editId="7C8C887A">
            <wp:extent cx="5943600" cy="4921250"/>
            <wp:effectExtent l="0" t="0" r="0" b="0"/>
            <wp:docPr id="529617459" name="Picture 5" descr="A group of graphs with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17459" name="Picture 5" descr="A group of graphs with green and blue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921250"/>
                    </a:xfrm>
                    <a:prstGeom prst="rect">
                      <a:avLst/>
                    </a:prstGeom>
                  </pic:spPr>
                </pic:pic>
              </a:graphicData>
            </a:graphic>
          </wp:inline>
        </w:drawing>
      </w:r>
      <w:r w:rsidRPr="00D42889">
        <w:rPr>
          <w:rFonts w:ascii="Times New Roman" w:eastAsia="Times New Roman" w:hAnsi="Times New Roman" w:cs="Times New Roman"/>
          <w:b/>
          <w:bCs/>
          <w:kern w:val="0"/>
          <w:sz w:val="27"/>
          <w:szCs w:val="27"/>
          <w14:ligatures w14:val="none"/>
        </w:rPr>
        <w:t>Performance Metrics</w:t>
      </w:r>
    </w:p>
    <w:p w14:paraId="6EAEA9D7" w14:textId="77777777" w:rsidR="00D42889" w:rsidRPr="00D42889" w:rsidRDefault="00D42889" w:rsidP="00D4288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lastRenderedPageBreak/>
        <w:t>Accuracy:</w:t>
      </w:r>
      <w:r w:rsidRPr="00D42889">
        <w:rPr>
          <w:rFonts w:ascii="Times New Roman" w:eastAsia="Times New Roman" w:hAnsi="Times New Roman" w:cs="Times New Roman"/>
          <w:kern w:val="0"/>
          <w14:ligatures w14:val="none"/>
        </w:rPr>
        <w:t xml:space="preserve"> 91.3%</w:t>
      </w:r>
    </w:p>
    <w:p w14:paraId="3DB683AF" w14:textId="77777777" w:rsidR="00D42889" w:rsidRPr="00D42889" w:rsidRDefault="00D42889" w:rsidP="00D4288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Precision:</w:t>
      </w:r>
      <w:r w:rsidRPr="00D42889">
        <w:rPr>
          <w:rFonts w:ascii="Times New Roman" w:eastAsia="Times New Roman" w:hAnsi="Times New Roman" w:cs="Times New Roman"/>
          <w:kern w:val="0"/>
          <w14:ligatures w14:val="none"/>
        </w:rPr>
        <w:t xml:space="preserve"> 100% (no false positives in critical category)</w:t>
      </w:r>
    </w:p>
    <w:p w14:paraId="1DE69DAE" w14:textId="77777777" w:rsidR="00D42889" w:rsidRPr="00D42889" w:rsidRDefault="00D42889" w:rsidP="00D4288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Processing Speed:</w:t>
      </w:r>
      <w:r w:rsidRPr="00D42889">
        <w:rPr>
          <w:rFonts w:ascii="Times New Roman" w:eastAsia="Times New Roman" w:hAnsi="Times New Roman" w:cs="Times New Roman"/>
          <w:kern w:val="0"/>
          <w14:ligatures w14:val="none"/>
        </w:rPr>
        <w:t xml:space="preserve"> 148 records/second</w:t>
      </w:r>
    </w:p>
    <w:p w14:paraId="333BCC2B" w14:textId="77777777" w:rsidR="00D42889" w:rsidRPr="00D42889" w:rsidRDefault="00D42889" w:rsidP="00D4288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Scalability:</w:t>
      </w:r>
      <w:r w:rsidRPr="00D42889">
        <w:rPr>
          <w:rFonts w:ascii="Times New Roman" w:eastAsia="Times New Roman" w:hAnsi="Times New Roman" w:cs="Times New Roman"/>
          <w:kern w:val="0"/>
          <w14:ligatures w14:val="none"/>
        </w:rPr>
        <w:t xml:space="preserve"> Handles 5+ million providers</w:t>
      </w:r>
    </w:p>
    <w:p w14:paraId="18144AB1" w14:textId="3700AA29" w:rsidR="00D42889" w:rsidRPr="00D42889" w:rsidRDefault="00D42889" w:rsidP="00D42889">
      <w:pPr>
        <w:spacing w:after="0" w:line="240" w:lineRule="auto"/>
        <w:rPr>
          <w:rFonts w:ascii="Times New Roman" w:eastAsia="Times New Roman" w:hAnsi="Times New Roman" w:cs="Times New Roman"/>
          <w:kern w:val="0"/>
          <w14:ligatures w14:val="none"/>
        </w:rPr>
      </w:pPr>
    </w:p>
    <w:p w14:paraId="5D821D33"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POLICY RECOMMENDATIONS</w:t>
      </w:r>
    </w:p>
    <w:p w14:paraId="63A71081"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Immediate Actions (Year 1)</w:t>
      </w:r>
    </w:p>
    <w:p w14:paraId="1B31230C" w14:textId="77777777" w:rsidR="00D42889" w:rsidRPr="00D42889" w:rsidRDefault="00D42889" w:rsidP="00D4288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Deploy Automated Risk Scoring:</w:t>
      </w:r>
      <w:r w:rsidRPr="00D42889">
        <w:rPr>
          <w:rFonts w:ascii="Times New Roman" w:eastAsia="Times New Roman" w:hAnsi="Times New Roman" w:cs="Times New Roman"/>
          <w:kern w:val="0"/>
          <w14:ligatures w14:val="none"/>
        </w:rPr>
        <w:t xml:space="preserve"> Implement real-time risk assessment for all Medicare claims exceeding $100,000 annually</w:t>
      </w:r>
    </w:p>
    <w:p w14:paraId="471A3257" w14:textId="77777777" w:rsidR="00D42889" w:rsidRPr="00D42889" w:rsidRDefault="00D42889" w:rsidP="00D4288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Integrate Databases:</w:t>
      </w:r>
      <w:r w:rsidRPr="00D42889">
        <w:rPr>
          <w:rFonts w:ascii="Times New Roman" w:eastAsia="Times New Roman" w:hAnsi="Times New Roman" w:cs="Times New Roman"/>
          <w:kern w:val="0"/>
          <w14:ligatures w14:val="none"/>
        </w:rPr>
        <w:t xml:space="preserve"> Connect NPPES, OIG, and claims systems for instant cross-validation</w:t>
      </w:r>
    </w:p>
    <w:p w14:paraId="530A092C" w14:textId="77777777" w:rsidR="00D42889" w:rsidRPr="00D42889" w:rsidRDefault="00D42889" w:rsidP="00D4288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Establish Thresholds:</w:t>
      </w:r>
      <w:r w:rsidRPr="00D42889">
        <w:rPr>
          <w:rFonts w:ascii="Times New Roman" w:eastAsia="Times New Roman" w:hAnsi="Times New Roman" w:cs="Times New Roman"/>
          <w:kern w:val="0"/>
          <w14:ligatures w14:val="none"/>
        </w:rPr>
        <w:t xml:space="preserve"> Set specialty-specific billing limits based on peer benchmarks</w:t>
      </w:r>
    </w:p>
    <w:p w14:paraId="430EC775"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Medium-Term Initiatives (Years 2-3)</w:t>
      </w:r>
    </w:p>
    <w:p w14:paraId="2906B19E" w14:textId="77777777" w:rsidR="00D42889" w:rsidRPr="00D42889" w:rsidRDefault="00D42889" w:rsidP="00D4288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Predictive Prevention:</w:t>
      </w:r>
      <w:r w:rsidRPr="00D42889">
        <w:rPr>
          <w:rFonts w:ascii="Times New Roman" w:eastAsia="Times New Roman" w:hAnsi="Times New Roman" w:cs="Times New Roman"/>
          <w:kern w:val="0"/>
          <w14:ligatures w14:val="none"/>
        </w:rPr>
        <w:t xml:space="preserve"> Deploy machine learning models for pre-payment fraud detection</w:t>
      </w:r>
    </w:p>
    <w:p w14:paraId="00D8B346" w14:textId="77777777" w:rsidR="00D42889" w:rsidRPr="00D42889" w:rsidRDefault="00D42889" w:rsidP="00D4288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Provider Transparency:</w:t>
      </w:r>
      <w:r w:rsidRPr="00D42889">
        <w:rPr>
          <w:rFonts w:ascii="Times New Roman" w:eastAsia="Times New Roman" w:hAnsi="Times New Roman" w:cs="Times New Roman"/>
          <w:kern w:val="0"/>
          <w14:ligatures w14:val="none"/>
        </w:rPr>
        <w:t xml:space="preserve"> Create public scorecards showing provider billing patterns</w:t>
      </w:r>
    </w:p>
    <w:p w14:paraId="146232BD" w14:textId="77777777" w:rsidR="00D42889" w:rsidRPr="00D42889" w:rsidRDefault="00D42889" w:rsidP="00D4288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Interstate Coordination:</w:t>
      </w:r>
      <w:r w:rsidRPr="00D42889">
        <w:rPr>
          <w:rFonts w:ascii="Times New Roman" w:eastAsia="Times New Roman" w:hAnsi="Times New Roman" w:cs="Times New Roman"/>
          <w:kern w:val="0"/>
          <w14:ligatures w14:val="none"/>
        </w:rPr>
        <w:t xml:space="preserve"> Develop data-sharing agreements for multi-state billing verification</w:t>
      </w:r>
    </w:p>
    <w:p w14:paraId="164139E1"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Long-Term Strategy (Years 3-5)</w:t>
      </w:r>
    </w:p>
    <w:p w14:paraId="5F563B13" w14:textId="77777777" w:rsidR="00D42889" w:rsidRPr="00D42889" w:rsidRDefault="00D42889" w:rsidP="00D4288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AI-Powered Monitoring:</w:t>
      </w:r>
      <w:r w:rsidRPr="00D42889">
        <w:rPr>
          <w:rFonts w:ascii="Times New Roman" w:eastAsia="Times New Roman" w:hAnsi="Times New Roman" w:cs="Times New Roman"/>
          <w:kern w:val="0"/>
          <w14:ligatures w14:val="none"/>
        </w:rPr>
        <w:t xml:space="preserve"> Implement continuous learning systems adapting to new fraud patterns</w:t>
      </w:r>
    </w:p>
    <w:p w14:paraId="0A25314B" w14:textId="77777777" w:rsidR="00D42889" w:rsidRPr="00D42889" w:rsidRDefault="00D42889" w:rsidP="00D4288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Beneficiary Protection:</w:t>
      </w:r>
      <w:r w:rsidRPr="00D42889">
        <w:rPr>
          <w:rFonts w:ascii="Times New Roman" w:eastAsia="Times New Roman" w:hAnsi="Times New Roman" w:cs="Times New Roman"/>
          <w:kern w:val="0"/>
          <w14:ligatures w14:val="none"/>
        </w:rPr>
        <w:t xml:space="preserve"> Alert patients when their providers show high-risk patterns</w:t>
      </w:r>
    </w:p>
    <w:p w14:paraId="4FE0BCE6" w14:textId="77777777" w:rsidR="00D42889" w:rsidRPr="00D42889" w:rsidRDefault="00D42889" w:rsidP="00D4288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Legislative Support:</w:t>
      </w:r>
      <w:r w:rsidRPr="00D42889">
        <w:rPr>
          <w:rFonts w:ascii="Times New Roman" w:eastAsia="Times New Roman" w:hAnsi="Times New Roman" w:cs="Times New Roman"/>
          <w:kern w:val="0"/>
          <w14:ligatures w14:val="none"/>
        </w:rPr>
        <w:t xml:space="preserve"> Provide data supporting enhanced fraud penalties and enforcement</w:t>
      </w:r>
    </w:p>
    <w:p w14:paraId="7BBB954C" w14:textId="2F8CC7EE" w:rsidR="00D42889" w:rsidRPr="00D42889" w:rsidRDefault="00D42889" w:rsidP="00D42889">
      <w:pPr>
        <w:spacing w:after="0" w:line="240" w:lineRule="auto"/>
        <w:rPr>
          <w:rFonts w:ascii="Times New Roman" w:eastAsia="Times New Roman" w:hAnsi="Times New Roman" w:cs="Times New Roman"/>
          <w:kern w:val="0"/>
          <w14:ligatures w14:val="none"/>
        </w:rPr>
      </w:pPr>
    </w:p>
    <w:p w14:paraId="665B8B54"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ALIGNMENT WITH FEDERAL PRIORITIES</w:t>
      </w:r>
    </w:p>
    <w:p w14:paraId="60FD0622"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This work directly advances multiple federal initiatives:</w:t>
      </w:r>
    </w:p>
    <w:p w14:paraId="65E1206A"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Medicare Access and CHIP Reauthorization Act (MACRA)</w:t>
      </w:r>
    </w:p>
    <w:p w14:paraId="08A56917"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Supports program integrity provisions through data-driven quality metrics and identification of providers undermining value-based care initiatives.</w:t>
      </w:r>
    </w:p>
    <w:p w14:paraId="4CBD3E05"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Executive Order 13520 - Reducing Improper Payments</w:t>
      </w:r>
    </w:p>
    <w:p w14:paraId="1301152B"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lastRenderedPageBreak/>
        <w:t>Addresses the mandate to reduce payment error rates below 10% by providing pre-payment fraud indicators supporting the $50 billion reduction goal.</w:t>
      </w:r>
    </w:p>
    <w:p w14:paraId="2B95D3CF"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HHS Strategic Plan 2022-2026</w:t>
      </w:r>
    </w:p>
    <w:p w14:paraId="2DEB8717"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Directly supports Objective 3.3: "Strengthen program integrity and combat fraud" through advanced analytics contributing to the 25% fraud reduction target.</w:t>
      </w:r>
    </w:p>
    <w:p w14:paraId="3FAA3D7F" w14:textId="46DEB18E" w:rsidR="00D42889" w:rsidRPr="00D42889" w:rsidRDefault="00D42889" w:rsidP="00D42889">
      <w:pPr>
        <w:spacing w:after="0" w:line="240" w:lineRule="auto"/>
        <w:rPr>
          <w:rFonts w:ascii="Times New Roman" w:eastAsia="Times New Roman" w:hAnsi="Times New Roman" w:cs="Times New Roman"/>
          <w:kern w:val="0"/>
          <w14:ligatures w14:val="none"/>
        </w:rPr>
      </w:pPr>
    </w:p>
    <w:p w14:paraId="0105F733"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IMPLEMENTATION ROADMAP</w:t>
      </w:r>
    </w:p>
    <w:p w14:paraId="5CE90CA2"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Phase 1: Pilot Program (Months 1-6)</w:t>
      </w:r>
    </w:p>
    <w:p w14:paraId="73968A07" w14:textId="77777777" w:rsidR="00D42889" w:rsidRPr="00D42889" w:rsidRDefault="00D42889" w:rsidP="00D4288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Deploy in 5 high-risk states (FL, CA, TX, NY, MI)</w:t>
      </w:r>
    </w:p>
    <w:p w14:paraId="713A186A" w14:textId="77777777" w:rsidR="00D42889" w:rsidRPr="00D42889" w:rsidRDefault="00D42889" w:rsidP="00D4288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Monitor 10,000 highest-billing providers</w:t>
      </w:r>
    </w:p>
    <w:p w14:paraId="5CC78DAC" w14:textId="77777777" w:rsidR="00D42889" w:rsidRPr="00D42889" w:rsidRDefault="00D42889" w:rsidP="00D4288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Establish baseline metrics</w:t>
      </w:r>
    </w:p>
    <w:p w14:paraId="6E92E05D"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Phase 2: Regional Expansion (Months 7-12)</w:t>
      </w:r>
    </w:p>
    <w:p w14:paraId="13B64AAC" w14:textId="77777777" w:rsidR="00D42889" w:rsidRPr="00D42889" w:rsidRDefault="00D42889" w:rsidP="00D4288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Expand to 15 states</w:t>
      </w:r>
    </w:p>
    <w:p w14:paraId="535B57C3" w14:textId="77777777" w:rsidR="00D42889" w:rsidRPr="00D42889" w:rsidRDefault="00D42889" w:rsidP="00D4288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Include all providers billing &gt;$500,000 annually</w:t>
      </w:r>
    </w:p>
    <w:p w14:paraId="7242C547" w14:textId="77777777" w:rsidR="00D42889" w:rsidRPr="00D42889" w:rsidRDefault="00D42889" w:rsidP="00D4288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Integrate with existing CMS systems</w:t>
      </w:r>
    </w:p>
    <w:p w14:paraId="06973526"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Phase 3: National Deployment (Months 13-24)</w:t>
      </w:r>
    </w:p>
    <w:p w14:paraId="71DEAC1F" w14:textId="77777777" w:rsidR="00D42889" w:rsidRPr="00D42889" w:rsidRDefault="00D42889" w:rsidP="00D4288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Full coverage of all Medicare providers</w:t>
      </w:r>
    </w:p>
    <w:p w14:paraId="067E1FBF" w14:textId="77777777" w:rsidR="00D42889" w:rsidRPr="00D42889" w:rsidRDefault="00D42889" w:rsidP="00D4288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Real-time scoring integration</w:t>
      </w:r>
    </w:p>
    <w:p w14:paraId="2F9486E1" w14:textId="77777777" w:rsidR="00D42889" w:rsidRPr="00D42889" w:rsidRDefault="00D42889" w:rsidP="00D4288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Automated investigation referrals</w:t>
      </w:r>
    </w:p>
    <w:p w14:paraId="70072AD2" w14:textId="684E61FC" w:rsidR="00D42889" w:rsidRPr="00D42889" w:rsidRDefault="00D42889" w:rsidP="00D42889">
      <w:pPr>
        <w:spacing w:after="0" w:line="240" w:lineRule="auto"/>
        <w:rPr>
          <w:rFonts w:ascii="Times New Roman" w:eastAsia="Times New Roman" w:hAnsi="Times New Roman" w:cs="Times New Roman"/>
          <w:kern w:val="0"/>
          <w14:ligatures w14:val="none"/>
        </w:rPr>
      </w:pPr>
    </w:p>
    <w:p w14:paraId="5E02A642"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CONCLUSIONS</w:t>
      </w:r>
    </w:p>
    <w:p w14:paraId="26B12871" w14:textId="6171B720"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 xml:space="preserve">The Medicare Telehealth Fraud Detection System demonstrates that advanced analytics can identify fraudulent billing patterns invisible to traditional auditing methods. </w:t>
      </w:r>
      <w:r w:rsidR="000512F5" w:rsidRPr="000512F5">
        <w:rPr>
          <w:rFonts w:ascii="Times New Roman" w:eastAsia="Times New Roman" w:hAnsi="Times New Roman" w:cs="Times New Roman"/>
          <w:kern w:val="0"/>
          <w14:ligatures w14:val="none"/>
        </w:rPr>
        <w:t>The identification of $420.2 million in excess payments from just 35 providers, with 91.3% model accuracy, proves the system's effectiveness</w:t>
      </w:r>
      <w:r w:rsidRPr="00D42889">
        <w:rPr>
          <w:rFonts w:ascii="Times New Roman" w:eastAsia="Times New Roman" w:hAnsi="Times New Roman" w:cs="Times New Roman"/>
          <w:kern w:val="0"/>
          <w14:ligatures w14:val="none"/>
        </w:rPr>
        <w:t xml:space="preserve"> and immediate value.</w:t>
      </w:r>
    </w:p>
    <w:p w14:paraId="75693131"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With national deployment, this framework could prevent $12.6 billion in annual fraudulent payments while maintaining access to legitimate telehealth services. The 126,000:1 return on investment makes this one of the most cost-effective program integrity initiatives available to CMS.</w:t>
      </w:r>
    </w:p>
    <w:p w14:paraId="5F912334" w14:textId="77777777"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lastRenderedPageBreak/>
        <w:t>The system's transparency, reproducibility, and use of public data ensure sustainable implementation without vendor lock-in. By providing actionable intelligence to law enforcement while establishing deterrence through systematic monitoring, this work serves the dual purpose of recovering stolen taxpayer funds and protecting the Medicare Trust Fund for future beneficiaries.</w:t>
      </w:r>
    </w:p>
    <w:p w14:paraId="5E006C36" w14:textId="2211F2BD" w:rsidR="00D42889" w:rsidRPr="00D42889" w:rsidRDefault="00D42889" w:rsidP="00D42889">
      <w:pPr>
        <w:spacing w:after="0" w:line="240" w:lineRule="auto"/>
        <w:rPr>
          <w:rFonts w:ascii="Times New Roman" w:eastAsia="Times New Roman" w:hAnsi="Times New Roman" w:cs="Times New Roman"/>
          <w:kern w:val="0"/>
          <w14:ligatures w14:val="none"/>
        </w:rPr>
      </w:pPr>
    </w:p>
    <w:p w14:paraId="51444A27" w14:textId="77777777" w:rsidR="00D42889" w:rsidRPr="00D42889" w:rsidRDefault="00D42889" w:rsidP="00D42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889">
        <w:rPr>
          <w:rFonts w:ascii="Times New Roman" w:eastAsia="Times New Roman" w:hAnsi="Times New Roman" w:cs="Times New Roman"/>
          <w:b/>
          <w:bCs/>
          <w:kern w:val="0"/>
          <w:sz w:val="36"/>
          <w:szCs w:val="36"/>
          <w14:ligatures w14:val="none"/>
        </w:rPr>
        <w:t>APPENDICES</w:t>
      </w:r>
    </w:p>
    <w:p w14:paraId="43DDA1A5"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Appendix A: Technical Specifications</w:t>
      </w:r>
    </w:p>
    <w:p w14:paraId="288F0ADD" w14:textId="77777777" w:rsidR="00D42889" w:rsidRPr="00D42889" w:rsidRDefault="00D42889" w:rsidP="00D4288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Processing capacity: 50,000 providers in 6 minutes</w:t>
      </w:r>
    </w:p>
    <w:p w14:paraId="12A0848C" w14:textId="77777777" w:rsidR="00D42889" w:rsidRPr="00D42889" w:rsidRDefault="00D42889" w:rsidP="00D4288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Technology stack: Python 3.13, scikit-learn 1.6.1, pandas 2.2.3</w:t>
      </w:r>
    </w:p>
    <w:p w14:paraId="3309B48B" w14:textId="77777777" w:rsidR="00D42889" w:rsidRPr="00D42889" w:rsidRDefault="00D42889" w:rsidP="00D4288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Infrastructure: Cloud-deployable, 16GB RAM minimum</w:t>
      </w:r>
    </w:p>
    <w:p w14:paraId="16600F7E"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Appendix B: Validation Metrics</w:t>
      </w:r>
    </w:p>
    <w:p w14:paraId="385F4A48" w14:textId="476B7970" w:rsidR="006C04AD" w:rsidRDefault="006C04AD" w:rsidP="00D4288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C04AD">
        <w:rPr>
          <w:rFonts w:ascii="Times New Roman" w:eastAsia="Times New Roman" w:hAnsi="Times New Roman" w:cs="Times New Roman"/>
          <w:kern w:val="0"/>
          <w14:ligatures w14:val="none"/>
        </w:rPr>
        <w:t>Statistical validation accuracy: 91.3%</w:t>
      </w:r>
    </w:p>
    <w:p w14:paraId="5282B88D" w14:textId="06F9CDF8" w:rsidR="00D42889" w:rsidRPr="00D42889" w:rsidRDefault="00D42889" w:rsidP="00D4288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Geographic pattern alignment: 94%</w:t>
      </w:r>
    </w:p>
    <w:p w14:paraId="7BEEDFA5" w14:textId="77777777" w:rsidR="00D42889" w:rsidRPr="00D42889" w:rsidRDefault="00D42889" w:rsidP="00D4288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Temporal stability: 92%</w:t>
      </w:r>
    </w:p>
    <w:p w14:paraId="1606C8C3" w14:textId="77777777" w:rsidR="00D42889" w:rsidRPr="00D42889" w:rsidRDefault="00D42889" w:rsidP="00D4288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Peer benchmark accuracy: 89%</w:t>
      </w:r>
    </w:p>
    <w:p w14:paraId="1D509238" w14:textId="77777777" w:rsidR="00D42889" w:rsidRPr="00D42889" w:rsidRDefault="00D42889" w:rsidP="00D42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889">
        <w:rPr>
          <w:rFonts w:ascii="Times New Roman" w:eastAsia="Times New Roman" w:hAnsi="Times New Roman" w:cs="Times New Roman"/>
          <w:b/>
          <w:bCs/>
          <w:kern w:val="0"/>
          <w:sz w:val="27"/>
          <w:szCs w:val="27"/>
          <w14:ligatures w14:val="none"/>
        </w:rPr>
        <w:t>Appendix C: Data Sources</w:t>
      </w:r>
    </w:p>
    <w:p w14:paraId="37063CB8" w14:textId="77777777" w:rsidR="00D42889" w:rsidRPr="00D42889" w:rsidRDefault="00D42889" w:rsidP="00D4288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Medicare Provider Utilization and Payment Data</w:t>
      </w:r>
    </w:p>
    <w:p w14:paraId="05543889" w14:textId="77777777" w:rsidR="00D42889" w:rsidRPr="00D42889" w:rsidRDefault="00D42889" w:rsidP="00D4288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National Plan and Provider Enumeration System (NPPES)</w:t>
      </w:r>
    </w:p>
    <w:p w14:paraId="0B09A382" w14:textId="77777777" w:rsidR="00D42889" w:rsidRPr="00D42889" w:rsidRDefault="00D42889" w:rsidP="00D4288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OIG List of Excluded Individuals/Entities (LEIE)</w:t>
      </w:r>
    </w:p>
    <w:p w14:paraId="0BD26D80" w14:textId="77777777" w:rsidR="00D42889" w:rsidRPr="00D42889" w:rsidRDefault="00D42889" w:rsidP="00D4288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kern w:val="0"/>
          <w14:ligatures w14:val="none"/>
        </w:rPr>
        <w:t>CMS Provider Enrollment, Chain, and Ownership System (PECOS)</w:t>
      </w:r>
    </w:p>
    <w:p w14:paraId="22BF6E9D" w14:textId="259A0F9C" w:rsidR="00D42889" w:rsidRPr="00D42889" w:rsidRDefault="00D42889" w:rsidP="00D42889">
      <w:pPr>
        <w:spacing w:after="0" w:line="240" w:lineRule="auto"/>
        <w:rPr>
          <w:rFonts w:ascii="Times New Roman" w:eastAsia="Times New Roman" w:hAnsi="Times New Roman" w:cs="Times New Roman"/>
          <w:kern w:val="0"/>
          <w14:ligatures w14:val="none"/>
        </w:rPr>
      </w:pPr>
    </w:p>
    <w:p w14:paraId="25034FD5" w14:textId="47FFF5D9" w:rsid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Contact Information:</w:t>
      </w:r>
      <w:r w:rsidRPr="00D42889">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Seemab Hassan</w:t>
      </w:r>
    </w:p>
    <w:p w14:paraId="033446BA" w14:textId="32D748A5"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Seemab.lums@gmail.com</w:t>
      </w:r>
    </w:p>
    <w:p w14:paraId="0B1A6D35" w14:textId="080AB231" w:rsidR="00D42889" w:rsidRPr="00D42889" w:rsidRDefault="00D42889" w:rsidP="00D42889">
      <w:pPr>
        <w:spacing w:after="0" w:line="240" w:lineRule="auto"/>
        <w:rPr>
          <w:rFonts w:ascii="Times New Roman" w:eastAsia="Times New Roman" w:hAnsi="Times New Roman" w:cs="Times New Roman"/>
          <w:kern w:val="0"/>
          <w14:ligatures w14:val="none"/>
        </w:rPr>
      </w:pPr>
    </w:p>
    <w:p w14:paraId="0FDC4108" w14:textId="5D50B715" w:rsidR="00D42889" w:rsidRPr="00D42889" w:rsidRDefault="00D42889" w:rsidP="00D42889">
      <w:pPr>
        <w:spacing w:before="100" w:beforeAutospacing="1" w:after="100" w:afterAutospacing="1" w:line="240" w:lineRule="auto"/>
        <w:rPr>
          <w:rFonts w:ascii="Times New Roman" w:eastAsia="Times New Roman" w:hAnsi="Times New Roman" w:cs="Times New Roman"/>
          <w:kern w:val="0"/>
          <w14:ligatures w14:val="none"/>
        </w:rPr>
      </w:pPr>
      <w:r w:rsidRPr="00D42889">
        <w:rPr>
          <w:rFonts w:ascii="Times New Roman" w:eastAsia="Times New Roman" w:hAnsi="Times New Roman" w:cs="Times New Roman"/>
          <w:b/>
          <w:bCs/>
          <w:kern w:val="0"/>
          <w14:ligatures w14:val="none"/>
        </w:rPr>
        <w:t>Document Classification:</w:t>
      </w:r>
      <w:r w:rsidRPr="00D42889">
        <w:rPr>
          <w:rFonts w:ascii="Times New Roman" w:eastAsia="Times New Roman" w:hAnsi="Times New Roman" w:cs="Times New Roman"/>
          <w:kern w:val="0"/>
          <w14:ligatures w14:val="none"/>
        </w:rPr>
        <w:t xml:space="preserve"> Public Release</w:t>
      </w:r>
      <w:r w:rsidRPr="00D42889">
        <w:rPr>
          <w:rFonts w:ascii="Times New Roman" w:eastAsia="Times New Roman" w:hAnsi="Times New Roman" w:cs="Times New Roman"/>
          <w:kern w:val="0"/>
          <w14:ligatures w14:val="none"/>
        </w:rPr>
        <w:br/>
      </w:r>
      <w:r w:rsidRPr="00D42889">
        <w:rPr>
          <w:rFonts w:ascii="Times New Roman" w:eastAsia="Times New Roman" w:hAnsi="Times New Roman" w:cs="Times New Roman"/>
          <w:b/>
          <w:bCs/>
          <w:kern w:val="0"/>
          <w14:ligatures w14:val="none"/>
        </w:rPr>
        <w:t>Version:</w:t>
      </w:r>
      <w:r w:rsidRPr="00D4288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w:t>
      </w:r>
      <w:r w:rsidRPr="00D42889">
        <w:rPr>
          <w:rFonts w:ascii="Times New Roman" w:eastAsia="Times New Roman" w:hAnsi="Times New Roman" w:cs="Times New Roman"/>
          <w:kern w:val="0"/>
          <w14:ligatures w14:val="none"/>
        </w:rPr>
        <w:t>.0</w:t>
      </w:r>
      <w:r w:rsidRPr="00D42889">
        <w:rPr>
          <w:rFonts w:ascii="Times New Roman" w:eastAsia="Times New Roman" w:hAnsi="Times New Roman" w:cs="Times New Roman"/>
          <w:kern w:val="0"/>
          <w14:ligatures w14:val="none"/>
        </w:rPr>
        <w:br/>
      </w:r>
      <w:r w:rsidRPr="00D42889">
        <w:rPr>
          <w:rFonts w:ascii="Times New Roman" w:eastAsia="Times New Roman" w:hAnsi="Times New Roman" w:cs="Times New Roman"/>
          <w:b/>
          <w:bCs/>
          <w:kern w:val="0"/>
          <w14:ligatures w14:val="none"/>
        </w:rPr>
        <w:t>Last Updated:</w:t>
      </w:r>
      <w:r w:rsidRPr="00D4288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2025</w:t>
      </w:r>
    </w:p>
    <w:p w14:paraId="45B61BC3" w14:textId="3A58CAC7" w:rsidR="00F0193D" w:rsidRPr="009567F3" w:rsidRDefault="00F0193D" w:rsidP="009567F3"/>
    <w:sectPr w:rsidR="00F0193D" w:rsidRPr="00956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E2F"/>
    <w:multiLevelType w:val="multilevel"/>
    <w:tmpl w:val="DE0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32B4A"/>
    <w:multiLevelType w:val="multilevel"/>
    <w:tmpl w:val="D04E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D3E51"/>
    <w:multiLevelType w:val="multilevel"/>
    <w:tmpl w:val="B6B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2495"/>
    <w:multiLevelType w:val="multilevel"/>
    <w:tmpl w:val="58007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55987"/>
    <w:multiLevelType w:val="multilevel"/>
    <w:tmpl w:val="B9D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04CDC"/>
    <w:multiLevelType w:val="multilevel"/>
    <w:tmpl w:val="B93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F4108"/>
    <w:multiLevelType w:val="multilevel"/>
    <w:tmpl w:val="1D5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21088"/>
    <w:multiLevelType w:val="multilevel"/>
    <w:tmpl w:val="CFA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90366"/>
    <w:multiLevelType w:val="multilevel"/>
    <w:tmpl w:val="212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613E"/>
    <w:multiLevelType w:val="multilevel"/>
    <w:tmpl w:val="862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73A38"/>
    <w:multiLevelType w:val="multilevel"/>
    <w:tmpl w:val="88A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C5169"/>
    <w:multiLevelType w:val="multilevel"/>
    <w:tmpl w:val="EC54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73507"/>
    <w:multiLevelType w:val="multilevel"/>
    <w:tmpl w:val="347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568E7"/>
    <w:multiLevelType w:val="multilevel"/>
    <w:tmpl w:val="7BE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C1EF9"/>
    <w:multiLevelType w:val="multilevel"/>
    <w:tmpl w:val="EAD4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44820"/>
    <w:multiLevelType w:val="multilevel"/>
    <w:tmpl w:val="6F48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E6FF6"/>
    <w:multiLevelType w:val="multilevel"/>
    <w:tmpl w:val="F3F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179D2"/>
    <w:multiLevelType w:val="multilevel"/>
    <w:tmpl w:val="5EF4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71DFA"/>
    <w:multiLevelType w:val="multilevel"/>
    <w:tmpl w:val="905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C0657"/>
    <w:multiLevelType w:val="multilevel"/>
    <w:tmpl w:val="E4D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A4535"/>
    <w:multiLevelType w:val="multilevel"/>
    <w:tmpl w:val="6F56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554FC3"/>
    <w:multiLevelType w:val="multilevel"/>
    <w:tmpl w:val="80E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83017"/>
    <w:multiLevelType w:val="multilevel"/>
    <w:tmpl w:val="53F0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5568B5"/>
    <w:multiLevelType w:val="multilevel"/>
    <w:tmpl w:val="8EC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D6A0C"/>
    <w:multiLevelType w:val="multilevel"/>
    <w:tmpl w:val="29D2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B50A1D"/>
    <w:multiLevelType w:val="multilevel"/>
    <w:tmpl w:val="6C1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B76EA"/>
    <w:multiLevelType w:val="multilevel"/>
    <w:tmpl w:val="5F38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A700D"/>
    <w:multiLevelType w:val="multilevel"/>
    <w:tmpl w:val="D88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B78DF"/>
    <w:multiLevelType w:val="multilevel"/>
    <w:tmpl w:val="B352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411C3C"/>
    <w:multiLevelType w:val="multilevel"/>
    <w:tmpl w:val="C87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8521A"/>
    <w:multiLevelType w:val="multilevel"/>
    <w:tmpl w:val="E60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257DE"/>
    <w:multiLevelType w:val="multilevel"/>
    <w:tmpl w:val="645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0E1494"/>
    <w:multiLevelType w:val="multilevel"/>
    <w:tmpl w:val="487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A0384"/>
    <w:multiLevelType w:val="multilevel"/>
    <w:tmpl w:val="36B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54CC6"/>
    <w:multiLevelType w:val="multilevel"/>
    <w:tmpl w:val="0F76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4C4850"/>
    <w:multiLevelType w:val="multilevel"/>
    <w:tmpl w:val="C270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5811F8"/>
    <w:multiLevelType w:val="multilevel"/>
    <w:tmpl w:val="1D38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8657D7"/>
    <w:multiLevelType w:val="multilevel"/>
    <w:tmpl w:val="2118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C428DB"/>
    <w:multiLevelType w:val="multilevel"/>
    <w:tmpl w:val="070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973D9"/>
    <w:multiLevelType w:val="multilevel"/>
    <w:tmpl w:val="148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CE364D"/>
    <w:multiLevelType w:val="multilevel"/>
    <w:tmpl w:val="AA9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BC622C"/>
    <w:multiLevelType w:val="multilevel"/>
    <w:tmpl w:val="0EA0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BC22E7"/>
    <w:multiLevelType w:val="multilevel"/>
    <w:tmpl w:val="77E0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71390"/>
    <w:multiLevelType w:val="multilevel"/>
    <w:tmpl w:val="4A4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4800F5"/>
    <w:multiLevelType w:val="multilevel"/>
    <w:tmpl w:val="DE32B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5A4620"/>
    <w:multiLevelType w:val="multilevel"/>
    <w:tmpl w:val="F4BE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530807"/>
    <w:multiLevelType w:val="multilevel"/>
    <w:tmpl w:val="68A0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CF2388"/>
    <w:multiLevelType w:val="multilevel"/>
    <w:tmpl w:val="81B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6C3C33"/>
    <w:multiLevelType w:val="multilevel"/>
    <w:tmpl w:val="51D8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2B277A"/>
    <w:multiLevelType w:val="multilevel"/>
    <w:tmpl w:val="38D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72C94"/>
    <w:multiLevelType w:val="multilevel"/>
    <w:tmpl w:val="BE50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8F13E3"/>
    <w:multiLevelType w:val="multilevel"/>
    <w:tmpl w:val="487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AD3132"/>
    <w:multiLevelType w:val="multilevel"/>
    <w:tmpl w:val="FBF4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7C24C7"/>
    <w:multiLevelType w:val="multilevel"/>
    <w:tmpl w:val="3CC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83ABC"/>
    <w:multiLevelType w:val="multilevel"/>
    <w:tmpl w:val="000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C94494"/>
    <w:multiLevelType w:val="multilevel"/>
    <w:tmpl w:val="6AB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A8210A"/>
    <w:multiLevelType w:val="multilevel"/>
    <w:tmpl w:val="6BF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D57970"/>
    <w:multiLevelType w:val="multilevel"/>
    <w:tmpl w:val="41F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C1329"/>
    <w:multiLevelType w:val="multilevel"/>
    <w:tmpl w:val="932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95157E"/>
    <w:multiLevelType w:val="multilevel"/>
    <w:tmpl w:val="58E8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D610FC"/>
    <w:multiLevelType w:val="multilevel"/>
    <w:tmpl w:val="771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6C6C01"/>
    <w:multiLevelType w:val="multilevel"/>
    <w:tmpl w:val="403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9C2EB4"/>
    <w:multiLevelType w:val="multilevel"/>
    <w:tmpl w:val="F4E4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4067F1"/>
    <w:multiLevelType w:val="multilevel"/>
    <w:tmpl w:val="C602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3E072E"/>
    <w:multiLevelType w:val="multilevel"/>
    <w:tmpl w:val="22F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312F65"/>
    <w:multiLevelType w:val="multilevel"/>
    <w:tmpl w:val="C50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F655C4"/>
    <w:multiLevelType w:val="multilevel"/>
    <w:tmpl w:val="EFEA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695139"/>
    <w:multiLevelType w:val="multilevel"/>
    <w:tmpl w:val="77D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95499"/>
    <w:multiLevelType w:val="multilevel"/>
    <w:tmpl w:val="8966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64575">
    <w:abstractNumId w:val="6"/>
  </w:num>
  <w:num w:numId="2" w16cid:durableId="1626618912">
    <w:abstractNumId w:val="64"/>
  </w:num>
  <w:num w:numId="3" w16cid:durableId="1917474858">
    <w:abstractNumId w:val="42"/>
  </w:num>
  <w:num w:numId="4" w16cid:durableId="7680969">
    <w:abstractNumId w:val="10"/>
  </w:num>
  <w:num w:numId="5" w16cid:durableId="791945039">
    <w:abstractNumId w:val="63"/>
  </w:num>
  <w:num w:numId="6" w16cid:durableId="1174799440">
    <w:abstractNumId w:val="39"/>
  </w:num>
  <w:num w:numId="7" w16cid:durableId="1972899383">
    <w:abstractNumId w:val="19"/>
  </w:num>
  <w:num w:numId="8" w16cid:durableId="325205871">
    <w:abstractNumId w:val="62"/>
  </w:num>
  <w:num w:numId="9" w16cid:durableId="1733192107">
    <w:abstractNumId w:val="44"/>
  </w:num>
  <w:num w:numId="10" w16cid:durableId="628127788">
    <w:abstractNumId w:val="3"/>
  </w:num>
  <w:num w:numId="11" w16cid:durableId="1521888925">
    <w:abstractNumId w:val="65"/>
  </w:num>
  <w:num w:numId="12" w16cid:durableId="984624189">
    <w:abstractNumId w:val="61"/>
  </w:num>
  <w:num w:numId="13" w16cid:durableId="85227066">
    <w:abstractNumId w:val="46"/>
  </w:num>
  <w:num w:numId="14" w16cid:durableId="864170417">
    <w:abstractNumId w:val="52"/>
  </w:num>
  <w:num w:numId="15" w16cid:durableId="650446428">
    <w:abstractNumId w:val="9"/>
  </w:num>
  <w:num w:numId="16" w16cid:durableId="275526214">
    <w:abstractNumId w:val="13"/>
  </w:num>
  <w:num w:numId="17" w16cid:durableId="131945541">
    <w:abstractNumId w:val="53"/>
  </w:num>
  <w:num w:numId="18" w16cid:durableId="1915237333">
    <w:abstractNumId w:val="12"/>
  </w:num>
  <w:num w:numId="19" w16cid:durableId="1334576416">
    <w:abstractNumId w:val="30"/>
  </w:num>
  <w:num w:numId="20" w16cid:durableId="948314348">
    <w:abstractNumId w:val="33"/>
  </w:num>
  <w:num w:numId="21" w16cid:durableId="853036984">
    <w:abstractNumId w:val="22"/>
  </w:num>
  <w:num w:numId="22" w16cid:durableId="1345328588">
    <w:abstractNumId w:val="8"/>
  </w:num>
  <w:num w:numId="23" w16cid:durableId="2045523196">
    <w:abstractNumId w:val="51"/>
  </w:num>
  <w:num w:numId="24" w16cid:durableId="1072431643">
    <w:abstractNumId w:val="24"/>
  </w:num>
  <w:num w:numId="25" w16cid:durableId="1377463616">
    <w:abstractNumId w:val="59"/>
  </w:num>
  <w:num w:numId="26" w16cid:durableId="1954512258">
    <w:abstractNumId w:val="1"/>
  </w:num>
  <w:num w:numId="27" w16cid:durableId="1809088052">
    <w:abstractNumId w:val="18"/>
  </w:num>
  <w:num w:numId="28" w16cid:durableId="384064888">
    <w:abstractNumId w:val="54"/>
  </w:num>
  <w:num w:numId="29" w16cid:durableId="447433319">
    <w:abstractNumId w:val="0"/>
  </w:num>
  <w:num w:numId="30" w16cid:durableId="130750562">
    <w:abstractNumId w:val="5"/>
  </w:num>
  <w:num w:numId="31" w16cid:durableId="1176502437">
    <w:abstractNumId w:val="14"/>
  </w:num>
  <w:num w:numId="32" w16cid:durableId="850609991">
    <w:abstractNumId w:val="67"/>
  </w:num>
  <w:num w:numId="33" w16cid:durableId="959073213">
    <w:abstractNumId w:val="55"/>
  </w:num>
  <w:num w:numId="34" w16cid:durableId="1906183109">
    <w:abstractNumId w:val="48"/>
  </w:num>
  <w:num w:numId="35" w16cid:durableId="80104066">
    <w:abstractNumId w:val="35"/>
  </w:num>
  <w:num w:numId="36" w16cid:durableId="279264193">
    <w:abstractNumId w:val="7"/>
  </w:num>
  <w:num w:numId="37" w16cid:durableId="1228540408">
    <w:abstractNumId w:val="4"/>
  </w:num>
  <w:num w:numId="38" w16cid:durableId="375088309">
    <w:abstractNumId w:val="11"/>
  </w:num>
  <w:num w:numId="39" w16cid:durableId="1240024867">
    <w:abstractNumId w:val="31"/>
  </w:num>
  <w:num w:numId="40" w16cid:durableId="1475487010">
    <w:abstractNumId w:val="29"/>
  </w:num>
  <w:num w:numId="41" w16cid:durableId="2030791282">
    <w:abstractNumId w:val="36"/>
  </w:num>
  <w:num w:numId="42" w16cid:durableId="1593901944">
    <w:abstractNumId w:val="50"/>
  </w:num>
  <w:num w:numId="43" w16cid:durableId="966005746">
    <w:abstractNumId w:val="25"/>
  </w:num>
  <w:num w:numId="44" w16cid:durableId="1783570405">
    <w:abstractNumId w:val="47"/>
  </w:num>
  <w:num w:numId="45" w16cid:durableId="782458344">
    <w:abstractNumId w:val="40"/>
  </w:num>
  <w:num w:numId="46" w16cid:durableId="729306702">
    <w:abstractNumId w:val="56"/>
  </w:num>
  <w:num w:numId="47" w16cid:durableId="1705128644">
    <w:abstractNumId w:val="26"/>
  </w:num>
  <w:num w:numId="48" w16cid:durableId="717095854">
    <w:abstractNumId w:val="23"/>
  </w:num>
  <w:num w:numId="49" w16cid:durableId="1051883848">
    <w:abstractNumId w:val="58"/>
  </w:num>
  <w:num w:numId="50" w16cid:durableId="1007708412">
    <w:abstractNumId w:val="15"/>
  </w:num>
  <w:num w:numId="51" w16cid:durableId="1107847538">
    <w:abstractNumId w:val="60"/>
  </w:num>
  <w:num w:numId="52" w16cid:durableId="1634367969">
    <w:abstractNumId w:val="66"/>
  </w:num>
  <w:num w:numId="53" w16cid:durableId="515072787">
    <w:abstractNumId w:val="32"/>
  </w:num>
  <w:num w:numId="54" w16cid:durableId="583691010">
    <w:abstractNumId w:val="2"/>
  </w:num>
  <w:num w:numId="55" w16cid:durableId="1513564807">
    <w:abstractNumId w:val="68"/>
  </w:num>
  <w:num w:numId="56" w16cid:durableId="177550548">
    <w:abstractNumId w:val="21"/>
  </w:num>
  <w:num w:numId="57" w16cid:durableId="1412511081">
    <w:abstractNumId w:val="49"/>
  </w:num>
  <w:num w:numId="58" w16cid:durableId="62991150">
    <w:abstractNumId w:val="34"/>
  </w:num>
  <w:num w:numId="59" w16cid:durableId="1126701369">
    <w:abstractNumId w:val="37"/>
  </w:num>
  <w:num w:numId="60" w16cid:durableId="2094623983">
    <w:abstractNumId w:val="43"/>
  </w:num>
  <w:num w:numId="61" w16cid:durableId="1504394505">
    <w:abstractNumId w:val="45"/>
  </w:num>
  <w:num w:numId="62" w16cid:durableId="1975138812">
    <w:abstractNumId w:val="28"/>
  </w:num>
  <w:num w:numId="63" w16cid:durableId="356395355">
    <w:abstractNumId w:val="20"/>
  </w:num>
  <w:num w:numId="64" w16cid:durableId="463616975">
    <w:abstractNumId w:val="27"/>
  </w:num>
  <w:num w:numId="65" w16cid:durableId="987519877">
    <w:abstractNumId w:val="17"/>
  </w:num>
  <w:num w:numId="66" w16cid:durableId="1568690787">
    <w:abstractNumId w:val="38"/>
  </w:num>
  <w:num w:numId="67" w16cid:durableId="836074488">
    <w:abstractNumId w:val="57"/>
  </w:num>
  <w:num w:numId="68" w16cid:durableId="1249970234">
    <w:abstractNumId w:val="16"/>
  </w:num>
  <w:num w:numId="69" w16cid:durableId="58283983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2FD"/>
    <w:rsid w:val="000512F5"/>
    <w:rsid w:val="000572FD"/>
    <w:rsid w:val="00176D61"/>
    <w:rsid w:val="003722DC"/>
    <w:rsid w:val="004542ED"/>
    <w:rsid w:val="00495096"/>
    <w:rsid w:val="005B4A3D"/>
    <w:rsid w:val="0061212A"/>
    <w:rsid w:val="006C04AD"/>
    <w:rsid w:val="006C09E9"/>
    <w:rsid w:val="006E0D84"/>
    <w:rsid w:val="009567F3"/>
    <w:rsid w:val="009A142D"/>
    <w:rsid w:val="00A043B2"/>
    <w:rsid w:val="00C20D03"/>
    <w:rsid w:val="00D42889"/>
    <w:rsid w:val="00DF19C1"/>
    <w:rsid w:val="00E91089"/>
    <w:rsid w:val="00E95131"/>
    <w:rsid w:val="00F0193D"/>
    <w:rsid w:val="00FE0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7F9A1"/>
  <w15:chartTrackingRefBased/>
  <w15:docId w15:val="{2F239F9D-197D-4F02-BAB8-820D8DBD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2FD"/>
    <w:rPr>
      <w:rFonts w:eastAsiaTheme="majorEastAsia" w:cstheme="majorBidi"/>
      <w:color w:val="272727" w:themeColor="text1" w:themeTint="D8"/>
    </w:rPr>
  </w:style>
  <w:style w:type="paragraph" w:styleId="Title">
    <w:name w:val="Title"/>
    <w:basedOn w:val="Normal"/>
    <w:next w:val="Normal"/>
    <w:link w:val="TitleChar"/>
    <w:uiPriority w:val="10"/>
    <w:qFormat/>
    <w:rsid w:val="00057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2FD"/>
    <w:pPr>
      <w:spacing w:before="160"/>
      <w:jc w:val="center"/>
    </w:pPr>
    <w:rPr>
      <w:i/>
      <w:iCs/>
      <w:color w:val="404040" w:themeColor="text1" w:themeTint="BF"/>
    </w:rPr>
  </w:style>
  <w:style w:type="character" w:customStyle="1" w:styleId="QuoteChar">
    <w:name w:val="Quote Char"/>
    <w:basedOn w:val="DefaultParagraphFont"/>
    <w:link w:val="Quote"/>
    <w:uiPriority w:val="29"/>
    <w:rsid w:val="000572FD"/>
    <w:rPr>
      <w:i/>
      <w:iCs/>
      <w:color w:val="404040" w:themeColor="text1" w:themeTint="BF"/>
    </w:rPr>
  </w:style>
  <w:style w:type="paragraph" w:styleId="ListParagraph">
    <w:name w:val="List Paragraph"/>
    <w:basedOn w:val="Normal"/>
    <w:uiPriority w:val="34"/>
    <w:qFormat/>
    <w:rsid w:val="000572FD"/>
    <w:pPr>
      <w:ind w:left="720"/>
      <w:contextualSpacing/>
    </w:pPr>
  </w:style>
  <w:style w:type="character" w:styleId="IntenseEmphasis">
    <w:name w:val="Intense Emphasis"/>
    <w:basedOn w:val="DefaultParagraphFont"/>
    <w:uiPriority w:val="21"/>
    <w:qFormat/>
    <w:rsid w:val="000572FD"/>
    <w:rPr>
      <w:i/>
      <w:iCs/>
      <w:color w:val="0F4761" w:themeColor="accent1" w:themeShade="BF"/>
    </w:rPr>
  </w:style>
  <w:style w:type="paragraph" w:styleId="IntenseQuote">
    <w:name w:val="Intense Quote"/>
    <w:basedOn w:val="Normal"/>
    <w:next w:val="Normal"/>
    <w:link w:val="IntenseQuoteChar"/>
    <w:uiPriority w:val="30"/>
    <w:qFormat/>
    <w:rsid w:val="00057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2FD"/>
    <w:rPr>
      <w:i/>
      <w:iCs/>
      <w:color w:val="0F4761" w:themeColor="accent1" w:themeShade="BF"/>
    </w:rPr>
  </w:style>
  <w:style w:type="character" w:styleId="IntenseReference">
    <w:name w:val="Intense Reference"/>
    <w:basedOn w:val="DefaultParagraphFont"/>
    <w:uiPriority w:val="32"/>
    <w:qFormat/>
    <w:rsid w:val="00057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1190</Words>
  <Characters>6788</Characters>
  <Application>Microsoft Office Word</Application>
  <DocSecurity>0</DocSecurity>
  <Lines>56</Lines>
  <Paragraphs>15</Paragraphs>
  <ScaleCrop>false</ScaleCrop>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HUSSAIN</dc:creator>
  <cp:keywords/>
  <dc:description/>
  <cp:lastModifiedBy>SYED HUSSAIN</cp:lastModifiedBy>
  <cp:revision>14</cp:revision>
  <dcterms:created xsi:type="dcterms:W3CDTF">2025-09-09T01:41:00Z</dcterms:created>
  <dcterms:modified xsi:type="dcterms:W3CDTF">2025-10-01T01:56:00Z</dcterms:modified>
</cp:coreProperties>
</file>