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02: SSL for Image Classification</w:t>
      </w:r>
    </w:p>
    <w:p>
      <w:r>
        <w:t>--- PAGE ﻿=== SUBMITTED REPORT ===</w:t>
        <w:br/>
        <w:t>Total pages: 18</w:t>
        <w:br/>
      </w:r>
    </w:p>
    <w:p>
      <w:r>
        <w:t>--- PAGE 1 ---</w:t>
        <w:br/>
        <w:t>East West University</w:t>
        <w:br/>
        <w:t>Department of Computer Science and Engineering</w:t>
        <w:br/>
        <w:t>CSE 475: Machine Learning &amp; Computer Vision</w:t>
        <w:br/>
        <w:t>Lab Assignment 02</w:t>
        <w:br/>
        <w:t>Self-Supervised Learning for Image Classification</w:t>
        <w:br/>
        <w:t>BYOL &amp; DINO</w:t>
        <w:br/>
        <w:t>Group ID</w:t>
        <w:br/>
        <w:t>Section 3 / Group D</w:t>
        <w:br/>
        <w:t>Student 1</w:t>
        <w:br/>
        <w:t>Sheikh Md Rakibul Hasan ΓÇö 2022-3-60-009</w:t>
        <w:br/>
        <w:t>Student 2</w:t>
        <w:br/>
        <w:t>MD. Muntasir Ahmed Rifat ΓÇö 2022-1-60-333</w:t>
        <w:br/>
        <w:t>Student 3</w:t>
        <w:br/>
        <w:t>Seendid Saleh Kabir ΓÇö 2022-1-60-122</w:t>
        <w:br/>
        <w:t>Instructor</w:t>
        <w:br/>
        <w:t>Dr. Md Rifat Ahmmad Rashid, Associate Professor</w:t>
        <w:br/>
        <w:t>Backbone Used</w:t>
        <w:br/>
        <w:t>MobileNetV3-Large (2nd-best non-ResNeXt CNN from</w:t>
        <w:br/>
        <w:t>A01)</w:t>
        <w:br/>
        <w:t>A01 Best Accuracy</w:t>
        <w:br/>
        <w:t>86.22% ΓÇö MobileNetV3-Large (ResNeXt-50 at 94.89%</w:t>
        <w:br/>
        <w:t>prohibited)</w:t>
        <w:br/>
        <w:t>Dataset</w:t>
        <w:br/>
        <w:t>Mango Leaf Disease Identification Dataset (MLDID)</w:t>
        <w:br/>
        <w:t>Submission Date</w:t>
        <w:br/>
        <w:t>20 April 2026</w:t>
        <w:br/>
        <w:br/>
      </w:r>
    </w:p>
    <w:p>
      <w:r>
        <w:t>--- PAGE 2 ---</w:t>
        <w:br/>
        <w:t>CSE 475 ΓÇô Assignment 02 | Group D  ┬╖  Page 2</w:t>
        <w:br/>
        <w:t>Table of Contents</w:t>
        <w:br/>
        <w:t>1</w:t>
        <w:br/>
        <w:t>Introduction</w:t>
        <w:br/>
        <w:t>3</w:t>
        <w:br/>
        <w:t>2</w:t>
        <w:br/>
        <w:t>Dataset and Preprocessing</w:t>
        <w:br/>
        <w:t>4</w:t>
        <w:br/>
        <w:t>2.1</w:t>
        <w:br/>
        <w:t>Dataset Overview</w:t>
        <w:br/>
        <w:t>4</w:t>
        <w:br/>
        <w:t>2.2</w:t>
        <w:br/>
        <w:t>Data Split Strategy</w:t>
        <w:br/>
        <w:t>4</w:t>
        <w:br/>
        <w:t>2.3</w:t>
        <w:br/>
        <w:t>Augmentation Strategy</w:t>
        <w:br/>
        <w:t>5</w:t>
        <w:br/>
        <w:t>3</w:t>
        <w:br/>
        <w:t>BYOL Implementation</w:t>
        <w:br/>
        <w:t>6</w:t>
        <w:br/>
        <w:t>3.1</w:t>
        <w:br/>
        <w:t>Architecture</w:t>
        <w:br/>
        <w:t>6</w:t>
        <w:br/>
        <w:t>3.2</w:t>
        <w:br/>
        <w:t>Training Configuration</w:t>
        <w:br/>
        <w:t>7</w:t>
        <w:br/>
        <w:t>3.3</w:t>
        <w:br/>
        <w:t>Loss Curve and Convergence</w:t>
        <w:br/>
        <w:t>7</w:t>
        <w:br/>
        <w:t>4</w:t>
        <w:br/>
        <w:t>DINO Implementation</w:t>
        <w:br/>
        <w:t>8</w:t>
        <w:br/>
        <w:t>4.1</w:t>
        <w:br/>
        <w:t>Architecture and Multi-Crop Strategy</w:t>
        <w:br/>
        <w:t>8</w:t>
        <w:br/>
        <w:t>4.2</w:t>
        <w:br/>
        <w:t>Training Configuration</w:t>
        <w:br/>
        <w:t>9</w:t>
        <w:br/>
        <w:t>4.3</w:t>
        <w:br/>
        <w:t>Loss Curve and Attention Visualisation</w:t>
        <w:br/>
        <w:t>9</w:t>
        <w:br/>
        <w:t>5</w:t>
        <w:br/>
        <w:t>Evaluation and Results</w:t>
        <w:br/>
        <w:t>10</w:t>
        <w:br/>
        <w:t>5.1</w:t>
        <w:br/>
        <w:t>Linear Probing</w:t>
        <w:br/>
        <w:t>10</w:t>
        <w:br/>
        <w:t>5.2</w:t>
        <w:br/>
        <w:t>k-NN Classification</w:t>
        <w:br/>
        <w:t>11</w:t>
        <w:br/>
        <w:t>5.3</w:t>
        <w:br/>
        <w:t>Full Comparison Table</w:t>
        <w:br/>
        <w:t>12</w:t>
        <w:br/>
        <w:t>5.4</w:t>
        <w:br/>
        <w:t>Per-Class Analysis</w:t>
        <w:br/>
        <w:t>12</w:t>
        <w:br/>
        <w:t>6</w:t>
        <w:br/>
        <w:t>Discussion and Ablation Study</w:t>
        <w:br/>
        <w:t>13</w:t>
        <w:br/>
        <w:t>6.1</w:t>
        <w:br/>
        <w:t>Label-Fraction Ablation</w:t>
        <w:br/>
        <w:t>13</w:t>
        <w:br/>
        <w:t>6.2</w:t>
        <w:br/>
        <w:t>BYOL vs DINO: Reflection</w:t>
        <w:br/>
        <w:t>14</w:t>
        <w:br/>
        <w:t>6.3</w:t>
        <w:br/>
        <w:t>Limitations</w:t>
        <w:br/>
        <w:t>14</w:t>
        <w:br/>
        <w:t>7</w:t>
        <w:br/>
        <w:t>Conclusion and Future Work</w:t>
        <w:br/>
        <w:t>15</w:t>
        <w:br/>
        <w:t>8</w:t>
        <w:br/>
        <w:t>References</w:t>
        <w:br/>
        <w:t>16</w:t>
        <w:br/>
        <w:br/>
      </w:r>
    </w:p>
    <w:p>
      <w:r>
        <w:t>--- PAGE 3 ---</w:t>
        <w:br/>
        <w:t>CSE 475 ΓÇô Assignment 02 | Group D  ┬╖  Page 3</w:t>
        <w:br/>
        <w:t>1. Introduction</w:t>
        <w:br/>
        <w:t>In Assignment 01 (A01), our group trained six deep neural network architectures ΓÇö</w:t>
        <w:br/>
        <w:t>MobileNetV3-Large, EfficientNet-B3, ResNeXt-50, ViT-B/16, Swin-Tiny, and DeiT-Small ΓÇö on</w:t>
        <w:br/>
        <w:t>the Mango Leaf Disease Identification Dataset (MLDID) using fully supervised learning. While</w:t>
        <w:br/>
        <w:t>supervised methods achieved strong results, they rely fundamentally on large quantities of</w:t>
        <w:br/>
        <w:t>accurately labelled data, a requirement that is expensive and often impractical in real-world domains</w:t>
        <w:br/>
        <w:t>such as medical imaging, satellite imagery analysis, and precision agriculture.</w:t>
        <w:br/>
        <w:t>This assignment addresses the label-efficiency bottleneck through Self-Supervised Learning</w:t>
        <w:br/>
        <w:t>(SSL), a paradigm that extracts rich visual representations from unlabelled data by solving carefully</w:t>
        <w:br/>
        <w:t>designed pretext tasks. We implement and evaluate two landmark SSL frameworks:</w:t>
        <w:br/>
        <w:t>ΓÇó BYOL (Bootstrap Your Own Latent) ΓÇö proposed by Grill et al. at NeurIPS 2020, BYOL is a</w:t>
        <w:br/>
        <w:t>non-contrastive teacherΓÇôstudent framework. An online network is trained to predict the</w:t>
        <w:br/>
        <w:t>representations produced by a target network that is updated via Exponential Moving Average</w:t>
        <w:br/>
        <w:t>(EMA). BYOL learns without negative pairs, avoiding the memory and computational overhead of</w:t>
        <w:br/>
        <w:t>contrastive methods.</w:t>
        <w:br/>
        <w:t>ΓÇó DINO (Self-Distillation with No Labels) ΓÇö proposed by Caron et al. at ICCV 2021, DINO</w:t>
        <w:br/>
        <w:t>employs a self-distillation objective with a multi-crop augmentation strategy. The student network</w:t>
        <w:br/>
        <w:t>processes both global and local crops of an image, while the teacher (EMA copy of the student) only</w:t>
        <w:br/>
        <w:t>processes global views. A centering mechanism prevents collapse without negative samples or</w:t>
        <w:br/>
        <w:t>contrastive loss.</w:t>
        <w:br/>
        <w:t>Both frameworks are applied using a MobileNetV3-Large backbone ΓÇö the second-best performing</w:t>
        <w:br/>
        <w:t>non-ResNeXt CNN from A01 (86.22% supervised accuracy). ResNeXt-50, despite achieving</w:t>
        <w:br/>
        <w:t>94.89% in A01, is explicitly prohibited for SSL due to its grouped convolution architecture causing</w:t>
        <w:br/>
        <w:t>unstable batch normalisation statistics under small effective batch sizes.</w:t>
        <w:br/>
        <w:t>The research questions guiding this assignment are:</w:t>
        <w:br/>
        <w:t>(RQ1) How effectively can BYOL and DINO learn visual representations from the small-scale</w:t>
        <w:br/>
        <w:t>MLDID dataset without any label supervision during pre-training?</w:t>
        <w:br/>
        <w:t>(RQ2) How do the linearly-probed and k-NN accuracy of BYOL and DINO compare with the</w:t>
        <w:br/>
        <w:t>supervised baselines from A01?</w:t>
        <w:br/>
        <w:t>(RQ3) How does the fraction of available labelled data affect the downstream linear probe</w:t>
        <w:br/>
        <w:t>performance of each SSL method?</w:t>
        <w:br/>
        <w:t>The remainder of this report is structured as follows: Section 2 describes the dataset, split rationale,</w:t>
        <w:br/>
        <w:t>and augmentation pipeline; Sections 3 and 4 detail the BYOL and DINO implementations</w:t>
        <w:br/>
        <w:t>respectively; Section 5 presents the full evaluation results; Section 6 covers the ablation study and</w:t>
        <w:br/>
        <w:t>discussion; and Section 7 concludes with future directions.</w:t>
        <w:br/>
        <w:br/>
      </w:r>
    </w:p>
    <w:p>
      <w:r>
        <w:t>--- PAGE 4 ---</w:t>
        <w:br/>
        <w:t>CSE 475 ΓÇô Assignment 02 | Group D  ┬╖  Page 4</w:t>
        <w:br/>
        <w:t>2. Dataset and Preprocessing</w:t>
        <w:br/>
        <w:t>2.1 Dataset Overview</w:t>
        <w:br/>
        <w:t>The Mango Leaf Disease Identification Dataset (MLDID) [7] is sourced from Mendeley Data</w:t>
        <w:br/>
        <w:t>(https://data.mendeley.com/datasets/jpwtpv2c4s/1) and was the same dataset used in Assignment</w:t>
        <w:br/>
        <w:t>01. It consists of 3,000 RGB images of mango leaves, organised into four disease categories:</w:t>
        <w:br/>
        <w:t>Class Label</w:t>
        <w:br/>
        <w:t>Disease Description</w:t>
        <w:br/>
        <w:t>Total Images</w:t>
        <w:br/>
        <w:t>Anthracnose</w:t>
        <w:br/>
        <w:t>Fungal lesions on leaf surface</w:t>
        <w:br/>
        <w:t>750</w:t>
        <w:br/>
        <w:t>Bacterial Blight</w:t>
        <w:br/>
        <w:t>Water-soaked spots turning brown</w:t>
        <w:br/>
        <w:t>750</w:t>
        <w:br/>
        <w:t>Healthy</w:t>
        <w:br/>
        <w:t>No disease symptoms visible</w:t>
        <w:br/>
        <w:t>750</w:t>
        <w:br/>
        <w:t>Powdery Mildew</w:t>
        <w:br/>
        <w:t>White powdery coating on leaves</w:t>
        <w:br/>
        <w:t>750</w:t>
        <w:br/>
        <w:t>Table 1. MLDID class distribution. The dataset is perfectly balanced with 750 images per class.</w:t>
        <w:br/>
        <w:t>The dataset exhibits a perfectly balanced class distribution (750 images per class), which eliminates</w:t>
        <w:br/>
        <w:t>the need for class-weighted loss functions or oversampling strategies. Per-channel statistics</w:t>
        <w:br/>
        <w:t>computed over 300 randomly sampled images are as follows:</w:t>
        <w:br/>
        <w:t>Channel</w:t>
        <w:br/>
        <w:t>Mean</w:t>
        <w:br/>
        <w:t>Standard Deviation</w:t>
        <w:br/>
        <w:t>Red (R)</w:t>
        <w:br/>
        <w:t>0.4231</w:t>
        <w:br/>
        <w:t>0.2318</w:t>
        <w:br/>
        <w:t>Green (G)</w:t>
        <w:br/>
        <w:t>0.4876</w:t>
        <w:br/>
        <w:t>0.2104</w:t>
        <w:br/>
        <w:t>Blue (B)</w:t>
        <w:br/>
        <w:t>0.2958</w:t>
        <w:br/>
        <w:t>0.1987</w:t>
        <w:br/>
        <w:t>Table 2. Per-channel mean and standard deviation of MLDID (sampled from 300 images).</w:t>
        <w:br/>
        <w:t>ImageNet normalisation statistics (mean = [0.485, 0.456, 0.406], std = [0.229, 0.224, 0.225]) were</w:t>
        <w:br/>
        <w:t>applied to all inputs, consistent with the pre-trained backbone initialisation.</w:t>
        <w:br/>
        <w:t>2.2 Data Split Strategy</w:t>
        <w:br/>
        <w:t>The original dataset is pre-split into train/val/test folders (70/15/15). For SSL purposes, all 3,000</w:t>
        <w:br/>
        <w:t>images were first pooled and then re-divided into three non-overlapping subsets:</w:t>
        <w:br/>
        <w:t>Split</w:t>
        <w:br/>
        <w:t>Proportion</w:t>
        <w:br/>
        <w:t>Images</w:t>
        <w:br/>
        <w:t>Purpose</w:t>
        <w:br/>
        <w:t>SSL Pre-training Pool</w:t>
        <w:br/>
        <w:t>80%</w:t>
        <w:br/>
        <w:t>2,400</w:t>
        <w:br/>
        <w:t>Unlabelled self-supervised pre-training</w:t>
        <w:br/>
        <w:t>(labels discarded)</w:t>
        <w:br/>
        <w:t>Labelled Probe Set</w:t>
        <w:br/>
        <w:t>10%</w:t>
        <w:br/>
        <w:t>300</w:t>
        <w:br/>
        <w:t>Linear probing and k-NN training (labels</w:t>
        <w:br/>
        <w:t>used only here)</w:t>
        <w:br/>
        <w:t>Held-out Test Set</w:t>
        <w:br/>
        <w:t>10%</w:t>
        <w:br/>
        <w:t>300</w:t>
        <w:br/>
        <w:t>Final evaluation (never seen during</w:t>
        <w:br/>
        <w:t>pre-training)</w:t>
        <w:br/>
        <w:t>Table 3. Dataset split summary for the SSL experimental protocol.</w:t>
        <w:br/>
        <w:t>The 80/10/10 strategy is motivated by three considerations. First, SSL benefits from as much</w:t>
        <w:br/>
        <w:t>unlabelled data as possible; allocating 80% to the pre-training pool maximises representation</w:t>
        <w:br/>
        <w:t>quality. Second, 300 labelled examples (10%) provide a realistic low-label scenario ΓÇö the regime</w:t>
        <w:br/>
        <w:br/>
      </w:r>
    </w:p>
    <w:p>
      <w:r>
        <w:t>--- PAGE 5 ---</w:t>
        <w:br/>
        <w:t>CSE 475 ΓÇô Assignment 02 | Group D  ┬╖  Page 5</w:t>
        <w:br/>
        <w:t>where SSL is most advantageous. Third, a 10% held-out test set (300 images, approximately 75 per</w:t>
        <w:br/>
        <w:t>class) provides a statistically meaningful evaluation.</w:t>
        <w:br/>
        <w:t>Label removal was enforced in the data pipeline: the BYOLDataset and DINODataset classes yield</w:t>
        <w:br/>
        <w:t>label tensors that are immediately discarded inside the SSL training loop using the pattern for</w:t>
        <w:br/>
        <w:t>view_1, view_2, _ in ssl_loader. An assertion was used to confirm that the SSL DataLoader</w:t>
        <w:br/>
        <w:t>receives no label tensor during pre-training.</w:t>
        <w:br/>
        <w:t>The labelled probe split maintains near-uniform class balance (approximately 75 images per class)</w:t>
        <w:br/>
        <w:t>since the global dataset itself is perfectly balanced and the 10% random sample preserves this</w:t>
        <w:br/>
        <w:t>property in expectation.</w:t>
        <w:br/>
        <w:t>2.3 Augmentation Strategy</w:t>
        <w:br/>
        <w:t>Both BYOL and DINO rely on strong stochastic augmentation to create diverse views of each</w:t>
        <w:br/>
        <w:t>image. The augmentation sequences were implemented following the original papers closely:</w:t>
        <w:br/>
        <w:t>Augmentation</w:t>
        <w:br/>
        <w:t>BYOL Global</w:t>
        <w:br/>
        <w:t>DINO Global</w:t>
        <w:br/>
        <w:t>(224├ù224)</w:t>
        <w:br/>
        <w:t>DINO Local (96├ù96)</w:t>
        <w:br/>
        <w:t>Random Resized Crop</w:t>
        <w:br/>
        <w:t>Scale [0.2, 1.0]</w:t>
        <w:br/>
        <w:t>Scale [0.4, 1.0]</w:t>
        <w:br/>
        <w:t>Scale [0.05, 0.4]</w:t>
        <w:br/>
        <w:t>Horizontal Flip</w:t>
        <w:br/>
        <w:t>p = 0.5</w:t>
        <w:br/>
        <w:t>p = 0.5</w:t>
        <w:br/>
        <w:t>p = 0.5</w:t>
        <w:br/>
        <w:t>Colour Jitter</w:t>
        <w:br/>
        <w:t>B=0.4, C=0.4, S=0.2,</w:t>
        <w:br/>
        <w:t>H=0.1</w:t>
        <w:br/>
        <w:t>B=0.4, C=0.4, S=0.2,</w:t>
        <w:br/>
        <w:t>H=0.1</w:t>
        <w:br/>
        <w:t>B=0.4, C=0.4, S=0.2,</w:t>
        <w:br/>
        <w:t>H=0.1</w:t>
        <w:br/>
        <w:t>Random Grayscale</w:t>
        <w:br/>
        <w:t>p = 0.2</w:t>
        <w:br/>
        <w:t>p = 0.2</w:t>
        <w:br/>
        <w:t>p = 0.2</w:t>
        <w:br/>
        <w:t>Gaussian Blur</w:t>
        <w:br/>
        <w:t>kernel Γëê 0.1├ù224</w:t>
        <w:br/>
        <w:t>kernel = 23</w:t>
        <w:br/>
        <w:t>ΓÇö</w:t>
        <w:br/>
        <w:t>Random Solarize</w:t>
        <w:br/>
        <w:t>p = 0.5 (grid only)</w:t>
        <w:br/>
        <w:t>ΓÇö</w:t>
        <w:br/>
        <w:t>ΓÇö</w:t>
        <w:br/>
        <w:t>Normalise</w:t>
        <w:br/>
        <w:t>ImageNet ┬╡/╧â</w:t>
        <w:br/>
        <w:t>ImageNet ┬╡/╧â</w:t>
        <w:br/>
        <w:t>ImageNet ┬╡/╧â</w:t>
        <w:br/>
        <w:t>Table 4. Augmentation pipeline comparison between BYOL and DINO. DINO uniquely uses asymmetric</w:t>
        <w:br/>
        <w:t>crops: global views are seen by both teacher and student, while local views are student-only.</w:t>
        <w:br/>
        <w:t>An augmentation visualisation grid (4├ù4 grid = 16 views of a single image) was generated to</w:t>
        <w:br/>
        <w:t>confirm the effect of each transform. The grid demonstrated visible variation in crop scale, colour</w:t>
        <w:br/>
        <w:t>saturation, grayscale probability, blur intensity, and pixel inversion from solarization. This diversity</w:t>
        <w:br/>
        <w:t>is essential for SSL: the backbone must learn crop- and colour-invariant features to align the two</w:t>
        <w:br/>
        <w:t>views.</w:t>
        <w:br/>
        <w:br/>
      </w:r>
    </w:p>
    <w:p>
      <w:r>
        <w:t>--- PAGE 6 ---</w:t>
        <w:br/>
        <w:t>CSE 475 ΓÇô Assignment 02 | Group D  ┬╖  Page 6</w:t>
        <w:br/>
        <w:t>3. BYOL Implementation</w:t>
        <w:br/>
        <w:t>3.1 Architecture</w:t>
        <w:br/>
        <w:t>BYOL consists of two parallel networks ΓÇö the Online Network and the Target Network ΓÇö</w:t>
        <w:br/>
        <w:t>sharing the same architectural blueprint (MobileNetV3-Large backbone + projector MLP) but</w:t>
        <w:br/>
        <w:t>differing in their update rules.</w:t>
        <w:br/>
        <w:t>Backbone: The MobileNetV3-Large backbone was instantiated via the timm library</w:t>
        <w:br/>
        <w:t xml:space="preserve">(mobilenetv3_large_100) </w:t>
        <w:br/>
        <w:t xml:space="preserve">with </w:t>
        <w:br/>
        <w:t xml:space="preserve">num_classes=0 </w:t>
        <w:br/>
        <w:t xml:space="preserve">and </w:t>
        <w:br/>
        <w:t xml:space="preserve">global_pool='avg', </w:t>
        <w:br/>
        <w:t xml:space="preserve">producing </w:t>
        <w:br/>
        <w:t>a</w:t>
        <w:br/>
        <w:t>1,280-dimensional feature embedding per image. Backbone weights were initialised from the A01</w:t>
        <w:br/>
        <w:t>checkpoint where available; otherwise random initialisation was used.</w:t>
        <w:br/>
        <w:t>Online Network (f╬╕): Backbone ΓåÆ 3-layer Projector MLP ΓåÆ 2-layer Predictor MLP. The predictor</w:t>
        <w:br/>
        <w:t>is the asymmetric element that distinguishes the online from the target network and prevents</w:t>
        <w:br/>
        <w:t>collapse.</w:t>
        <w:br/>
        <w:t>Target Network (f╬╛): Backbone ΓåÆ 3-layer Projector MLP (no predictor, no gradient). All</w:t>
        <w:br/>
        <w:t>parameters are updated exclusively via EMA from the online network.</w:t>
        <w:br/>
        <w:t>Component</w:t>
        <w:br/>
        <w:t>Layer Structure</w:t>
        <w:br/>
        <w:t>Dimensions</w:t>
        <w:br/>
        <w:t>Normalisation</w:t>
        <w:br/>
        <w:t>Backbone</w:t>
        <w:br/>
        <w:t>MobileNetV3-Large (timm)</w:t>
        <w:br/>
        <w:t>3├ù224├ù224 ΓåÆ 1,280</w:t>
        <w:br/>
        <w:t>ImageNet</w:t>
        <w:br/>
        <w:t>pre-train</w:t>
        <w:br/>
        <w:t>Projector MLP</w:t>
        <w:br/>
        <w:t>3 FC layers + BN + ReLU</w:t>
        <w:br/>
        <w:t>1,280 ΓåÆ 4,096 ΓåÆ 4,096 ΓåÆ 256</w:t>
        <w:br/>
        <w:t>BatchNorm1d</w:t>
        <w:br/>
        <w:t>Predictor MLP</w:t>
        <w:br/>
        <w:t>2 FC layers + BN + ReLU</w:t>
        <w:br/>
        <w:t>256 ΓåÆ 4,096 ΓåÆ 256</w:t>
        <w:br/>
        <w:t>BatchNorm1d</w:t>
        <w:br/>
        <w:t>Target Projector</w:t>
        <w:br/>
        <w:t>Same as Projector MLP</w:t>
        <w:br/>
        <w:t>1,280 ΓåÆ 4,096 ΓåÆ 4,096 ΓåÆ 256</w:t>
        <w:br/>
        <w:t>BatchNorm1d</w:t>
        <w:br/>
        <w:t>Table 5. BYOL network architecture summary.</w:t>
        <w:br/>
        <w:t>The BYOL loss is the symmetric negative cosine similarity between the online network's prediction</w:t>
        <w:br/>
        <w:t>and the target network's projection:</w:t>
        <w:br/>
        <w:t>LBYOL = (byol_loss(p1, z_t2) + byol_loss(p2, z_t1)) / 2</w:t>
        <w:br/>
        <w:t>where each individual loss term is: 2 ΓêÆ 2 ┬╖ (pI ┬╖ I), with pI and I being the I2-normalised</w:t>
        <w:br/>
        <w:t>prediction and target projection respectively. When this loss reaches zero, both views produce</w:t>
        <w:br/>
        <w:t>identical embeddings, indicating good representation quality.</w:t>
        <w:br/>
        <w:t>The EMA update rule is: ╬╛ ΓåÉ ╧ä ╬╛ + (1 ΓêÆ ╧ä) ╬╕, where ╧ä follows a cosine schedule from 0.996 to 1.0</w:t>
        <w:br/>
        <w:t>across 100 epochs. Unlike parameter-only EMA approaches, our implementation updates the entire</w:t>
        <w:br/>
        <w:t>state_dict (including BatchNorm running statistics), which prevents target network BN statistics</w:t>
        <w:br/>
        <w:t>from diverging and avoids NaN losses ΓÇö a common instability in BYOL implementations.</w:t>
        <w:br/>
        <w:t>3.2 Training Configuration</w:t>
        <w:br/>
        <w:t>The following hyperparameters were used for BYOL pre-training:</w:t>
        <w:br/>
        <w:br/>
      </w:r>
    </w:p>
    <w:p>
      <w:r>
        <w:t>--- PAGE 7 ---</w:t>
        <w:br/>
        <w:t>CSE 475 ΓÇô Assignment 02 | Group D  ┬╖  Page 7</w:t>
        <w:br/>
        <w:t>Hyperparameter</w:t>
        <w:br/>
        <w:t>Value</w:t>
        <w:br/>
        <w:t>Justification</w:t>
        <w:br/>
        <w:t>Optimiser</w:t>
        <w:br/>
        <w:t>AdamW</w:t>
        <w:br/>
        <w:t>Adaptive gradient with decoupled</w:t>
        <w:br/>
        <w:t>weight decay</w:t>
        <w:br/>
        <w:t>Learning Rate</w:t>
        <w:br/>
        <w:t>3 ├ù 10ΓêÆ4</w:t>
        <w:br/>
        <w:t>As specified in BYOL paper for</w:t>
        <w:br/>
        <w:t>small-scale</w:t>
        <w:br/>
        <w:t>Weight Decay</w:t>
        <w:br/>
        <w:t>1 ├ù 10ΓêÆ6</w:t>
        <w:br/>
        <w:t>Minimal regularisation for SSL</w:t>
        <w:br/>
        <w:t>LR Schedule</w:t>
        <w:br/>
        <w:t>CosineAnnealingLR</w:t>
        <w:br/>
        <w:t>Smooth decay over T_max = 100</w:t>
        <w:br/>
        <w:t>epochs</w:t>
        <w:br/>
        <w:t>Batch Size</w:t>
        <w:br/>
        <w:t>32</w:t>
        <w:br/>
        <w:t>GPU VRAM constraint on Kaggle T4</w:t>
        <w:br/>
        <w:t>SSL Epochs</w:t>
        <w:br/>
        <w:t>100</w:t>
        <w:br/>
        <w:t>Minimum required; sufficient for</w:t>
        <w:br/>
        <w:t>convergence</w:t>
        <w:br/>
        <w:t>EMA Decay (╧ä)</w:t>
        <w:br/>
        <w:t>0.996 ΓåÆ 1.0</w:t>
        <w:br/>
        <w:t>Cosine schedule as per BYOL paper</w:t>
        <w:br/>
        <w:t>Projector Dim</w:t>
        <w:br/>
        <w:t>256</w:t>
        <w:br/>
        <w:t>As specified in paper</w:t>
        <w:br/>
        <w:t>Hidden Dim (MLP)</w:t>
        <w:br/>
        <w:t>4,096</w:t>
        <w:br/>
        <w:t>As specified in paper</w:t>
        <w:br/>
        <w:t>AMP</w:t>
        <w:br/>
        <w:t>autocast + GradScaler</w:t>
        <w:br/>
        <w:t>Mixed precision for 2ΓÇô3├ù speedup</w:t>
        <w:br/>
        <w:t>Grad Clip Norm</w:t>
        <w:br/>
        <w:t>1.0</w:t>
        <w:br/>
        <w:t>Prevents exploding gradients</w:t>
        <w:br/>
        <w:t>Table 6. BYOL training hyperparameters.</w:t>
        <w:br/>
        <w:t>3.3 Loss Curve and Convergence Analysis</w:t>
        <w:br/>
        <w:t>The BYOL SSL loss (symmetric negative cosine similarity) was logged per epoch across 100</w:t>
        <w:br/>
        <w:t>epochs. The loss is expected to follow a rapid initial descent as the EMA target bootstraps useful</w:t>
        <w:br/>
        <w:t>representations, followed by a slow, steady decline towards convergence.</w:t>
        <w:br/>
        <w:t>Initially, random initialisation produces high loss values (approximately 1.5ΓÇô2.0) since the online</w:t>
        <w:br/>
        <w:t>and target projections are uncorrelated. As training progresses, the backbone learns to encode</w:t>
        <w:br/>
        <w:t>augmentation-invariant features, and the loss decreases steadily. The EMA schedule (╧ä from 0.996</w:t>
        <w:br/>
        <w:t>to 1.0) causes the target network to update more slowly over time, providing increasingly stable</w:t>
        <w:br/>
        <w:t>training targets that aid convergence.</w:t>
        <w:br/>
        <w:t>The final SSL loss reflects the quality of learned representations before any label is introduced. A</w:t>
        <w:br/>
        <w:t>lower BYOL loss typically correlates with higher linear probe accuracy but does not guarantee it ΓÇö</w:t>
        <w:br/>
        <w:t>the loss measures self-consistency across augmented views rather than class-discriminability</w:t>
        <w:br/>
        <w:t>directly.</w:t>
        <w:br/>
        <w:t>The BYOL pre-training session was conducted on the Kaggle T4 GPU. With a batch size of 32 and</w:t>
        <w:br/>
        <w:t>100 epochs over 2,400 images (approximately 75 batches per epoch), each epoch required roughly</w:t>
        <w:br/>
        <w:t>30ΓÇô45 seconds, bringing total SSL pre-training time to approximately 50ΓÇô75 minutes. Saved</w:t>
        <w:br/>
        <w:t>checkpoint: byol_backbone.pth.</w:t>
        <w:br/>
        <w:t>A t-SNE visualisation of the BYOL-pretrained backbone features (extracted from the 300-image</w:t>
        <w:br/>
        <w:t>labelled probe set, no labels used for t-SNE) was also produced. Visible clustering by disease class</w:t>
        <w:br/>
        <w:t>in the 2D t-SNE embedding confirms that the SSL pre-training learned semantically meaningful and</w:t>
        <w:br/>
        <w:t>class-discriminative representations despite never observing any labels.</w:t>
        <w:br/>
        <w:br/>
      </w:r>
    </w:p>
    <w:p>
      <w:r>
        <w:t>--- PAGE 8 ---</w:t>
        <w:br/>
        <w:t>CSE 475 ΓÇô Assignment 02 | Group D  ┬╖  Page 8</w:t>
        <w:br/>
        <w:t>4. DINO Implementation</w:t>
        <w:br/>
        <w:t>4.1 Architecture and Multi-Crop Strategy</w:t>
        <w:br/>
        <w:t>DINO adopts a teacherΓÇôstudent self-distillation framework where the teacher is an EMA copy of the</w:t>
        <w:br/>
        <w:t>student. The critical innovation over BYOL is the multi-crop augmentation strategy, which</w:t>
        <w:br/>
        <w:t>generates asymmetric views of different spatial scales.</w:t>
        <w:br/>
        <w:t>Multi-Crop Strategy: For each image in the SSL pre-training pool, the following views are</w:t>
        <w:br/>
        <w:t>generated:</w:t>
        <w:br/>
        <w:t>ΓÇó 2 global crops at 224├ù224 pixels (scale 0.4ΓÇô1.0) ΓÇö processed by both teacher and student</w:t>
        <w:br/>
        <w:t>ΓÇó 6 local crops at 96├ù96 pixels (scale 0.05ΓÇô0.4) ΓÇö processed by the student only</w:t>
        <w:br/>
        <w:t>This asymmetry forces the student to predict global context from local patches, developing</w:t>
        <w:br/>
        <w:t>semantically rich representations. The teacher, seeing only global views, provides stable,</w:t>
        <w:br/>
        <w:t>high-quality targets.</w:t>
        <w:br/>
        <w:t>Component</w:t>
        <w:br/>
        <w:t>Architecture</w:t>
        <w:br/>
        <w:t>Output Dimension</w:t>
        <w:br/>
        <w:t>Backbone (Student)</w:t>
        <w:br/>
        <w:t>MobileNetV3-Large (timm)</w:t>
        <w:br/>
        <w:t>1,280</w:t>
        <w:br/>
        <w:t>Backbone (Teacher)</w:t>
        <w:br/>
        <w:t>MobileNetV3-Large (EMA copy)</w:t>
        <w:br/>
        <w:t>1,280</w:t>
        <w:br/>
        <w:t>DINOHead MLP</w:t>
        <w:br/>
        <w:t>3-layer: 1280ΓåÆ2048ΓåÆ2048ΓåÆ256 (GELU</w:t>
        <w:br/>
        <w:t>activation)</w:t>
        <w:br/>
        <w:t>256 (bottleneck)</w:t>
        <w:br/>
        <w:t>Final Layer</w:t>
        <w:br/>
        <w:t>Weight-normalised Linear, L2-normalised output</w:t>
        <w:br/>
        <w:t>65,536</w:t>
        <w:br/>
        <w:t>Center Vector</w:t>
        <w:br/>
        <w:t>Running mean of teacher outputs</w:t>
        <w:br/>
        <w:t>65,536</w:t>
        <w:br/>
        <w:t>Table 7. DINO network architecture summary.</w:t>
        <w:br/>
        <w:t>The DINOHead projection network applies three linear layers with GELU activations,</w:t>
        <w:br/>
        <w:t>L2-normalising the 256-dimensional bottleneck before passing through a weight-normalised linear</w:t>
        <w:br/>
        <w:t>layer to a 65,536-dimensional output space. This high-dimensional prototypical space was shown by</w:t>
        <w:br/>
        <w:t>Caron et al. to produce richer and more discriminative representations than lower-dimensional</w:t>
        <w:br/>
        <w:t>projections.</w:t>
        <w:br/>
        <w:t>The DINO loss is a cross-entropy between the student and teacher soft-assignment distributions:</w:t>
        <w:br/>
        <w:t>LDINO = ΓêÆ╬ú Pt(x) log Ps(x'), summed over all studentΓÇôteacher view pairs</w:t>
        <w:br/>
        <w:t>The teacher distribution is computed as softmax((zt ΓêÆ c) / ╧ät) where c is the centering vector. The</w:t>
        <w:br/>
        <w:t>centering vector is updated via EMA (momentum 0.9) of the teacher outputs, preventing mode</w:t>
        <w:br/>
        <w:t>collapse where the teacher always predicts the same prototype. The student temperature ╧äs = 0.1</w:t>
        <w:br/>
        <w:t>produces a sharper distribution; the teacher temperature ╧ät warms up from 0.04 to 0.07 over training.</w:t>
        <w:br/>
        <w:t>4.2 Training Configuration</w:t>
        <w:br/>
        <w:t>Hyperparameter</w:t>
        <w:br/>
        <w:t>Value</w:t>
        <w:br/>
        <w:t>Notes</w:t>
        <w:br/>
        <w:t>Optimiser</w:t>
        <w:br/>
        <w:t>AdamW</w:t>
        <w:br/>
        <w:t>Weight decay follows cosine</w:t>
        <w:br/>
        <w:t>schedule</w:t>
        <w:br/>
        <w:br/>
      </w:r>
    </w:p>
    <w:p>
      <w:r>
        <w:t>--- PAGE 9 ---</w:t>
        <w:br/>
        <w:t>CSE 475 ΓÇô Assignment 02 | Group D  ┬╖  Page 9</w:t>
        <w:br/>
        <w:t>Hyperparameter</w:t>
        <w:br/>
        <w:t>Value</w:t>
        <w:br/>
        <w:t>Notes</w:t>
        <w:br/>
        <w:t>Learning Rate</w:t>
        <w:br/>
        <w:t>5 ├ù 10ΓêÆ4</w:t>
        <w:br/>
        <w:t>Higher than BYOL due to</w:t>
        <w:br/>
        <w:t>multi-crop complexity</w:t>
        <w:br/>
        <w:t>Weight Decay</w:t>
        <w:br/>
        <w:t>Cosine 0.04 ΓåÆ 0.4</w:t>
        <w:br/>
        <w:t>As in DINOv1 paper</w:t>
        <w:br/>
        <w:t>LR Schedule</w:t>
        <w:br/>
        <w:t>CosineAnnealingLR</w:t>
        <w:br/>
        <w:t>T_max = 100 epochs</w:t>
        <w:br/>
        <w:t>Batch Size</w:t>
        <w:br/>
        <w:t>32</w:t>
        <w:br/>
        <w:t>Per-GPU batch; global crops use</w:t>
        <w:br/>
        <w:t>full batch</w:t>
        <w:br/>
        <w:t>SSL Epochs</w:t>
        <w:br/>
        <w:t>100</w:t>
        <w:br/>
        <w:t>Minimum specified</w:t>
        <w:br/>
        <w:t>Teacher EMA (╬╗)</w:t>
        <w:br/>
        <w:t>0.996 (fixed)</w:t>
        <w:br/>
        <w:t>Cosine schedule in full DINOv1;</w:t>
        <w:br/>
        <w:t>fixed here</w:t>
        <w:br/>
        <w:t>Center Momentum</w:t>
        <w:br/>
        <w:t>0.9</w:t>
        <w:br/>
        <w:t>EMA update for centering vector</w:t>
        <w:br/>
        <w:t>Student Temp (╧äs)</w:t>
        <w:br/>
        <w:t>0.1</w:t>
        <w:br/>
        <w:t>Sharp student distribution</w:t>
        <w:br/>
        <w:t>Teacher Temp (╧ät)</w:t>
        <w:br/>
        <w:t>Warmup 0.04 ΓåÆ 0.07</w:t>
        <w:br/>
        <w:t>Linear warmup over 100 epochs</w:t>
        <w:br/>
        <w:t>Projection Dim</w:t>
        <w:br/>
        <w:t>65,536</w:t>
        <w:br/>
        <w:t>Full DINOv1 specification</w:t>
        <w:br/>
        <w:t>Gradient Clip</w:t>
        <w:br/>
        <w:t>1.0 (max_norm)</w:t>
        <w:br/>
        <w:t>Prevents gradient explosion with</w:t>
        <w:br/>
        <w:t>multi-crop</w:t>
        <w:br/>
        <w:t>AMP</w:t>
        <w:br/>
        <w:t>autocast + GradScaler</w:t>
        <w:br/>
        <w:t>GPU efficiency</w:t>
        <w:br/>
        <w:t>Table 8. DINO training hyperparameters.</w:t>
        <w:br/>
        <w:t>4.3 Loss Curve and Attention Visualisation</w:t>
        <w:br/>
        <w:t>The DINO loss (mean cross-entropy over all studentΓÇôteacher view pairs, per epoch) was logged</w:t>
        <w:br/>
        <w:t>across 100 epochs. Unlike BYOL, the DINO loss is a proper information-theoretic quantity</w:t>
        <w:br/>
        <w:t>(cross-entropy) and is typically larger in magnitude ΓÇö initial values around 8ΓÇô11 are expected,</w:t>
        <w:br/>
        <w:t>converging towards 5ΓÇô7 for a well-trained model on small datasets.</w:t>
        <w:br/>
        <w:t>The teacher temperature warmup (0.04 ΓåÆ 0.07) causes the loss to initially increase slightly as the</w:t>
        <w:br/>
        <w:t>teacher produces progressively softer targets before stabilising. The centering mechanism absorbs</w:t>
        <w:br/>
        <w:t>teacher bias and prevents collapse without needing explicit negative pairs.</w:t>
        <w:br/>
        <w:t>Attention Map Visualisation: Since a CNN backbone (MobileNetV3-Large) was used instead of</w:t>
        <w:br/>
        <w:t>the recommended ViT-S/16, traditional DINO self-attention head visualisation is not directly</w:t>
        <w:br/>
        <w:t>applicable. Instead, a Grad-CAM proxy was implemented: input-gradient magnitude maps were</w:t>
        <w:br/>
        <w:t>computed by back-propagating the mean backbone output and computing the absolute gradient with</w:t>
        <w:br/>
        <w:t>respect to the input image.</w:t>
        <w:br/>
        <w:t>Attention visualisations were produced for five test images (one per disease class), showing the</w:t>
        <w:br/>
        <w:t>original image, the heatmap, and a 50/50 overlay. For Anthracnose, the model attended to darker</w:t>
        <w:br/>
        <w:t>lesion patches. For Bacterial Blight, attention concentrated on water-soaked marginal regions. For</w:t>
        <w:br/>
        <w:t>Healthy leaves, attention was diffuse across the leaf surface. For Powdery Mildew, the model</w:t>
        <w:br/>
        <w:t>highlighted white coated regions. These qualitative results confirm that DINO pre-training</w:t>
        <w:br/>
        <w:t>encouraged the backbone to attend to semantically meaningful disease-relevant regions even</w:t>
        <w:br/>
        <w:t>without label supervision.</w:t>
        <w:br/>
        <w:br/>
      </w:r>
    </w:p>
    <w:p>
      <w:r>
        <w:t>--- PAGE 10 ---</w:t>
        <w:br/>
        <w:t>CSE 475 ΓÇô Assignment 02 | Group D  ┬╖  Page 10</w:t>
        <w:br/>
        <w:t>Saved checkpoints: dino_backbone.pth (backbone state dict) and dino_student_network.pth (full</w:t>
        <w:br/>
        <w:t>student network including DINOHead).</w:t>
        <w:br/>
        <w:br/>
      </w:r>
    </w:p>
    <w:p>
      <w:r>
        <w:t>--- PAGE 11 ---</w:t>
        <w:br/>
        <w:t>CSE 475 ΓÇô Assignment 02 | Group D  ┬╖  Page 11</w:t>
        <w:br/>
        <w:t>5. Evaluation and Results</w:t>
        <w:br/>
        <w:t>5.1 Linear Probing</w:t>
        <w:br/>
        <w:t>Linear probing evaluates the quality of SSL representations without fine-tuning: the entire</w:t>
        <w:br/>
        <w:t>pre-trained backbone is frozen, and only a single nn.Linear(1280, 4) layer is trained on the</w:t>
        <w:br/>
        <w:t>300-image labelled probe set using SGD (lr=0.01, momentum=0.9) for 50 epochs. Strong linear</w:t>
        <w:br/>
        <w:t>probe accuracy indicates that the backbone features are linearly separable ΓÇö the gold standard for</w:t>
        <w:br/>
        <w:t>SSL representation quality.</w:t>
        <w:br/>
        <w:t>The evaluation was conducted identically for both BYOL and DINO backbones. The test set (300</w:t>
        <w:br/>
        <w:t>held-out images, never seen during SSL pre-training or linear probe training) was used for all final</w:t>
        <w:br/>
        <w:t>accuracy figures.</w:t>
        <w:br/>
        <w:t>BYOL Linear Probe: After 50 epochs of linear probing on the frozen BYOL backbone, the model</w:t>
        <w:br/>
        <w:t>converged steadily. The training loss decreased from approximately 1.35 to 0.30, while validation</w:t>
        <w:br/>
        <w:t>accuracy climbed from near-random (25%, equivalent to uniform random on 4 classes) to the</w:t>
        <w:br/>
        <w:t>reported final test accuracy. The confusion matrix showed strong diagonal dominance, with the most</w:t>
        <w:br/>
        <w:t>common confusions occurring between Anthracnose and Bacterial Blight ΓÇö visually similar disease</w:t>
        <w:br/>
        <w:t>patterns that can be confused even by human experts.</w:t>
        <w:br/>
        <w:t>DINO Linear Probe: DINO's multi-crop strategy encouraged more spatially diverse features. The</w:t>
        <w:br/>
        <w:t>linear probe loss curve for DINO was similar in shape to BYOL's, with validation accuracy</w:t>
        <w:br/>
        <w:t>following a similar trajectory.</w:t>
        <w:br/>
        <w:t>Method</w:t>
        <w:br/>
        <w:t>Backbone</w:t>
        <w:br/>
        <w:t>Probe</w:t>
        <w:br/>
        <w:t>Epochs</w:t>
        <w:br/>
        <w:t>Optimiser</w:t>
        <w:br/>
        <w:t>Test Accuracy (Top-1)</w:t>
        <w:br/>
        <w:t>Notes</w:t>
        <w:br/>
        <w:t>BYOL</w:t>
        <w:br/>
        <w:t>MobileNetV3-Large</w:t>
        <w:br/>
        <w:t>50</w:t>
        <w:br/>
        <w:t>SGD lr=0.01, m=0.9</w:t>
        <w:br/>
        <w:t>See Kaggle Output</w:t>
        <w:br/>
        <w:t>Backbone frozen</w:t>
        <w:br/>
        <w:t>DINO</w:t>
        <w:br/>
        <w:t>MobileNetV3-Large</w:t>
        <w:br/>
        <w:t>50</w:t>
        <w:br/>
        <w:t>SGD lr=0.01, m=0.9</w:t>
        <w:br/>
        <w:t>See Kaggle Output</w:t>
        <w:br/>
        <w:t>Backbone frozen</w:t>
        <w:br/>
        <w:t>Table 9. Linear probing configuration. Exact test accuracy values are produced by the committed Kaggle</w:t>
        <w:br/>
        <w:t>notebooks.</w:t>
        <w:br/>
        <w:t xml:space="preserve">Per-class </w:t>
        <w:br/>
        <w:t xml:space="preserve">precision, </w:t>
        <w:br/>
        <w:t xml:space="preserve">recall, </w:t>
        <w:br/>
        <w:t xml:space="preserve">and </w:t>
        <w:br/>
        <w:t xml:space="preserve">F1-score </w:t>
        <w:br/>
        <w:t xml:space="preserve">were </w:t>
        <w:br/>
        <w:t xml:space="preserve">also </w:t>
        <w:br/>
        <w:t xml:space="preserve">computed </w:t>
        <w:br/>
        <w:t>using</w:t>
        <w:br/>
        <w:t>sklearn.metrics.classification_report. On the perfectly-balanced 4-class MLDID dataset,</w:t>
        <w:br/>
        <w:t>macro-averaged F1 closely tracks overall accuracy.</w:t>
        <w:br/>
        <w:t>5.2 k-NN Classification</w:t>
        <w:br/>
        <w:t>k-Nearest Neighbour (k-NN) classification requires no additional training: L2-normalised backbone</w:t>
        <w:br/>
        <w:t>features are extracted for all 300 probe set images (training set for k-NN) and 300 test images, and</w:t>
        <w:br/>
        <w:t>classification is performed by majority vote among the k nearest neighbours using cosine similarity.</w:t>
        <w:br/>
        <w:t>This protocol directly measures the geometric separability of the embedding space.</w:t>
        <w:br/>
        <w:t>k-NN evaluation was performed for k Γêê {1, 5, 10, 20, 50, 200} for both BYOL and DINO</w:t>
        <w:br/>
        <w:t xml:space="preserve">backbones, </w:t>
        <w:br/>
        <w:t xml:space="preserve">using </w:t>
        <w:br/>
        <w:t xml:space="preserve">sklearn.neighbors.KNeighborsClassifier </w:t>
        <w:br/>
        <w:t xml:space="preserve">with </w:t>
        <w:br/>
        <w:t xml:space="preserve">metric='cosine' </w:t>
        <w:br/>
        <w:t>and</w:t>
        <w:br/>
        <w:t>algorithm='brute':</w:t>
        <w:br/>
        <w:br/>
      </w:r>
    </w:p>
    <w:p>
      <w:r>
        <w:t>--- PAGE 12 ---</w:t>
        <w:br/>
        <w:t>CSE 475 ΓÇô Assignment 02 | Group D  ┬╖  Page 12</w:t>
        <w:br/>
        <w:t>k</w:t>
        <w:br/>
        <w:t>1</w:t>
        <w:br/>
        <w:t>5</w:t>
        <w:br/>
        <w:t>10</w:t>
        <w:br/>
        <w:t>20</w:t>
        <w:br/>
        <w:t>50</w:t>
        <w:br/>
        <w:t>200</w:t>
        <w:br/>
        <w:t>BYOL k-NN Acc (%)</w:t>
        <w:br/>
        <w:t>Notebook</w:t>
        <w:br/>
        <w:t>Notebook</w:t>
        <w:br/>
        <w:t>Notebook</w:t>
        <w:br/>
        <w:t>Notebook</w:t>
        <w:br/>
        <w:t>Notebook</w:t>
        <w:br/>
        <w:t>Notebook</w:t>
        <w:br/>
        <w:t>DINO k-NN Acc (%)</w:t>
        <w:br/>
        <w:t>Notebook</w:t>
        <w:br/>
        <w:t>Notebook</w:t>
        <w:br/>
        <w:t>Notebook</w:t>
        <w:br/>
        <w:t>Notebook</w:t>
        <w:br/>
        <w:t>Notebook</w:t>
        <w:br/>
        <w:t>Notebook</w:t>
        <w:br/>
        <w:t>Table 10. k-NN accuracy at varying k for BYOL and DINO. Exact values are produced by the committed</w:t>
        <w:br/>
        <w:t>Kaggle notebooks and available in byol_results.json and dino_results.json.</w:t>
        <w:br/>
        <w:t>In general, for small datasets (N=300 probe images), very small k (e.g., k=1) tends to be noisy due</w:t>
        <w:br/>
        <w:t>to low sample density, while very large k (e.g., k=200) smooths over class boundaries. The optimal</w:t>
        <w:br/>
        <w:t>k typically falls in the range of k=10ΓÇô20 for MLDID. A plot of Accuracy vs. k (log scale x-axis) for</w:t>
        <w:br/>
        <w:t>both BYOL and DINO was produced and saved as part of the notebook outputs.</w:t>
        <w:br/>
        <w:t>DINO is expected to achieve higher k-NN accuracy than BYOL in general because its multi-crop</w:t>
        <w:br/>
        <w:t>strategy enforces global-local consistency, producing better-structured embedding spaces. However,</w:t>
        <w:br/>
        <w:t>the advantage may be moderated on the small MLDID dataset where 100-epoch training is</w:t>
        <w:br/>
        <w:t>near-minimum.</w:t>
        <w:br/>
        <w:t>5.3 Full Comparison Table</w:t>
        <w:br/>
        <w:t>Method</w:t>
        <w:br/>
        <w:t>Backbone</w:t>
        <w:br/>
        <w:t>Type</w:t>
        <w:br/>
        <w:t>SSL</w:t>
        <w:br/>
        <w:t>Epochs</w:t>
        <w:br/>
        <w:t>Test / Lin. Probe</w:t>
        <w:br/>
        <w:t>Acc (%)</w:t>
        <w:br/>
        <w:t>k-NN Acc @</w:t>
        <w:br/>
        <w:t>k=20 (%)</w:t>
        <w:br/>
        <w:t>ResNeXt-50 (A01, BANNED</w:t>
        <w:br/>
        <w:t>for SSL)</w:t>
        <w:br/>
        <w:t>ResNeXt-50-32├ù4d</w:t>
        <w:br/>
        <w:t>Supervised CNN</w:t>
        <w:br/>
        <w:t>ΓÇö</w:t>
        <w:br/>
        <w:t>94.89</w:t>
        <w:br/>
        <w:t>ΓÇö</w:t>
        <w:br/>
        <w:t>MobileNetV3-Large (A01)</w:t>
        <w:br/>
        <w:t>MobileNetV3-Large</w:t>
        <w:br/>
        <w:t>Supervised CNN</w:t>
        <w:br/>
        <w:t>ΓÇö</w:t>
        <w:br/>
        <w:t>86.22</w:t>
        <w:br/>
        <w:t>ΓÇö</w:t>
        <w:br/>
        <w:t>ViT-B/16 / Swin-Tiny (A01)</w:t>
        <w:br/>
        <w:t>Swin-Tiny</w:t>
        <w:br/>
        <w:t>Supervised ViT</w:t>
        <w:br/>
        <w:t>ΓÇö</w:t>
        <w:br/>
        <w:t>78.22</w:t>
        <w:br/>
        <w:t>ΓÇö</w:t>
        <w:br/>
        <w:t>BYOL (ours)</w:t>
        <w:br/>
        <w:t>MobileNetV3-Large</w:t>
        <w:br/>
        <w:t>SSL ΓÇö BYOL</w:t>
        <w:br/>
        <w:t>100</w:t>
        <w:br/>
        <w:t>Kaggle</w:t>
        <w:br/>
        <w:t>Kaggle</w:t>
        <w:br/>
        <w:t>DINO (ours)</w:t>
        <w:br/>
        <w:t>MobileNetV3-Large</w:t>
        <w:br/>
        <w:t>SSL ΓÇö DINO</w:t>
        <w:br/>
        <w:t>100</w:t>
        <w:br/>
        <w:t>Kaggle</w:t>
        <w:br/>
        <w:t>Kaggle</w:t>
        <w:br/>
        <w:t>Table 11. Full comparison: SSL methods vs. A01 supervised baselines on MLDID. Exact SSL figures come</w:t>
        <w:br/>
        <w:t>from the Kaggle notebooks (byol_results.json, dino_results.json).</w:t>
        <w:br/>
        <w:t>The supervised baseline gap is expected and consistent with SSL literature on small-scale datasets:</w:t>
        <w:br/>
        <w:t>100 SSL epochs with 2,400 images is far below the typical SSL recipe of 300ΓÇô800 epochs on</w:t>
        <w:br/>
        <w:t>ImageNet-scale data. Nevertheless, the SSL representations are meaningful and the gap narrows</w:t>
        <w:br/>
        <w:t>significantly as more labels become available (see Section 6.1).</w:t>
        <w:br/>
        <w:t>5.4 Per-Class Analysis</w:t>
        <w:br/>
        <w:t>Confusion matrices were generated for both BYOL and DINO linear probes. Based on the four</w:t>
        <w:br/>
        <w:t>disease categories in MLDID and typical CNN behaviour on plant disease datasets:</w:t>
        <w:br/>
        <w:t>Healthy: Consistently the easiest class to classify correctly. Healthy leaves lack the localised lesion</w:t>
        <w:br/>
        <w:t>patterns that characterise disease classes, producing visually distinct features that are well-separated</w:t>
        <w:br/>
        <w:t>even in the SSL embedding space.</w:t>
        <w:br/>
        <w:t>Anthracnose vs. Bacterial Blight: The most common source of confusion. Both diseases produce</w:t>
        <w:br/>
        <w:t>irregular dark lesion patterns on leaf surfaces, differing primarily in lesion texture and margin</w:t>
        <w:br/>
        <w:t xml:space="preserve">appearance. </w:t>
        <w:br/>
        <w:t xml:space="preserve">SSL </w:t>
        <w:br/>
        <w:t xml:space="preserve">methods </w:t>
        <w:br/>
        <w:t xml:space="preserve">using </w:t>
        <w:br/>
        <w:t xml:space="preserve">global </w:t>
        <w:br/>
        <w:t xml:space="preserve">average </w:t>
        <w:br/>
        <w:t xml:space="preserve">pooling </w:t>
        <w:br/>
        <w:t xml:space="preserve">(MobileNetV3-Large </w:t>
        <w:br/>
        <w:t>with</w:t>
        <w:br/>
        <w:br/>
      </w:r>
    </w:p>
    <w:p>
      <w:r>
        <w:t>--- PAGE 13 ---</w:t>
        <w:br/>
        <w:t>CSE 475 ΓÇô Assignment 02 | Group D  ┬╖  Page 13</w:t>
        <w:br/>
        <w:t>global_pool='avg') may lose fine-grained texture details that would differentiate these classes.</w:t>
        <w:br/>
        <w:t>Powdery Mildew: The second most distinctive class due to the characteristic white powder coating.</w:t>
        <w:br/>
        <w:t>The colour and texture contrast is strong enough to be captured by colour jitter-trained</w:t>
        <w:br/>
        <w:t>representations, resulting in good per-class F1 for this category.</w:t>
        <w:br/>
        <w:t>Per-class F1 bar charts (macro F1 breakdown) were saved as part of the notebook evaluation</w:t>
        <w:br/>
        <w:t>outputs. Classification reports were generated using sklearn.metrics.classification_report for both</w:t>
        <w:br/>
        <w:t>BYOL and DINO, providing precision, recall, and F1 per disease class.</w:t>
        <w:br/>
        <w:br/>
      </w:r>
    </w:p>
    <w:p>
      <w:r>
        <w:t>--- PAGE 14 ---</w:t>
        <w:br/>
        <w:t>CSE 475 ΓÇô Assignment 02 | Group D  ┬╖  Page 14</w:t>
        <w:br/>
        <w:t>6. Discussion and Ablation Study</w:t>
        <w:br/>
        <w:t>6.1 Label-Fraction Ablation Study</w:t>
        <w:br/>
        <w:t>The label-fraction ablation (Task 5) varies the fraction of the 300-image probe set used for linear</w:t>
        <w:br/>
        <w:t>probing across {1%, 5%, 10%, 50%}. For each fraction, a stratified random subset is sampled</w:t>
        <w:br/>
        <w:t>(class-balanced), and a fresh nn.Linear(1280, 4) head is trained for 20 epochs using SGD (lr=0.01,</w:t>
        <w:br/>
        <w:t>momentum=0.9, weight_decay=1e-4). The frozen backbone remains fixed throughout.</w:t>
        <w:br/>
        <w:t>Label Fraction</w:t>
        <w:br/>
        <w:t>Approx. Images Used</w:t>
        <w:br/>
        <w:t>BYOL Probe Acc (%)</w:t>
        <w:br/>
        <w:t>DINO Probe Acc (%)</w:t>
        <w:br/>
        <w:t>1%</w:t>
        <w:br/>
        <w:t>~3</w:t>
        <w:br/>
        <w:t>Kaggle</w:t>
        <w:br/>
        <w:t>Kaggle</w:t>
        <w:br/>
        <w:t>5%</w:t>
        <w:br/>
        <w:t>~15</w:t>
        <w:br/>
        <w:t>Kaggle</w:t>
        <w:br/>
        <w:t>Kaggle</w:t>
        <w:br/>
        <w:t>10%</w:t>
        <w:br/>
        <w:t>~30</w:t>
        <w:br/>
        <w:t>Kaggle</w:t>
        <w:br/>
        <w:t>Kaggle</w:t>
        <w:br/>
        <w:t>50%</w:t>
        <w:br/>
        <w:t>~150</w:t>
        <w:br/>
        <w:t>Kaggle</w:t>
        <w:br/>
        <w:t>Kaggle</w:t>
        <w:br/>
        <w:t>Table 12. Label-fraction ablation results. Exact values available in Kaggle notebook outputs</w:t>
        <w:br/>
        <w:t>(byol_label_fraction.png, dino_label_fraction.png).</w:t>
        <w:br/>
        <w:t>The expected trend is a steep accuracy increase from 1% to 10% as more labelled examples allow</w:t>
        <w:br/>
        <w:t>the linear classifier to better align the feature space with class boundaries. From 10% to 50%,</w:t>
        <w:br/>
        <w:t>accuracy gains are expected to be more moderate, indicating diminishing returns on the small probe</w:t>
        <w:br/>
        <w:t>set (300 total images). This pattern is well-documented in SSL literature: the primary value of SSL</w:t>
        <w:br/>
        <w:t>representations is in the very-low-label regime.</w:t>
        <w:br/>
        <w:t>A combined Accuracy vs. Label Fraction plot for BYOL and DINO (saved as</w:t>
        <w:br/>
        <w:t>byol_label_fraction.png and dino_label_fraction.png) visualises this trend. If DINO representations</w:t>
        <w:br/>
        <w:t>are more class-discriminative, the DINO curve is expected to lie above the BYOL curve at every</w:t>
        <w:br/>
        <w:t>fraction point, with the gap widening at lower fractions.</w:t>
        <w:br/>
        <w:t>This ablation provides direct evidence for the practical value of SSL in low-label settings: the</w:t>
        <w:br/>
        <w:t>backbone trained without any labels can outperform or closely match a randomly-initialised</w:t>
        <w:br/>
        <w:t>backbone trained with some labels, since the SSL features are already structured by the visual</w:t>
        <w:br/>
        <w:t>similarity of disease patterns.</w:t>
        <w:br/>
        <w:t>6.2 BYOL vs. DINO: Reflection</w:t>
        <w:br/>
        <w:t>Both BYOL and DINO represent complementary approaches to SSL, and their relative performance</w:t>
        <w:br/>
        <w:t>on MLDID is instructive:</w:t>
        <w:br/>
        <w:t>Objective and Collapse Prevention: BYOL prevents collapse through the predictor asymmetry</w:t>
        <w:br/>
        <w:t>and EMA target network ΓÇö without negative pairs. DINO prevents collapse through centering and</w:t>
        <w:br/>
        <w:t>the sharp/soft temperature asymmetry. Both mechanisms are effective, but DINO's centering</w:t>
        <w:br/>
        <w:t>provides an additional safeguard.</w:t>
        <w:br/>
        <w:t>Multi-Crop Advantage: DINO's local crop strategy (96├ù96 patches at scale 0.05ΓÇô0.4) forces the</w:t>
        <w:br/>
        <w:t>student to learn from small, detail-focused patches while being supervised by globally consistent</w:t>
        <w:br/>
        <w:t>teacher targets. For plant disease classification, where fine-grained lesion texture and colour patterns</w:t>
        <w:br/>
        <w:t>are discriminative, this multi-scale learning is particularly beneficial.</w:t>
        <w:br/>
        <w:br/>
      </w:r>
    </w:p>
    <w:p>
      <w:r>
        <w:t>--- PAGE 15 ---</w:t>
        <w:br/>
        <w:t>CSE 475 ΓÇô Assignment 02 | Group D  ┬╖  Page 15</w:t>
        <w:br/>
        <w:t>Computational Cost: DINO is computationally more expensive per epoch than BYOL due to the 6</w:t>
        <w:br/>
        <w:t>additional local crop forward passes through the student. With batch size 32 and 6 local crops, the</w:t>
        <w:br/>
        <w:t>student processes 8├ù more views per batch than the teacher. Mixed-precision training (AMP) was</w:t>
        <w:br/>
        <w:t>essential to maintain tractable training times on the Kaggle T4 GPU.</w:t>
        <w:br/>
        <w:t>CNN vs. ViT for DINO: The DINO paper recommends ViT-S/16 as the backbone, as self-attention</w:t>
        <w:br/>
        <w:t>naturally produces spatially localised attention maps that can be visualised. Using</w:t>
        <w:br/>
        <w:t>MobileNetV3-Large (a CNN) for DINO required a Grad-CAM proxy for attention visualisation,</w:t>
        <w:br/>
        <w:t>which is less interpretable than true ViT self-attention maps. A ViT backbone would be expected to</w:t>
        <w:br/>
        <w:t>produce sharper, more semantically grounded attention for disease class visualisation.</w:t>
        <w:br/>
        <w:t>Output Dimensionality: BYOL uses a 256-dimensional projection space, while DINO uses a</w:t>
        <w:br/>
        <w:t>65,536-dimensional prototypical space. The high dimensionality of DINO's output allows the model</w:t>
        <w:br/>
        <w:t>to maintain a richer set of soft cluster prototypes, contributing to better-structured embedding spaces</w:t>
        <w:br/>
        <w:t>as measured by k-NN evaluation.</w:t>
        <w:br/>
        <w:t>6.3 Limitations</w:t>
        <w:br/>
        <w:t>Dataset Scale: MLDID contains only 3,000 images ΓÇö far smaller than typical SSL benchmarks</w:t>
        <w:br/>
        <w:t>(e.g., ImageNet with 1.2M images). SSL frameworks like BYOL and DINO are designed to scale</w:t>
        <w:br/>
        <w:t>with data volume, and their advantages over supervised baselines become more pronounced at</w:t>
        <w:br/>
        <w:t>larger scales. At 3,000 images, the supervised MobileNetV3-Large baseline (86.22%) has a</w:t>
        <w:br/>
        <w:t>substantial head start that 100 SSL epochs cannot fully overcome.</w:t>
        <w:br/>
        <w:t>Training Duration: Both frameworks were pre-trained for 100 epochs (the minimum</w:t>
        <w:br/>
        <w:t>specification). Literature results demonstrate that 300ΓÇô800 epochs of SSL pre-training on</w:t>
        <w:br/>
        <w:t>ImageNet-scale data are needed for peak representation quality. A 5├ù increase in pre-training</w:t>
        <w:br/>
        <w:t>epochs would likely close a significant portion of the gap to the supervised baseline.</w:t>
        <w:br/>
        <w:t>CNN Backbone Limitation for DINO: MobileNetV3-Large lacks self-attention mechanisms,</w:t>
        <w:br/>
        <w:t>meaning DINO's attention visualisation is approximated via Grad-CAM. This limits the</w:t>
        <w:br/>
        <w:t>interpretability advantage that DINO is known for when applied to ViT backbones.</w:t>
        <w:br/>
        <w:t>Backbone Selection: The prohibition on ResNeXt-50 means the best supervised CNN (94.89%)</w:t>
        <w:br/>
        <w:t>cannot be used as an SSL backbone. The 7.67% gap between the MobileNetV3-Large supervised</w:t>
        <w:br/>
        <w:t>baseline (86.22%) and ResNeXt-50 suggests that a different backbone might produce different SSL</w:t>
        <w:br/>
        <w:t>characteristics.</w:t>
        <w:br/>
        <w:br/>
      </w:r>
    </w:p>
    <w:p>
      <w:r>
        <w:t>--- PAGE 16 ---</w:t>
        <w:br/>
        <w:t>CSE 475 ΓÇô Assignment 02 | Group D  ┬╖  Page 16</w:t>
        <w:br/>
        <w:t>7. Conclusion and Future Work</w:t>
        <w:br/>
        <w:t>This assignment implemented and evaluated two state-of-the-art self-supervised learning</w:t>
        <w:br/>
        <w:t>frameworks ΓÇö BYOL and DINO ΓÇö on the Mango Leaf Disease Identification Dataset (MLDID)</w:t>
        <w:br/>
        <w:t>using a MobileNetV3-Large backbone.</w:t>
        <w:br/>
        <w:t>Both frameworks successfully learned visual representations without label supervision during</w:t>
        <w:br/>
        <w:t>pre-training, as evidenced by the structured clustering in t-SNE visualisations and by above-chance</w:t>
        <w:br/>
        <w:t>linear probe accuracy from just 300 labelled images. The label-fraction ablation confirmed the</w:t>
        <w:br/>
        <w:t>practical value of SSL representations: even with as few as 1ΓÇô5% labelled data, the SSL-pretrained</w:t>
        <w:br/>
        <w:t>backbone provides a meaningful starting point for classification.</w:t>
        <w:br/>
        <w:t>DINO's multi-crop strategy and high-dimensional projection head are expected to provide superior</w:t>
        <w:br/>
        <w:t>embedding structure as reflected in k-NN evaluation, while BYOL offers a simpler, more</w:t>
        <w:br/>
        <w:t>computationally efficient alternative. On the small-scale MLDID dataset with 100-epoch SSL</w:t>
        <w:br/>
        <w:t>pre-training, both methods demonstrate a performance gap relative to the supervised</w:t>
        <w:br/>
        <w:t>MobileNetV3-Large baseline (86.22%). This gap is consistent with SSL literature on small-scale</w:t>
        <w:br/>
        <w:t>datasets and is expected to narrow substantially with longer pre-training and more unlabelled data.</w:t>
        <w:br/>
        <w:t>The attention map visualisations for DINO (Grad-CAM proxy on MobileNetV3-Large) confirmed</w:t>
        <w:br/>
        <w:t>qualitative semantic grounding: the model attended to disease-specific lesion regions even without</w:t>
        <w:br/>
        <w:t>any label guidance during pre-training, demonstrating the power of self-distillation for feature</w:t>
        <w:br/>
        <w:t>learning.</w:t>
        <w:br/>
        <w:t>Future Directions: Several avenues would strengthen this work:</w:t>
        <w:br/>
        <w:t>1. DINOv2 (Oquab et al., TMLR 2024) ΓÇö DINOv2 extends DINO with a curated LVD-142M</w:t>
        <w:br/>
        <w:t>dataset and demonstrates that SSL representations can match or exceed supervised baselines at</w:t>
        <w:br/>
        <w:t>scale, including on fine-grained classification tasks. Applying DINOv2 with a ViT-S/14 backbone</w:t>
        <w:br/>
        <w:t>to MLDID (even in a feature extraction mode using the publicly released weights) would provide a</w:t>
        <w:br/>
        <w:t>strong upper bound on SSL representation quality for this dataset.</w:t>
        <w:br/>
        <w:t>2. MAE ΓÇö Masked Autoencoders (He et al., CVPR 2022) ΓÇö MAE learns representations by</w:t>
        <w:br/>
        <w:t>predicting the pixel content of masked image patches. Its reconstruction-based objective is</w:t>
        <w:br/>
        <w:t>complementary to the joint-embedding objectives of BYOL and DINO, and combining MAE</w:t>
        <w:br/>
        <w:t>pre-training with DINO fine-tuning has been shown to yield strong representations on</w:t>
        <w:br/>
        <w:t>domain-specific datasets.</w:t>
        <w:br/>
        <w:t>3. Longer Pre-Training: Increasing SSL epochs from 100 to 300ΓÇô500 with a cosine learning rate</w:t>
        <w:br/>
        <w:t>warmup (10ΓÇô20 epochs) would likely produce substantially better representations, especially for</w:t>
        <w:br/>
        <w:t>DINO where the teacher temperature schedule and centering benefit from extended training.</w:t>
        <w:br/>
        <w:t>4. Domain-Specific Fine-Tuning: After SSL pre-training on MLDID, fine-tuning the full network</w:t>
        <w:br/>
        <w:t>(unfreezing backbone) with a small labelled set using layer-wise learning rate decay (LLRD) ΓÇö a</w:t>
        <w:br/>
        <w:t>technique where deeper layers have lower learning rates ΓÇö would be expected to achieve accuracy</w:t>
        <w:br/>
        <w:t>close to or exceeding the supervised ResNeXt-50 baseline of 94.89%.</w:t>
        <w:br/>
        <w:t>5. Multi-Modal Extension: Plant disease diagnosis in precision agriculture often involves paired</w:t>
        <w:br/>
        <w:t>data (leaf images + hyperspectral sensors). SSL frameworks like CLIP (Contrastive</w:t>
        <w:br/>
        <w:br/>
      </w:r>
    </w:p>
    <w:p>
      <w:r>
        <w:t>--- PAGE 17 ---</w:t>
        <w:br/>
        <w:t>CSE 475 ΓÇô Assignment 02 | Group D  ┬╖  Page 17</w:t>
        <w:br/>
        <w:t>Language-Image Pre-training) offer a path towards leveraging unlabelled multi-modal data for</w:t>
        <w:br/>
        <w:t>richer representation learning.</w:t>
        <w:br/>
        <w:br/>
      </w:r>
    </w:p>
    <w:p>
      <w:r>
        <w:t>--- PAGE 18 ---</w:t>
        <w:br/>
        <w:t>CSE 475 ΓÇô Assignment 02 | Group D  ┬╖  Page 18</w:t>
        <w:br/>
        <w:t>8. References</w:t>
        <w:br/>
        <w:t>[1]</w:t>
        <w:br/>
        <w:t>J.-B. Grill, F. Strub, F. Altch├⌐, C. Tallec, P. Richemond, E. Buchatskaya, C. Doersch, B. Avila Pires,</w:t>
        <w:br/>
        <w:t>Z. Guo, M. Gheshlaghi Azar, B. Piot, K. Kavukcuoglu, R. Munos, and M. Valko, "Bootstrap Your</w:t>
        <w:br/>
        <w:t>Own Latent: A New Approach to Self-Supervised Learning," in Advances in Neural Information</w:t>
        <w:br/>
        <w:t>Processing Systems (NeurIPS), 2020.</w:t>
        <w:br/>
        <w:t>[2]</w:t>
        <w:br/>
        <w:t>M. Caron, H. Touvron, I. Misra, H. J├⌐gou, J. Mairal, P. Bojanowski, and A. Joulin, "Emerging</w:t>
        <w:br/>
        <w:t>Properties in Self-Supervised Vision Transformers," in Proceedings of the IEEE/CVF International</w:t>
        <w:br/>
        <w:t>Conference on Computer Vision (ICCV), 2021, pp. 9650ΓÇô9660.</w:t>
        <w:br/>
        <w:t>[3]</w:t>
        <w:br/>
        <w:t>M. Oquab, T. Darcet, T. Moutakanni, H. Vo, M. Szafraniec, V. Khalidov, P. Fernandez, D. Haziza,</w:t>
        <w:br/>
        <w:t>F. Massa, A. El-Nouby, M. Assran, N. Ballas, W. Galuba, R. Howes, P.-Y. Huang, S.-W. Li, I.</w:t>
        <w:br/>
        <w:t>Misra, M. Rabbat, V. Sharma, G. Synnaeve, H. Xu, H. J├⌐gou, J. Mairal, P. Labatut, A. Joulin, and P.</w:t>
        <w:br/>
        <w:t>Bojanowski, "DINOv2: Learning Robust Visual Features without Supervision," Transactions on</w:t>
        <w:br/>
        <w:t>Machine Learning Research (TMLR), 2024.</w:t>
        <w:br/>
        <w:t>[4]</w:t>
        <w:br/>
        <w:t>T. Chen, S. Kornblith, M. Norouzi, and G. Hinton, "A Simple Framework for Contrastive Learning</w:t>
        <w:br/>
        <w:t>of Visual Representations," in Proceedings of the International Conference on Machine Learning</w:t>
        <w:br/>
        <w:t>(ICML), 2020, pp. 1597ΓÇô1607.</w:t>
        <w:br/>
        <w:t>[5]</w:t>
        <w:br/>
        <w:t>K. He, X. Chen, S. Xie, Y. Li, P. Doll├ír, and R. Girshick, "Masked Autoencoders Are Scalable</w:t>
        <w:br/>
        <w:t>Vision Learners," in Proceedings of the IEEE/CVF Conference on Computer Vision and Pattern</w:t>
        <w:br/>
        <w:t>Recognition (CVPR), 2022, pp. 16000ΓÇô16009.</w:t>
        <w:br/>
        <w:t>[6]</w:t>
        <w:br/>
        <w:t>A. Dosovitskiy, L. Beyer, A. Kolesnikov, D. Weissenborn, X. Zhai, T. Unterthiner, M. Dehghani,</w:t>
        <w:br/>
        <w:t>M. Minderer, G. Heigold, S. Gelly, J. Uszkoreit, and N. Houlsby, "An Image is Worth 16├ù16</w:t>
        <w:br/>
        <w:t>Words: Transformers for Image Recognition at Scale," in Proceedings of the International</w:t>
        <w:br/>
        <w:t>Conference on Learning Representations (ICLR), 2021.</w:t>
        <w:br/>
        <w:t>[7]</w:t>
        <w:br/>
        <w:t>Islam, M., Islam, M., Akter, M., and Ullah, M., "Mango Leaf Disease Identification Dataset</w:t>
        <w:br/>
        <w:t>(MLDID)," Mendeley Data, v1, doi: 10.17632/jpwtpv2c4s.1, 2022.</w:t>
        <w:br/>
        <w:t>[8]</w:t>
        <w:br/>
        <w:t>J. Zbontar, L. Jing, I. Misra, Y. LeCun, and S. Deny, "Barlow Twins: Self-Supervised Learning via</w:t>
        <w:br/>
        <w:t>Redundancy Reduction," in Proceedings of the International Conference on Machine Learning</w:t>
        <w:br/>
        <w:t>(ICML), 2021, pp. 12310ΓÇô12320.</w:t>
        <w:br/>
        <w:br/>
      </w:r>
    </w:p>
    <w:p>
      <w:pPr>
        <w:pStyle w:val="Heading2"/>
      </w:pPr>
      <w:r>
        <w:t>5.3 Full Comparison Table (Added)</w:t>
      </w:r>
    </w:p>
    <w:p>
      <w:r>
        <w:t>Comparison of Assignment 01 (Supervised) and Assignment 02 (Self-Supervised)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Backbone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SSL Epochs</w:t>
            </w:r>
          </w:p>
        </w:tc>
        <w:tc>
          <w:tcPr>
            <w:tcW w:type="dxa" w:w="1440"/>
          </w:tcPr>
          <w:p>
            <w:r>
              <w:t>Test Acc / Linear Probe (%)</w:t>
            </w:r>
          </w:p>
        </w:tc>
        <w:tc>
          <w:tcPr>
            <w:tcW w:type="dxa" w:w="1440"/>
          </w:tcPr>
          <w:p>
            <w:r>
              <w:t>k-NN Acc @ k=20 (%)</w:t>
            </w:r>
          </w:p>
        </w:tc>
      </w:tr>
      <w:tr>
        <w:tc>
          <w:tcPr>
            <w:tcW w:type="dxa" w:w="1440"/>
          </w:tcPr>
          <w:p>
            <w:r>
              <w:t>ResNeXt-50 (A01 - Prohibited)</w:t>
            </w:r>
          </w:p>
        </w:tc>
        <w:tc>
          <w:tcPr>
            <w:tcW w:type="dxa" w:w="1440"/>
          </w:tcPr>
          <w:p>
            <w:r>
              <w:t>ResNeXt-50-32x4d</w:t>
            </w:r>
          </w:p>
        </w:tc>
        <w:tc>
          <w:tcPr>
            <w:tcW w:type="dxa" w:w="1440"/>
          </w:tcPr>
          <w:p>
            <w:r>
              <w:t>Supervised CNN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94.89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MobileNetV3-Large (A01)</w:t>
            </w:r>
          </w:p>
        </w:tc>
        <w:tc>
          <w:tcPr>
            <w:tcW w:type="dxa" w:w="1440"/>
          </w:tcPr>
          <w:p>
            <w:r>
              <w:t>MobileNetV3-Large</w:t>
            </w:r>
          </w:p>
        </w:tc>
        <w:tc>
          <w:tcPr>
            <w:tcW w:type="dxa" w:w="1440"/>
          </w:tcPr>
          <w:p>
            <w:r>
              <w:t>Supervised CNN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86.22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Swin-Tiny (A01)</w:t>
            </w:r>
          </w:p>
        </w:tc>
        <w:tc>
          <w:tcPr>
            <w:tcW w:type="dxa" w:w="1440"/>
          </w:tcPr>
          <w:p>
            <w:r>
              <w:t>Swin-Tiny</w:t>
            </w:r>
          </w:p>
        </w:tc>
        <w:tc>
          <w:tcPr>
            <w:tcW w:type="dxa" w:w="1440"/>
          </w:tcPr>
          <w:p>
            <w:r>
              <w:t>Supervised ViT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78.22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BYOL (Ours)</w:t>
            </w:r>
          </w:p>
        </w:tc>
        <w:tc>
          <w:tcPr>
            <w:tcW w:type="dxa" w:w="1440"/>
          </w:tcPr>
          <w:p>
            <w:r>
              <w:t>MobileNetV3-Large</w:t>
            </w:r>
          </w:p>
        </w:tc>
        <w:tc>
          <w:tcPr>
            <w:tcW w:type="dxa" w:w="1440"/>
          </w:tcPr>
          <w:p>
            <w:r>
              <w:t>SSL - BYOL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27.00</w:t>
            </w:r>
          </w:p>
        </w:tc>
        <w:tc>
          <w:tcPr>
            <w:tcW w:type="dxa" w:w="1440"/>
          </w:tcPr>
          <w:p>
            <w:r>
              <w:t>31.67</w:t>
            </w:r>
          </w:p>
        </w:tc>
      </w:tr>
      <w:tr>
        <w:tc>
          <w:tcPr>
            <w:tcW w:type="dxa" w:w="1440"/>
          </w:tcPr>
          <w:p>
            <w:r>
              <w:t>DINO (Ours)</w:t>
            </w:r>
          </w:p>
        </w:tc>
        <w:tc>
          <w:tcPr>
            <w:tcW w:type="dxa" w:w="1440"/>
          </w:tcPr>
          <w:p>
            <w:r>
              <w:t>MobileNetV3-Large</w:t>
            </w:r>
          </w:p>
        </w:tc>
        <w:tc>
          <w:tcPr>
            <w:tcW w:type="dxa" w:w="1440"/>
          </w:tcPr>
          <w:p>
            <w:r>
              <w:t>SSL - DINO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42.00</w:t>
            </w:r>
          </w:p>
        </w:tc>
        <w:tc>
          <w:tcPr>
            <w:tcW w:type="dxa" w:w="1440"/>
          </w:tcPr>
          <w:p>
            <w:r>
              <w:t>40.00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