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 and lets you confirm how many units you actually bought.</w:t>
      </w:r>
    </w:p>
    <w:p>
      <w:pPr>
        <w:spacing w:after="200"/>
      </w:pPr>
      <w:r>
        <w:rPr>
          <w:b/>
          <w:color w:val="176B3A"/>
        </w:rPr>
        <w:t xml:space="preserve">How it is used: </w:t>
      </w:r>
      <w:r>
        <w:t>Use it to prioritise procurement based on customer commitments and money already collected, then confirm the quantity procured so the list reflects what is still outstanding.</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 It is a read-only breakdown; confirm purchases from the Procurement List tab.</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Confirm what you actually procured</w:t>
      </w:r>
    </w:p>
    <w:p>
      <w:r>
        <w:t>The procurement list shows the units that still need to be bought. After a buying trip, open the Procurement List tab and press the procured button on the product's row. A small box asks how many units you bought. Enter the number and confirm, and the list reduces by exactly that quantity, so a part purchase leaves the rest outstanding instead of clearing the whole product. Confirming procurement is not the same as delivering: you still confirm delivery on the customer's account when they receive the product.</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