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migrate deploy, prisma generate, next build.</w:t>
            </w:r>
          </w:p>
        </w:tc>
        <w:tc>
          <w:tcPr>
            <w:tcW w:w="4060" w:type="dxa"/>
            <w:vAlign w:val="top"/>
            <w:tcMar>
              <w:top w:w="80" w:type="dxa"/>
              <w:left w:w="120" w:type="dxa"/>
              <w:bottom w:w="80" w:type="dxa"/>
              <w:right w:w="120" w:type="dxa"/>
            </w:tcMar>
          </w:tcPr>
          <w:p>
            <w:pPr>
              <w:pStyle w:val="TableText"/>
            </w:pPr>
            <w:r>
              <w:t xml:space="preserve">Use the Supabase session pooler for migrations; the transaction pooler can stall migration deploy.</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to database.</w:t>
            </w:r>
          </w:p>
        </w:tc>
        <w:tc>
          <w:tcPr>
            <w:tcW w:w="4060" w:type="dxa"/>
            <w:vAlign w:val="top"/>
            <w:tcMar>
              <w:top w:w="80" w:type="dxa"/>
              <w:left w:w="120" w:type="dxa"/>
              <w:bottom w:w="80" w:type="dxa"/>
              <w:right w:w="120" w:type="dxa"/>
            </w:tcMar>
          </w:tcPr>
          <w:p>
            <w:pPr>
              <w:pStyle w:val="TableText"/>
            </w:pPr>
            <w:r>
              <w:t xml:space="preserve">Requires reachable DATABASE_URL.</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queue records unique event keys within the business transaction. Conditional claims prevent concurrent workers sending the same item. Before dispatch, source existence, account eligibility and current phone are checked. Missing phones and definitive failures are visible to super administrators at /settings/sms; correct the source then use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2026-09-09T01:53:44Z</dcterms:created>
  <dcterms:modified xsi:type="dcterms:W3CDTF">2026-09-09T01:53:44Z</dcterms:modified>
</cp:coreProperties>
</file>