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after the configured delivery delay; zero in Settings keeps the two-day default. A daily 09:00 lifecycle job updates statuses, with an hourly post-response freshness guard.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Administrator KPI cards use a compact four-column desktop layout, followed by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Administrators can compare weekly daily collection trends using a separate curved line for each staff member, with a legend identifying each line.</w:t>
      </w:r>
    </w:p>
    <w:p>
      <w:pPr>
        <w:spacing w:after="200"/>
      </w:pPr>
      <w:r>
        <w:rPr>
          <w:b/>
          <w:color w:val="176B3A"/>
        </w:rPr>
        <w:t xml:space="preserve">How it is used: </w:t>
      </w:r>
      <w:r>
        <w:t>Use it for operational awareness, follow-up, and quick investigation of newly recorded work. Staff users see only their own payment-count trend; collection amounts remain restricted to administrators.</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 in a compact four-column desktop layout from the large breakpoint.</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the configured refund service-fee percentage (32% when the setting is zero)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This works on an account in any status, including Dormant, Probation, Closed, Suspended, Cancelled and Archived accounts. Payments cannot be recorded on a Closed, Suspended, Cancelled or Archived account, so the page warns you that the balance can only be collected after the account is reactivated or its status changed. Releasing a Closed account also cancels any open closure refund on it, because a customer who has the product is not owed a refund; the page shows that amount before you confirm.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The delivery delay, refund deduction, minimum first payment and session timeout are effective rules. Zero keeps the existing two-day delivery and 32% refund defaults; a zero minimum deposit means no minimum. Administration fee and commission controls remain disabled until their calculation bases are defined.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