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September 09,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OpenAI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quantityOnSale, active</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and procurement module access.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staff see assigned operational metrics.</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quantity on sale,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w:t>
            </w:r>
          </w:p>
        </w:tc>
        <w:tc>
          <w:tcPr>
            <w:tcW w:w="5060" w:type="dxa"/>
            <w:vAlign w:val="top"/>
            <w:tcMar>
              <w:top w:w="80" w:type="dxa"/>
              <w:left w:w="120" w:type="dxa"/>
              <w:bottom w:w="80" w:type="dxa"/>
              <w:right w:w="120" w:type="dxa"/>
            </w:tcMar>
          </w:tcPr>
          <w:p>
            <w:pPr>
              <w:pStyle w:val="TableText"/>
            </w:pPr>
            <w:r>
              <w:t xml:space="preserve">Readiness list for products with accounts at least 70% paid and still pending delivery.</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 /settings/legal</w:t>
            </w:r>
          </w:p>
        </w:tc>
        <w:tc>
          <w:tcPr>
            <w:tcW w:w="5060" w:type="dxa"/>
            <w:vAlign w:val="top"/>
            <w:tcMar>
              <w:top w:w="80" w:type="dxa"/>
              <w:left w:w="120" w:type="dxa"/>
              <w:bottom w:w="80" w:type="dxa"/>
              <w:right w:w="120" w:type="dxa"/>
            </w:tcMar>
          </w:tcPr>
          <w:p>
            <w:pPr>
              <w:pStyle w:val="TableText"/>
            </w:pPr>
            <w:r>
              <w:t xml:space="preserve">Admin control panel for company, layaway, payroll, security, legal templates, addressed terms, customer communications, theme, and system metadata.</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components/ai-support-chat.tsx</w:t>
            </w:r>
          </w:p>
        </w:tc>
        <w:tc>
          <w:tcPr>
            <w:tcW w:w="5060" w:type="dxa"/>
            <w:vAlign w:val="top"/>
            <w:tcMar>
              <w:top w:w="80" w:type="dxa"/>
              <w:left w:w="120" w:type="dxa"/>
              <w:bottom w:w="80" w:type="dxa"/>
              <w:right w:w="120" w:type="dxa"/>
            </w:tcMar>
          </w:tcPr>
          <w:p>
            <w:pPr>
              <w:pStyle w:val="TableText"/>
            </w:pPr>
            <w:r>
              <w:t xml:space="preserve">Admin-only optional OpenAI support assistant for GLV workflows.</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after account is completed&lt;/w:t&gt;&lt;/w:r&gt;&lt;/w:p&gt;&lt;w:p&gt;&lt;w:pPr&gt;&lt;w:pStyle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procurement list quantity decreases or clears&lt;/w:t&gt;&lt;/w:r&gt;&lt;/w:p&gt;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Only after account is completed and balance is zero; revalidates account/customer/product screens.</w:t>
            </w:r>
          </w:p>
        </w:tc>
      </w:tr>
    </w:tbl>
    <w:p>
      <w:pPr>
        <w:pStyle w:val="Tiny"/>
      </w:pPr>
      <w:r>
        <w:t xml:space="preserve"/>
      </w:r>
    </w:p>
    <w:p>
      <w:pPr>
        <w:pStyle w:val="Heading1"/>
        <w:keepNext/>
      </w:pPr>
      <w:r>
        <w:t xml:space="preserve">7. Product and Procurement Module</w:t>
      </w:r>
    </w:p>
    <w:p>
      <w:pPr>
        <w:pStyle w:val="Normal"/>
      </w:pPr>
      <w:r>
        <w:t xml:space="preserve">The procurement list is a computed view, not a separate table. It groups pending-delivery customer accounts by product when their payment progress reaches the effective procurement threshold. The current rule is at least 70% paid, including fully paid accounts that are not yet delivered. Once delivery is confirmed, the account stops contributing to procurement quantity.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Procurement Readiness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xml:space="preserve"&gt;Group by Product&lt;/w:t&gt;&lt;/w:r&gt;&lt;/w:p&gt;&lt;w:p&gt;&lt;w:pPr&gt;&lt;w:pStyle w:val="CodeBlock"/&gt;&lt;/w:pPr&gt;&lt;w:r&gt;&lt;w:t xml:space="preserve"&gt;  |&lt;/w:t&gt;&lt;/w:r&gt;&lt;/w:p&gt;&lt;w:p&gt;&lt;w:pPr&gt;&lt;w:pStyle w:val="CodeBlock"/&gt;&lt;/w:pPr&gt;&lt;w:r&gt;&lt;w:t xml:space="preserve"&gt;  +--&amp;gt; quantity = eligible accounts count&lt;/w:t&gt;&lt;/w:r&gt;&lt;/w:p&gt;&lt;w:p&gt;&lt;w:pPr&gt;&lt;w:pStyle w:val="CodeBlock"/&gt;&lt;/w:pPr&gt;&lt;w:r&gt;&lt;w:t xml:space="preserve"&gt;  +--&amp;gt; totalCost = quantity * (costPrice + transportCost)&lt;/w:t&gt;&lt;/w:r&gt;&lt;/w:p&gt;&lt;w:p&gt;&lt;w:pPr&gt;&lt;w:pStyle w:val="CodeBlock"/&gt;&lt;/w:pPr&gt;&lt;w:r&gt;&lt;w:t xml:space="preserve"&gt;  +--&amp;gt; averageProgress and highestProgress displayed&lt;/w:t&gt;&lt;/w:r&gt;&lt;/w:p&gt;&lt;w:p&gt;&lt;w:pPr&gt;&lt;w:pStyle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remove or reduce product from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 groups with at least one eligible pending-delivery account.</w:t>
            </w:r>
          </w:p>
        </w:tc>
      </w:tr>
      <w:tr>
        <w:tc>
          <w:tcPr>
            <w:tcW w:w="2300" w:type="dxa"/>
            <w:vAlign w:val="top"/>
            <w:tcMar>
              <w:top w:w="80" w:type="dxa"/>
              <w:left w:w="120" w:type="dxa"/>
              <w:bottom w:w="80" w:type="dxa"/>
              <w:right w:w="120" w:type="dxa"/>
            </w:tcMar>
          </w:tcPr>
          <w:p>
            <w:pPr>
              <w:pStyle w:val="TableText"/>
            </w:pPr>
            <w:r>
              <w:t xml:space="preserve">Total units</w:t>
            </w:r>
          </w:p>
        </w:tc>
        <w:tc>
          <w:tcPr>
            <w:tcW w:w="7060" w:type="dxa"/>
            <w:vAlign w:val="top"/>
            <w:tcMar>
              <w:top w:w="80" w:type="dxa"/>
              <w:left w:w="120" w:type="dxa"/>
              <w:bottom w:w="80" w:type="dxa"/>
              <w:right w:w="120" w:type="dxa"/>
            </w:tcMar>
          </w:tcPr>
          <w:p>
            <w:pPr>
              <w:pStyle w:val="TableText"/>
            </w:pPr>
            <w:r>
              <w:t xml:space="preserve">Total eligible pending-delivery accounts across all products.</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all units to buy.</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Delivery confirmation changes deliveryStatus to DELIVERED; the account is excluded from procurement.</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bl>
    <w:p>
      <w:pPr>
        <w:pStyle w:val="Tiny"/>
      </w:pPr>
      <w:r>
        <w:t xml:space="preserve"/>
      </w:r>
    </w:p>
    <w:p>
      <w:pPr>
        <w:pStyle w:val="Heading1"/>
        <w:keepNext/>
      </w:pPr>
      <w:r>
        <w:t xml:space="preserve">10. Reports, Weekly Export, and Activity</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OpenAI only when OPENAI_API_KEY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migrate deploy, prisma generate, next build.</w:t>
            </w:r>
          </w:p>
        </w:tc>
        <w:tc>
          <w:tcPr>
            <w:tcW w:w="4060" w:type="dxa"/>
            <w:vAlign w:val="top"/>
            <w:tcMar>
              <w:top w:w="80" w:type="dxa"/>
              <w:left w:w="120" w:type="dxa"/>
              <w:bottom w:w="80" w:type="dxa"/>
              <w:right w:w="120" w:type="dxa"/>
            </w:tcMar>
          </w:tcPr>
          <w:p>
            <w:pPr>
              <w:pStyle w:val="TableText"/>
            </w:pPr>
            <w:r>
              <w:t xml:space="preserve">Use the Supabase session pooler for migrations; the transaction pooler can stall migration deploy.</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to database.</w:t>
            </w:r>
          </w:p>
        </w:tc>
        <w:tc>
          <w:tcPr>
            <w:tcW w:w="4060" w:type="dxa"/>
            <w:vAlign w:val="top"/>
            <w:tcMar>
              <w:top w:w="80" w:type="dxa"/>
              <w:left w:w="120" w:type="dxa"/>
              <w:bottom w:w="80" w:type="dxa"/>
              <w:right w:w="120" w:type="dxa"/>
            </w:tcMar>
          </w:tcPr>
          <w:p>
            <w:pPr>
              <w:pStyle w:val="TableText"/>
            </w:pPr>
            <w:r>
              <w:t xml:space="preserve">Requires reachable DATABASE_URL.</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OPENAI_API_KEY, and OPENAI_MODEL.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Active and overdue accounts with a positive balance qualify for reminders after seven full days without payment, and at most once per unpaid week thereafter. The later of account start, latest payment date and latest payment entry time anchors the interval. Backdated entries restart it. Other lifecycle statuses are excluded.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four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2026-09-09T02:17:01Z</dcterms:created>
  <dcterms:modified xsi:type="dcterms:W3CDTF">2026-09-09T02:17:01Z</dcterms:modified>
</cp:coreProperties>
</file>