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Completed accounts move into delivery control.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Staff Management</w:t>
            </w:r>
          </w:p>
        </w:tc>
      </w:tr>
      <w:tr>
        <w:tc>
          <w:tcPr>
            <w:tcW w:type="dxa" w:w="1080"/>
          </w:tcPr>
          <w:p>
            <w:pPr>
              <w:jc w:val="center"/>
            </w:pPr>
            <w:r>
              <w:t>21</w:t>
            </w:r>
          </w:p>
        </w:tc>
        <w:tc>
          <w:tcPr>
            <w:tcW w:type="dxa" w:w="8280"/>
          </w:tcPr>
          <w:p>
            <w:r>
              <w:t>Staff Profile</w:t>
            </w:r>
          </w:p>
        </w:tc>
      </w:tr>
      <w:tr>
        <w:tc>
          <w:tcPr>
            <w:tcW w:type="dxa" w:w="1080"/>
          </w:tcPr>
          <w:p>
            <w:pPr>
              <w:jc w:val="center"/>
            </w:pPr>
            <w:r>
              <w:t>22</w:t>
            </w:r>
          </w:p>
        </w:tc>
        <w:tc>
          <w:tcPr>
            <w:tcW w:type="dxa" w:w="8280"/>
          </w:tcPr>
          <w:p>
            <w:r>
              <w:t>Create Staff</w:t>
            </w:r>
          </w:p>
        </w:tc>
      </w:tr>
      <w:tr>
        <w:tc>
          <w:tcPr>
            <w:tcW w:type="dxa" w:w="1080"/>
          </w:tcPr>
          <w:p>
            <w:pPr>
              <w:jc w:val="center"/>
            </w:pPr>
            <w:r>
              <w:t>23</w:t>
            </w:r>
          </w:p>
        </w:tc>
        <w:tc>
          <w:tcPr>
            <w:tcW w:type="dxa" w:w="8280"/>
          </w:tcPr>
          <w:p>
            <w:r>
              <w:t>Edit Staff and Permissions</w:t>
            </w:r>
          </w:p>
        </w:tc>
      </w:tr>
      <w:tr>
        <w:tc>
          <w:tcPr>
            <w:tcW w:type="dxa" w:w="1080"/>
          </w:tcPr>
          <w:p>
            <w:pPr>
              <w:jc w:val="center"/>
            </w:pPr>
            <w:r>
              <w:t>24</w:t>
            </w:r>
          </w:p>
        </w:tc>
        <w:tc>
          <w:tcPr>
            <w:tcW w:type="dxa" w:w="8280"/>
          </w:tcPr>
          <w:p>
            <w:r>
              <w:t>Financial Intelligence and Reports</w:t>
            </w:r>
          </w:p>
        </w:tc>
      </w:tr>
      <w:tr>
        <w:tc>
          <w:tcPr>
            <w:tcW w:type="dxa" w:w="1080"/>
          </w:tcPr>
          <w:p>
            <w:pPr>
              <w:jc w:val="center"/>
            </w:pPr>
            <w:r>
              <w:t>25</w:t>
            </w:r>
          </w:p>
        </w:tc>
        <w:tc>
          <w:tcPr>
            <w:tcW w:type="dxa" w:w="8280"/>
          </w:tcPr>
          <w:p>
            <w:r>
              <w:t>Audit Logs</w:t>
            </w:r>
          </w:p>
        </w:tc>
      </w:tr>
      <w:tr>
        <w:tc>
          <w:tcPr>
            <w:tcW w:type="dxa" w:w="1080"/>
          </w:tcPr>
          <w:p>
            <w:pPr>
              <w:jc w:val="center"/>
            </w:pPr>
            <w:r>
              <w:t>26</w:t>
            </w:r>
          </w:p>
        </w:tc>
        <w:tc>
          <w:tcPr>
            <w:tcW w:type="dxa" w:w="8280"/>
          </w:tcPr>
          <w:p>
            <w:r>
              <w:t>My Profile</w:t>
            </w:r>
          </w:p>
        </w:tc>
      </w:tr>
      <w:tr>
        <w:tc>
          <w:tcPr>
            <w:tcW w:type="dxa" w:w="1080"/>
          </w:tcPr>
          <w:p>
            <w:pPr>
              <w:jc w:val="center"/>
            </w:pPr>
            <w:r>
              <w:t>27</w:t>
            </w:r>
          </w:p>
        </w:tc>
        <w:tc>
          <w:tcPr>
            <w:tcW w:type="dxa" w:w="8280"/>
          </w:tcPr>
          <w:p>
            <w:r>
              <w:t>Profile Change Approvals</w:t>
            </w:r>
          </w:p>
        </w:tc>
      </w:tr>
      <w:tr>
        <w:tc>
          <w:tcPr>
            <w:tcW w:type="dxa" w:w="1080"/>
          </w:tcPr>
          <w:p>
            <w:pPr>
              <w:jc w:val="center"/>
            </w:pPr>
            <w:r>
              <w:t>28</w:t>
            </w:r>
          </w:p>
        </w:tc>
        <w:tc>
          <w:tcPr>
            <w:tcW w:type="dxa" w:w="8280"/>
          </w:tcPr>
          <w:p>
            <w:r>
              <w:t>System Settings</w:t>
            </w:r>
          </w:p>
        </w:tc>
      </w:tr>
      <w:tr>
        <w:tc>
          <w:tcPr>
            <w:tcW w:type="dxa" w:w="1080"/>
          </w:tcPr>
          <w:p>
            <w:pPr>
              <w:jc w:val="center"/>
            </w:pPr>
            <w:r>
              <w:t>29</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receivables, product exposure, payroll, refunds, and projected profitability, with a weekly collections trend chart, an account status breakdown chart, and week-over-week up/down indicators on the KPI cards that support them. The Total Customers, Total Staff, New Accounts This Week, and Collected This Week cards (My Customers, Collected Today, and Collected This Week on the staff view) show an animated analog meter: a curved progress arc that sweeps from last week's position to this week's the moment the page loads.</w:t>
      </w:r>
    </w:p>
    <w:p>
      <w:pPr>
        <w:spacing w:after="200"/>
      </w:pPr>
      <w:r>
        <w:rPr>
          <w:b/>
          <w:color w:val="176B3A"/>
        </w:rPr>
        <w:t xml:space="preserve">How it is used: </w:t>
      </w:r>
      <w:r>
        <w:t>Use it as the daily starting point for assessing business position and identifying areas that need attention. Watch the animated meters: the arc visibly advancing means that figure grew since last week, and it visibly pulling back means it shrank; a small tick mark stays on the track afterward to show exactly where it started. A green up arrow means that figure grew since last week; a red down arrow means it shrank; figures without an arrow or a meter (account status counts, cash position) reflect the current moment rather than a week-over-week change.</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Identifies products that have crossed the configured collection threshold and may be ready for purchasing, and lets you confirm how many units you actually bought.</w:t>
      </w:r>
    </w:p>
    <w:p>
      <w:pPr>
        <w:spacing w:after="200"/>
      </w:pPr>
      <w:r>
        <w:rPr>
          <w:b/>
          <w:color w:val="176B3A"/>
        </w:rPr>
        <w:t xml:space="preserve">How it is used: </w:t>
      </w:r>
      <w:r>
        <w:t>Use it to prioritise procurement based on customer commitments and money already collected, then confirm the quantity procured so the list reflects what is still outstanding.</w:t>
      </w:r>
    </w:p>
    <w:p>
      <w:pPr>
        <w:keepLines/>
        <w:jc w:val="center"/>
      </w:pPr>
      <w:r>
        <w:drawing>
          <wp:inline xmlns:a="http://schemas.openxmlformats.org/drawingml/2006/main" xmlns:pic="http://schemas.openxmlformats.org/drawingml/2006/picture">
            <wp:extent cx="5669280" cy="4764101"/>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 plus the units already bought and awaiting delivery.</w:t>
      </w:r>
    </w:p>
    <w:p>
      <w:pPr>
        <w:spacing w:after="200"/>
      </w:pPr>
      <w:r>
        <w:rPr>
          <w:b/>
          <w:color w:val="176B3A"/>
        </w:rPr>
        <w:t xml:space="preserve">How it is used: </w:t>
      </w:r>
      <w:r>
        <w:t>Use it to validate quantities, collection progress, and the evidence behind a procurement decision, to confirm individual units, and to undo a confirmation entered in error.</w:t>
      </w:r>
    </w:p>
    <w:p>
      <w:pPr>
        <w:keepLines/>
        <w:jc w:val="center"/>
      </w:pPr>
      <w:r>
        <w:drawing>
          <wp:inline xmlns:a="http://schemas.openxmlformats.org/drawingml/2006/main" xmlns:pic="http://schemas.openxmlformats.org/drawingml/2006/picture">
            <wp:extent cx="5669280" cy="4764101"/>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0" name="Picture 20"/>
            <wp:cNvGraphicFramePr>
              <a:graphicFrameLocks noChangeAspect="1"/>
            </wp:cNvGraphicFramePr>
            <a:graphic>
              <a:graphicData uri="http://schemas.openxmlformats.org/drawingml/2006/picture">
                <pic:pic>
                  <pic:nvPicPr>
                    <pic:cNvPr id="0" name="09-staff.png"/>
                    <pic:cNvPicPr/>
                  </pic:nvPicPr>
                  <pic:blipFill>
                    <a:blip r:embed="rId3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20. Staff Management</w:t>
      </w:r>
    </w:p>
    <w:p>
      <w:r>
        <w:br w:type="page"/>
      </w:r>
    </w:p>
    <w:p>
      <w:pPr>
        <w:spacing w:after="40"/>
      </w:pPr>
      <w:r>
        <w:rPr>
          <w:b/>
          <w:color w:val="176B3A"/>
          <w:sz w:val="17"/>
        </w:rPr>
        <w:t>FEATURE 21</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1" name="Picture 21"/>
            <wp:cNvGraphicFramePr>
              <a:graphicFrameLocks noChangeAspect="1"/>
            </wp:cNvGraphicFramePr>
            <a:graphic>
              <a:graphicData uri="http://schemas.openxmlformats.org/drawingml/2006/picture">
                <pic:pic>
                  <pic:nvPicPr>
                    <pic:cNvPr id="0" name="27-staff-profile.png"/>
                    <pic:cNvPicPr/>
                  </pic:nvPicPr>
                  <pic:blipFill>
                    <a:blip r:embed="rId3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21. Staff Profile</w:t>
      </w:r>
    </w:p>
    <w:p>
      <w:r>
        <w:br w:type="page"/>
      </w:r>
    </w:p>
    <w:p>
      <w:pPr>
        <w:spacing w:after="40"/>
      </w:pPr>
      <w:r>
        <w:rPr>
          <w:b/>
          <w:color w:val="176B3A"/>
          <w:sz w:val="17"/>
        </w:rPr>
        <w:t>FEATURE 22</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18-create-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Create Staff</w:t>
      </w:r>
    </w:p>
    <w:p>
      <w:r>
        <w:br w:type="page"/>
      </w:r>
    </w:p>
    <w:p>
      <w:pPr>
        <w:spacing w:after="40"/>
      </w:pPr>
      <w:r>
        <w:rPr>
          <w:b/>
          <w:color w:val="176B3A"/>
          <w:sz w:val="17"/>
        </w:rPr>
        <w:t>FEATURE 23</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30-edit-staff.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Edit Staff and Permissions</w:t>
      </w:r>
    </w:p>
    <w:p>
      <w:r>
        <w:br w:type="page"/>
      </w:r>
    </w:p>
    <w:p>
      <w:pPr>
        <w:spacing w:after="40"/>
      </w:pPr>
      <w:r>
        <w:rPr>
          <w:b/>
          <w:color w:val="176B3A"/>
          <w:sz w:val="17"/>
        </w:rPr>
        <w:t>FEATURE 24</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w:t>
      </w:r>
    </w:p>
    <w:p>
      <w:pPr>
        <w:spacing w:after="200"/>
      </w:pPr>
      <w:r>
        <w:rPr>
          <w:b/>
          <w:color w:val="176B3A"/>
        </w:rPr>
        <w:t xml:space="preserve">How it is used: </w:t>
      </w:r>
      <w:r>
        <w:t>Use it for weekly control meetings, staff accountability, salary tracking, reconciliation, and management reporting.</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0-reports.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Financial Intelligence and Reports</w:t>
      </w:r>
    </w:p>
    <w:p>
      <w:r>
        <w:br w:type="page"/>
      </w:r>
    </w:p>
    <w:p>
      <w:pPr>
        <w:spacing w:after="40"/>
      </w:pPr>
      <w:r>
        <w:rPr>
          <w:b/>
          <w:color w:val="176B3A"/>
          <w:sz w:val="17"/>
        </w:rPr>
        <w:t>FEATURE 25</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11-audit-logs.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Audit Logs</w:t>
      </w:r>
    </w:p>
    <w:p>
      <w:r>
        <w:br w:type="page"/>
      </w:r>
    </w:p>
    <w:p>
      <w:pPr>
        <w:spacing w:after="40"/>
      </w:pPr>
      <w:r>
        <w:rPr>
          <w:b/>
          <w:color w:val="176B3A"/>
          <w:sz w:val="17"/>
        </w:rPr>
        <w:t>FEATURE 26</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2-profile.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My Profile</w:t>
      </w:r>
    </w:p>
    <w:p>
      <w:r>
        <w:br w:type="page"/>
      </w:r>
    </w:p>
    <w:p>
      <w:pPr>
        <w:spacing w:after="40"/>
      </w:pPr>
      <w:r>
        <w:rPr>
          <w:b/>
          <w:color w:val="176B3A"/>
          <w:sz w:val="17"/>
        </w:rPr>
        <w:t>FEATURE 27</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7" name="Picture 27"/>
            <wp:cNvGraphicFramePr>
              <a:graphicFrameLocks noChangeAspect="1"/>
            </wp:cNvGraphicFramePr>
            <a:graphic>
              <a:graphicData uri="http://schemas.openxmlformats.org/drawingml/2006/picture">
                <pic:pic>
                  <pic:nvPicPr>
                    <pic:cNvPr id="0" name="20-profile-approvals.png"/>
                    <pic:cNvPicPr/>
                  </pic:nvPicPr>
                  <pic:blipFill>
                    <a:blip r:embed="rId37"/>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27. Profile Change Approvals</w:t>
      </w:r>
    </w:p>
    <w:p>
      <w:r>
        <w:br w:type="page"/>
      </w:r>
    </w:p>
    <w:p>
      <w:pPr>
        <w:spacing w:after="40"/>
      </w:pPr>
      <w:r>
        <w:rPr>
          <w:b/>
          <w:color w:val="176B3A"/>
          <w:sz w:val="17"/>
        </w:rPr>
        <w:t>FEATURE 28</w:t>
      </w:r>
    </w:p>
    <w:p>
      <w:pPr>
        <w:pStyle w:val="Heading1"/>
        <w:spacing w:before="0"/>
      </w:pPr>
      <w:r>
        <w:t>System Settings</w:t>
      </w:r>
    </w:p>
    <w:p>
      <w:pPr>
        <w:spacing w:after="100"/>
      </w:pPr>
      <w:r>
        <w:rPr>
          <w:sz w:val="21"/>
        </w:rPr>
        <w:t>Centralises company identity, business rules, payroll, notifications, security, appearance, product categories, and data administration, organised as tabs across the top of the page.</w:t>
      </w:r>
    </w:p>
    <w:p>
      <w:pPr>
        <w:spacing w:after="200"/>
      </w:pPr>
      <w:r>
        <w:rPr>
          <w:b/>
          <w:color w:val="176B3A"/>
        </w:rPr>
        <w:t xml:space="preserve">How it is used: </w:t>
      </w:r>
      <w:r>
        <w:t>Use it for system-wide administration, including addressed Terms and Conditions. Each tab has its own Save button and saves only that tab, so finish one tab before moving to the next. Changes here can affect all users and workflows.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3-settings.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System Settings</w:t>
      </w:r>
    </w:p>
    <w:p>
      <w:r>
        <w:br w:type="page"/>
      </w:r>
    </w:p>
    <w:p>
      <w:pPr>
        <w:spacing w:after="40"/>
      </w:pPr>
      <w:r>
        <w:rPr>
          <w:b/>
          <w:color w:val="176B3A"/>
          <w:sz w:val="17"/>
        </w:rPr>
        <w:t>FEATURE 29</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1-import-recovery.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2"/>
      </w:pPr>
      <w:r>
        <w:t>Wait for the button to finish saving</w:t>
      </w:r>
    </w:p>
    <w:p>
      <w:r>
        <w:t>Every Save, Record, Approve, Reject, and Delete button shows a brief loading state and disables itself while GLV processes the request. Wait for that state to clear before moving on. Clicking the same button again while it is disabled does not start a second request, so it no longer creates duplicate payments, deposits, or other records.</w:t>
      </w:r>
    </w:p>
    <w:p>
      <w:pPr>
        <w:pStyle w:val="Heading2"/>
      </w:pPr>
      <w:r>
        <w:t>Confirm what you actually procured</w:t>
      </w:r>
    </w:p>
    <w:p>
      <w:r>
        <w:t>The procurement list shows the units that still need to be bought. After a buying trip, open the Procurement List tab, enter the number of units you actually bought for that product, and press Confirm procured. The list reduces by exactly that quantity, starting with the customers closest to finishing their plan, so a part purchase leaves the rest outstanding instead of clearing the whole product. If you bought a unit for one specific customer out of order, open the product from the procurement list and confirm that customer's unit on its own row. Confirming procurement is not the same as delivering: confirmed units move to Bought, awaiting delivery on the product page, and you still confirm delivery on the account when the customer receives the product. If you confirm the wrong quantity, use Undo on that page to put the unit back on the list.</w:t>
      </w:r>
    </w:p>
    <w:p>
      <w:pPr>
        <w:pStyle w:val="Heading2"/>
      </w:pPr>
      <w:r>
        <w:t>Deliver before full payment only for customers who have earned it</w:t>
      </w:r>
    </w:p>
    <w:p>
      <w:r>
        <w:t>Some long-standing customers receive their product before they finish paying. Only an Admin or Super Administrator can do this, from the account page, using Deliver with balance owing. GLV asks for a written reason and an explicit confirmation, and records how much was still owed at the moment of handover. The account stays open: the customer must keep paying until the balance reaches zero, and the outstanding amount stays visible on the accounts list, the customer profile and in reports. An account delivered this way shows a blue delivery badge instead of the green one, so anyone reviewing the records can see at a glance that money is still owed on a product the customer already has. Use this sparingly, for consistent and well-behaved customers, and never as a way to clear a slow-paying account.</w:t>
      </w:r>
    </w:p>
    <w:p>
      <w:pPr>
        <w:pStyle w:val="Heading2"/>
      </w:pPr>
      <w:r>
        <w:t>Save one settings tab at a time</w:t>
      </w:r>
    </w:p>
    <w:p>
      <w:r>
        <w:t>Settings is split into tabs: Company, Business Rules, Payroll, Notifications, Security, Appearance, Product Categories, and Data and System. Each tab has its own Save button and saves only the fields on that tab, so changes on one tab are never affected by another. Finish and save the tab you are on before switching. On a brand-new system, save Company Information first, because the company name and phone number are required before anything else can be stored. The System Notes fields on the Data and System tab are labels the operator maintains by hand; editing them records a note and does not change anything about the live database or storage.</w:t>
      </w:r>
    </w:p>
    <w:p>
      <w:pPr>
        <w:pStyle w:val="Heading2"/>
      </w:pPr>
      <w:r>
        <w:t>Read the dashboard trend arrows and meters correctly</w:t>
      </w:r>
    </w:p>
    <w:p>
      <w:r>
        <w:t>The Total Customers, Total Staff, New Accounts, and Collected This Week cards on the dashboard show a small arrow comparing this week to last week: a green up arrow is growth, a red down arrow is a decline, and a flat dash means no change. The same cards also show an animated meter that sweeps from last week's position to this week's when the page loads, with a tick mark left behind at last week's position. These week-over-week comparisons only appear on figures that can be safely measured over time; current-status figures such as Active Accounts, Overdue Accounts, and cash position are shown as a plain snapshot number without an arrow or meter because there is no historical status record to compare against.</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missed-payment reminder after fourteen full days without payment, which is two full weeks, then at most once per further two-week period. A newly entered payment, including a backdated one, restarts the interval. Completed, closed, cancelled, archived, suspended, dormant and probation accounts do not receive missed-payment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Customers with no payment receive no summary. The staff, customer and week key prevents duplicates if another deposit is recorded; a pending summary may be refreshed, but an accepted summary is never resent automatically.</w:t>
      </w:r>
    </w:p>
    <w:p>
      <w:r>
        <w:t>The weekly summary comes in two versions and GLV chooses the right one for each customer. A customer's expected weekly amount is the daily amount of every plan they are still paying on, multiplied by seven. If the customer paid that amount or more, GLV sends the encouraging version that congratulates them for meeting the target. If the customer paid less, GLV sends a different, respectful version that states the weekly target, states how much is still short, and asks the customer to contact their staff member to catch up. This means a customer who fell short is never congratulated for a good week. A customer with no plan currently being collected on counts as on target.</w:t>
      </w:r>
    </w:p>
    <w:p>
      <w:r>
        <w:t>Super administrators open Settings &gt; Notifications &gt; Open SMS settings and delivery to reach the dedicated SMS configuration and delivery page. It shows provider, API key status, approved sender, schedule and all the automatic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six messages: Salary payment, Customer welcome, 70 percent progress, Missed payment, Weekly summary - target met, and Weekly summary - below target. Each editor shows the placeholders allowed for that event and a sample preview. Both weekly messages can show the expected weekly amount; only the below-target message can show the shortfall.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w:t>
      </w:r>
    </w:p>
    <w:p>
      <w:r>
        <w:t>A customer or staff member with no phone number, or with a number GLV cannot read as a valid Ghana number, is skipped completely. No message is queued for them, no message is attempted, and no failed entry appears in the delivery list. So if an expected message is missing, check the phone number on the customer or staff record first rather than looking for a failure to retry. Correct the number and the next qualifying event will queue normally. If a number is removed after a message was already queued, GLV cancels that message instead of trying to send it.</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