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July 05,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status, balance, delivery status, payment entry, corrections, and lifecycle handling.</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w:t>
            </w:r>
          </w:p>
        </w:tc>
        <w:tc>
          <w:tcPr>
            <w:tcW w:w="5060" w:type="dxa"/>
            <w:vAlign w:val="top"/>
            <w:tcMar>
              <w:top w:w="80" w:type="dxa"/>
              <w:left w:w="120" w:type="dxa"/>
              <w:bottom w:w="80" w:type="dxa"/>
              <w:right w:w="120" w:type="dxa"/>
            </w:tcMar>
          </w:tcPr>
          <w:p>
            <w:pPr>
              <w:pStyle w:val="TableText"/>
            </w:pPr>
            <w:r>
              <w:t xml:space="preserve">Admin control panel for company, layaway, payroll, security, notifications,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and AI Support</w:t>
      </w:r>
    </w:p>
    <w:p>
      <w:pPr>
        <w:pStyle w:val="Normal"/>
      </w:pPr>
      <w:r>
        <w:t xml:space="preserve">Notifications are currently computed attention items, not persisted notification records. The live route checks procurement readiness for users with product-management access. The sidebar badge opens the relevant target and clears that exact notification locally; if the count or label changes later, it can show again.</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Stored; current live notification route is procurement attention.</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migrate deploy, prisma generate, next build.</w:t>
            </w:r>
          </w:p>
        </w:tc>
        <w:tc>
          <w:tcPr>
            <w:tcW w:w="4060" w:type="dxa"/>
            <w:vAlign w:val="top"/>
            <w:tcMar>
              <w:top w:w="80" w:type="dxa"/>
              <w:left w:w="120" w:type="dxa"/>
              <w:bottom w:w="80" w:type="dxa"/>
              <w:right w:w="120" w:type="dxa"/>
            </w:tcMar>
          </w:tcPr>
          <w:p>
            <w:pPr>
              <w:pStyle w:val="TableText"/>
            </w:pPr>
            <w:r>
              <w:t xml:space="preserve">Can fail when Neon is unreachable before code build starts.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to database.</w:t>
            </w:r>
          </w:p>
        </w:tc>
        <w:tc>
          <w:tcPr>
            <w:tcW w:w="4060" w:type="dxa"/>
            <w:vAlign w:val="top"/>
            <w:tcMar>
              <w:top w:w="80" w:type="dxa"/>
              <w:left w:w="120" w:type="dxa"/>
              <w:bottom w:w="80" w:type="dxa"/>
              <w:right w:w="120" w:type="dxa"/>
            </w:tcMar>
          </w:tcPr>
          <w:p>
            <w:pPr>
              <w:pStyle w:val="TableText"/>
            </w:pPr>
            <w:r>
              <w:t xml:space="preserve">Requires reachable DATABASE_URL.</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Neon connectivity.</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2026-07-05T23:19:43Z</dcterms:created>
  <dcterms:modified xsi:type="dcterms:W3CDTF">2026-07-05T23:19:43Z</dcterms:modified>
</cp:coreProperties>
</file>