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GLV Dashboard and Business Overview Figures Guide</w:t>
      </w:r>
    </w:p>
    <w:p>
      <w:r>
        <w:rPr>
          <w:b/>
          <w:sz w:val="26"/>
        </w:rPr>
        <w:t>A practical reference for understanding the figures shown to administrators and staff</w:t>
      </w:r>
    </w:p>
    <w:p>
      <w:r>
        <w:t>Prepared for God’s Love Ventures management and operations teams by Rock Frost Group</w:t>
      </w:r>
    </w:p>
    <w:p>
      <w:pPr>
        <w:jc w:val="center"/>
      </w:pPr>
      <w:r>
        <w:drawing>
          <wp:inline xmlns:a="http://schemas.openxmlformats.org/drawingml/2006/main" xmlns:pic="http://schemas.openxmlformats.org/drawingml/2006/picture">
            <wp:extent cx="6309360" cy="5301983"/>
            <wp:docPr id="1" name="Picture 1"/>
            <wp:cNvGraphicFramePr>
              <a:graphicFrameLocks noChangeAspect="1"/>
            </wp:cNvGraphicFramePr>
            <a:graphic>
              <a:graphicData uri="http://schemas.openxmlformats.org/drawingml/2006/picture">
                <pic:pic>
                  <pic:nvPicPr>
                    <pic:cNvPr id="0" name="01-dashboard.png"/>
                    <pic:cNvPicPr/>
                  </pic:nvPicPr>
                  <pic:blipFill>
                    <a:blip r:embed="rId11"/>
                    <a:stretch>
                      <a:fillRect/>
                    </a:stretch>
                  </pic:blipFill>
                  <pic:spPr>
                    <a:xfrm>
                      <a:off x="0" y="0"/>
                      <a:ext cx="6309360" cy="5301983"/>
                    </a:xfrm>
                    <a:prstGeom prst="rect"/>
                  </pic:spPr>
                </pic:pic>
              </a:graphicData>
            </a:graphic>
          </wp:inline>
        </w:drawing>
      </w:r>
    </w:p>
    <w:p>
      <w:pPr>
        <w:jc w:val="center"/>
      </w:pPr>
      <w:r>
        <w:rPr>
          <w:i/>
          <w:sz w:val="16"/>
        </w:rPr>
        <w:t>Administrator dashboard overview</w:t>
      </w:r>
    </w:p>
    <w:p>
      <w:r>
        <w:t>This guide explains what each figure represents, the records included in its calculation, and the management decision it supports. Dashboard values summarize records entered in GLV. If a payment, account status, product cost, salary, deposit, or refund is missing or incorrect, the related figure will also be incomplete or incorrect.</w:t>
      </w:r>
    </w:p>
    <w:p>
      <w:pPr>
        <w:pStyle w:val="Heading1"/>
        <w:keepNext/>
      </w:pPr>
      <w:r>
        <w:t>How to use the figures</w:t>
      </w:r>
    </w:p>
    <w:p>
      <w:r>
        <w:t>Use counts to monitor workload and account health. Use collection and receivable figures to understand customer cash flow. Use product cost, procurement, payroll, and profit figures together; no single card represents cash in the bank or final accounting profit. Currency figures use the system’s configured currency, normally Ghana cedis.</w:t>
      </w:r>
    </w:p>
    <w:p>
      <w:r>
        <w:t>Account cost means product cost price plus transport cost. Included accounts exclude cancelled and closed accounts unless a figure explicitly says otherwise. Archived accounts are included: an archived plan is a completed plan that was delivered and filed away two days later, so it is a finished sale. Earlier versions left archived plans out, which made expected profit fall and net profit so far rise by the product cost each time a plan archived. The salary due month is the previous calendar month, while current month payroll uses salaries effective in the current month.</w:t>
      </w:r>
    </w:p>
    <w:p>
      <w:pPr>
        <w:pStyle w:val="Heading1"/>
        <w:keepNext/>
      </w:pPr>
      <w:r>
        <w:t>Administrator dashboard figures</w:t>
      </w:r>
    </w:p>
    <w:tbl>
      <w:tblPr>
        <w:tblW w:type="auto" w:w="0"/>
        <w:jc w:val="center"/>
        <w:tblLayout w:type="fixed"/>
        <w:tblLook w:firstColumn="1" w:firstRow="1" w:lastColumn="0" w:lastRow="0" w:noHBand="0" w:noVBand="1" w:val="04A0"/>
      </w:tblPr>
      <w:tblGrid>
        <w:gridCol w:w="2556"/>
        <w:gridCol w:w="2556"/>
        <w:gridCol w:w="2556"/>
        <w:gridCol w:w="2556"/>
      </w:tblGrid>
      <w:tr>
        <w:trPr>
          <w:tblHeader/>
        </w:trPr>
        <w:tc>
          <w:tcPr>
            <w:tcW w:type="dxa" w:w="194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7"/>
              </w:rPr>
              <w:t>Figure</w:t>
            </w:r>
          </w:p>
        </w:tc>
        <w:tc>
          <w:tcPr>
            <w:tcW w:type="dxa" w:w="338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7"/>
              </w:rPr>
              <w:t>What it means</w:t>
            </w:r>
          </w:p>
        </w:tc>
        <w:tc>
          <w:tcPr>
            <w:tcW w:type="dxa" w:w="324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7"/>
              </w:rPr>
              <w:t>How GLV calculates it</w:t>
            </w:r>
          </w:p>
        </w:tc>
        <w:tc>
          <w:tcPr>
            <w:tcW w:type="dxa" w:w="165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7"/>
              </w:rPr>
              <w:t>How to read it</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Total Customers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All customer profiles in GLV.</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Count of customer records, whether or not each customer has an active plan.</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Size of the customer register.</w:t>
            </w:r>
          </w:p>
        </w:tc>
      </w:tr>
      <w:tr>
        <w:tc>
          <w:tcPr>
            <w:tcW w:type="dxa" w:w="194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Total Staff</w:t>
            </w:r>
          </w:p>
        </w:tc>
        <w:tc>
          <w:tcPr>
            <w:tcW w:type="dxa" w:w="338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All staff profiles in GLV.</w:t>
            </w:r>
          </w:p>
        </w:tc>
        <w:tc>
          <w:tcPr>
            <w:tcW w:type="dxa" w:w="3240"/>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Count of staff records, including active and inactive profiles.</w:t>
            </w:r>
          </w:p>
        </w:tc>
        <w:tc>
          <w:tcPr>
            <w:tcW w:type="dxa" w:w="1656"/>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Recorded workforce, not only active staff.</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Active Accounts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Plans currently collecting normally.</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Count of accounts whose effective lifecycle status is Active.</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Current collection workload.</w:t>
            </w:r>
          </w:p>
        </w:tc>
      </w:tr>
      <w:tr>
        <w:tc>
          <w:tcPr>
            <w:tcW w:type="dxa" w:w="194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Completed and Delivered</w:t>
            </w:r>
          </w:p>
        </w:tc>
        <w:tc>
          <w:tcPr>
            <w:tcW w:type="dxa" w:w="338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Plans fully completed and marked delivered.</w:t>
            </w:r>
          </w:p>
        </w:tc>
        <w:tc>
          <w:tcPr>
            <w:tcW w:type="dxa" w:w="3240"/>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Delivered accounts with Completed or Archived status.</w:t>
            </w:r>
          </w:p>
        </w:tc>
        <w:tc>
          <w:tcPr>
            <w:tcW w:type="dxa" w:w="1656"/>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Confirms fulfilment, not only payment completion.</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Paid, Awaiting Delivery</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Plans fully paid whose product has not been handed over.</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Accounts with Completed or Archived status, zero balance and delivery Pending. Opens the Awaiting delivery list.</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Delivery workload; should trend to zero.</w:t>
            </w:r>
          </w:p>
        </w:tc>
      </w:tr>
      <w:tr>
        <w:tc>
          <w:tcPr>
            <w:tcW w:type="dxa" w:w="194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Overdue Accounts</w:t>
            </w:r>
          </w:p>
        </w:tc>
        <w:tc>
          <w:tcPr>
            <w:tcW w:type="dxa" w:w="338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Plans past expected end date with balance remaining.</w:t>
            </w:r>
          </w:p>
        </w:tc>
        <w:tc>
          <w:tcPr>
            <w:tcW w:type="dxa" w:w="3240"/>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Count of accounts whose effective status is Overdue.</w:t>
            </w:r>
          </w:p>
        </w:tc>
        <w:tc>
          <w:tcPr>
            <w:tcW w:type="dxa" w:w="1656"/>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Requires collection follow-up.</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Open Credits or Refunds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Unused customer credit still owed or available.</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Sum of remaining amounts on Open customer-credit records.</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Customer value still to resolve.</w:t>
            </w:r>
          </w:p>
        </w:tc>
      </w:tr>
      <w:tr>
        <w:tc>
          <w:tcPr>
            <w:tcW w:type="dxa" w:w="194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Payments Collected</w:t>
            </w:r>
          </w:p>
        </w:tc>
        <w:tc>
          <w:tcPr>
            <w:tcW w:type="dxa" w:w="338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All recorded customer payments.</w:t>
            </w:r>
          </w:p>
        </w:tc>
        <w:tc>
          <w:tcPr>
            <w:tcW w:type="dxa" w:w="3240"/>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Sum of every Payment amount in the system.</w:t>
            </w:r>
          </w:p>
        </w:tc>
        <w:tc>
          <w:tcPr>
            <w:tcW w:type="dxa" w:w="1656"/>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Cumulative, not current-month collections.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Amount Deposited This Week</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Staff deposits entered for the current week.</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Sum of Staff Deposit amounts by deposit date for Monday through Sunday.</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Banked cash timing can differ from customer payment timing; this is not new revenue.</w:t>
            </w:r>
          </w:p>
        </w:tc>
      </w:tr>
      <w:tr>
        <w:tc>
          <w:tcPr>
            <w:tcW w:type="dxa" w:w="194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Expected Receivables</w:t>
            </w:r>
          </w:p>
        </w:tc>
        <w:tc>
          <w:tcPr>
            <w:tcW w:type="dxa" w:w="338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Balance expected from live plans.</w:t>
            </w:r>
          </w:p>
        </w:tc>
        <w:tc>
          <w:tcPr>
            <w:tcW w:type="dxa" w:w="3240"/>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Balances on Active and Overdue accounts.</w:t>
            </w:r>
          </w:p>
        </w:tc>
        <w:tc>
          <w:tcPr>
            <w:tcW w:type="dxa" w:w="1656"/>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Future collection focus.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Profit Estimate</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Expected gross profit across included plans.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Sum of target amount minus product and transport cost for each included account, archived plans included.</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Projection before payroll and other overheads.</w:t>
            </w:r>
          </w:p>
        </w:tc>
      </w:tr>
    </w:tbl>
    <w:p>
      <w:pPr>
        <w:spacing w:after="0"/>
      </w:pPr>
    </w:p>
    <w:p>
      <w:pPr>
        <w:pStyle w:val="Heading1"/>
        <w:keepNext/>
      </w:pPr>
      <w:r>
        <w:t>Dashboard gain and loss summary</w:t>
      </w:r>
    </w:p>
    <w:tbl>
      <w:tblPr>
        <w:tblW w:type="auto" w:w="0"/>
        <w:jc w:val="center"/>
        <w:tblLayout w:type="fixed"/>
        <w:tblLook w:firstColumn="1" w:firstRow="1" w:lastColumn="0" w:lastRow="0" w:noHBand="0" w:noVBand="1" w:val="04A0"/>
      </w:tblPr>
      <w:tblGrid>
        <w:gridCol w:w="2556"/>
        <w:gridCol w:w="2556"/>
        <w:gridCol w:w="2556"/>
        <w:gridCol w:w="2556"/>
      </w:tblGrid>
      <w:tr>
        <w:trPr>
          <w:tblHeader/>
        </w:trPr>
        <w:tc>
          <w:tcPr>
            <w:tcW w:type="dxa" w:w="194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7"/>
              </w:rPr>
              <w:t>Figure</w:t>
            </w:r>
          </w:p>
        </w:tc>
        <w:tc>
          <w:tcPr>
            <w:tcW w:type="dxa" w:w="338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7"/>
              </w:rPr>
              <w:t>What it means</w:t>
            </w:r>
          </w:p>
        </w:tc>
        <w:tc>
          <w:tcPr>
            <w:tcW w:type="dxa" w:w="324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7"/>
              </w:rPr>
              <w:t>How GLV calculates it</w:t>
            </w:r>
          </w:p>
        </w:tc>
        <w:tc>
          <w:tcPr>
            <w:tcW w:type="dxa" w:w="165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7"/>
              </w:rPr>
              <w:t>How to read it</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Total Product Exposure</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Capital cost committed to included plans.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Product cost plus transport cost for accounts not Cancelled or Closed, archived plans included.</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Capital tied to plans.</w:t>
            </w:r>
          </w:p>
        </w:tc>
      </w:tr>
      <w:tr>
        <w:tc>
          <w:tcPr>
            <w:tcW w:type="dxa" w:w="194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Procurement Due Now</w:t>
            </w:r>
          </w:p>
        </w:tc>
        <w:tc>
          <w:tcPr>
            <w:tcW w:type="dxa" w:w="338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Estimated cost of products ready to procure.</w:t>
            </w:r>
          </w:p>
        </w:tc>
        <w:tc>
          <w:tcPr>
            <w:tcW w:type="dxa" w:w="3240"/>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Total procurement-list cost for qualifying accounts.</w:t>
            </w:r>
          </w:p>
        </w:tc>
        <w:tc>
          <w:tcPr>
            <w:tcW w:type="dxa" w:w="1656"/>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Cash needed for current fulfilment.</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Cash After Procurement</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Collections left after procurement due.</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All payments collected minus Procurement Due Now.</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Negative means procurement is not covered.</w:t>
            </w:r>
          </w:p>
        </w:tc>
      </w:tr>
      <w:tr>
        <w:tc>
          <w:tcPr>
            <w:tcW w:type="dxa" w:w="194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Total Expected Profit</w:t>
            </w:r>
          </w:p>
        </w:tc>
        <w:tc>
          <w:tcPr>
            <w:tcW w:type="dxa" w:w="338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Projected gross profit on included plans.</w:t>
            </w:r>
          </w:p>
        </w:tc>
        <w:tc>
          <w:tcPr>
            <w:tcW w:type="dxa" w:w="3240"/>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Targets minus product and transport costs.</w:t>
            </w:r>
          </w:p>
        </w:tc>
        <w:tc>
          <w:tcPr>
            <w:tcW w:type="dxa" w:w="1656"/>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Compare with payroll and overheads.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Salary Paid for Due Month</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Payroll recorded against the previous salary month.</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Salary payments classified by salary month.</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Payment date can be in another month.</w:t>
            </w:r>
          </w:p>
        </w:tc>
      </w:tr>
      <w:tr>
        <w:tc>
          <w:tcPr>
            <w:tcW w:type="dxa" w:w="194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Current Month Payroll</w:t>
            </w:r>
          </w:p>
        </w:tc>
        <w:tc>
          <w:tcPr>
            <w:tcW w:type="dxa" w:w="338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Salary commitment for active staff this month.</w:t>
            </w:r>
          </w:p>
        </w:tc>
        <w:tc>
          <w:tcPr>
            <w:tcW w:type="dxa" w:w="3240"/>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Effective current-month salaries for active staff.</w:t>
            </w:r>
          </w:p>
        </w:tc>
        <w:tc>
          <w:tcPr>
            <w:tcW w:type="dxa" w:w="1656"/>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Expected current payroll obligation.</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Outstanding Salaries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Unpaid previous-month payroll.</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Due-month payroll minus paid due-month salary, never below zero.</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Zero means recorded due payroll is covered.</w:t>
            </w:r>
          </w:p>
        </w:tc>
      </w:tr>
      <w:tr>
        <w:tc>
          <w:tcPr>
            <w:tcW w:type="dxa" w:w="194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Payroll vs Income</w:t>
            </w:r>
          </w:p>
        </w:tc>
        <w:tc>
          <w:tcPr>
            <w:tcW w:type="dxa" w:w="338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Collections remaining after due-month salary payments.</w:t>
            </w:r>
          </w:p>
        </w:tc>
        <w:tc>
          <w:tcPr>
            <w:tcW w:type="dxa" w:w="3240"/>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All payments collected minus due-month salary paid.</w:t>
            </w:r>
          </w:p>
        </w:tc>
        <w:tc>
          <w:tcPr>
            <w:tcW w:type="dxa" w:w="1656"/>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Headroom, not net profit.</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Operating Cash Position</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Collections after procurement due and due-month payroll.</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Collections minus procurement due minus due-month salary paid.</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Negative means a recorded cash deficit.</w:t>
            </w:r>
          </w:p>
        </w:tc>
      </w:tr>
      <w:tr>
        <w:tc>
          <w:tcPr>
            <w:tcW w:type="dxa" w:w="194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Projected Net Profit</w:t>
            </w:r>
          </w:p>
        </w:tc>
        <w:tc>
          <w:tcPr>
            <w:tcW w:type="dxa" w:w="338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Expected profit after current-month payroll.</w:t>
            </w:r>
          </w:p>
        </w:tc>
        <w:tc>
          <w:tcPr>
            <w:tcW w:type="dxa" w:w="3240"/>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Total Expected Profit minus Current Month Payroll.</w:t>
            </w:r>
          </w:p>
        </w:tc>
        <w:tc>
          <w:tcPr>
            <w:tcW w:type="dxa" w:w="1656"/>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Excludes other unrecorded overheads.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Current Position</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Text status for operating cash.</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Cash Positive at zero or above; otherwise Cash Deficit.</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Quick present-position label.</w:t>
            </w:r>
          </w:p>
        </w:tc>
      </w:tr>
      <w:tr>
        <w:tc>
          <w:tcPr>
            <w:tcW w:type="dxa" w:w="194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Projection</w:t>
            </w:r>
          </w:p>
        </w:tc>
        <w:tc>
          <w:tcPr>
            <w:tcW w:type="dxa" w:w="338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Text status for projected net profit.</w:t>
            </w:r>
          </w:p>
        </w:tc>
        <w:tc>
          <w:tcPr>
            <w:tcW w:type="dxa" w:w="3240"/>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Projected Profit above zero, Projected Loss below zero, Break Even at zero.</w:t>
            </w:r>
          </w:p>
        </w:tc>
        <w:tc>
          <w:tcPr>
            <w:tcW w:type="dxa" w:w="1656"/>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Forward-looking label.</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Refund Items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Number of unresolved credit records.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Count of Open customer credits.</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Review until applied or refunded.</w:t>
            </w:r>
          </w:p>
        </w:tc>
      </w:tr>
      <w:tr>
        <w:tc>
          <w:tcPr>
            <w:tcW w:type="dxa" w:w="194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Closure Refunds</w:t>
            </w:r>
          </w:p>
        </w:tc>
        <w:tc>
          <w:tcPr>
            <w:tcW w:type="dxa" w:w="338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Open refunds created by account closure.</w:t>
            </w:r>
          </w:p>
        </w:tc>
        <w:tc>
          <w:tcPr>
            <w:tcW w:type="dxa" w:w="3240"/>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Open credits sourced from Account Closure Refund.</w:t>
            </w:r>
          </w:p>
        </w:tc>
        <w:tc>
          <w:tcPr>
            <w:tcW w:type="dxa" w:w="1656"/>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Closed-plan liabilities needing attention.</w:t>
            </w:r>
          </w:p>
        </w:tc>
      </w:tr>
    </w:tbl>
    <w:p>
      <w:pPr>
        <w:spacing w:after="0"/>
      </w:pPr>
    </w:p>
    <w:p>
      <w:pPr>
        <w:pStyle w:val="Heading1"/>
        <w:keepNext/>
      </w:pPr>
      <w:r>
        <w:t>Staff dashboard figures</w:t>
      </w:r>
    </w:p>
    <w:p>
      <w:r>
        <w:t>Staff users see only records assigned to their staff profile. Their figures do not represent the whole business.</w:t>
      </w:r>
    </w:p>
    <w:tbl>
      <w:tblPr>
        <w:tblW w:type="auto" w:w="0"/>
        <w:jc w:val="center"/>
        <w:tblLayout w:type="fixed"/>
        <w:tblLook w:firstColumn="1" w:firstRow="1" w:lastColumn="0" w:lastRow="0" w:noHBand="0" w:noVBand="1" w:val="04A0"/>
      </w:tblPr>
      <w:tblGrid>
        <w:gridCol w:w="2556"/>
        <w:gridCol w:w="2556"/>
        <w:gridCol w:w="2556"/>
        <w:gridCol w:w="2556"/>
      </w:tblGrid>
      <w:tr>
        <w:trPr>
          <w:tblHeader/>
        </w:trPr>
        <w:tc>
          <w:tcPr>
            <w:tcW w:type="dxa" w:w="194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7"/>
              </w:rPr>
              <w:t>Figure</w:t>
            </w:r>
          </w:p>
        </w:tc>
        <w:tc>
          <w:tcPr>
            <w:tcW w:type="dxa" w:w="338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7"/>
              </w:rPr>
              <w:t>What it means</w:t>
            </w:r>
          </w:p>
        </w:tc>
        <w:tc>
          <w:tcPr>
            <w:tcW w:type="dxa" w:w="324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7"/>
              </w:rPr>
              <w:t>How GLV calculates it</w:t>
            </w:r>
          </w:p>
        </w:tc>
        <w:tc>
          <w:tcPr>
            <w:tcW w:type="dxa" w:w="165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7"/>
              </w:rPr>
              <w:t>How to read it</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My Customers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Customers assigned to the signed-in staff member.</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Count of distinct assigned customer profiles.</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The staff member’s portfolio.</w:t>
            </w:r>
          </w:p>
        </w:tc>
      </w:tr>
      <w:tr>
        <w:tc>
          <w:tcPr>
            <w:tcW w:type="dxa" w:w="194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My Accounts</w:t>
            </w:r>
          </w:p>
        </w:tc>
        <w:tc>
          <w:tcPr>
            <w:tcW w:type="dxa" w:w="338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Plans belonging to assigned customers.</w:t>
            </w:r>
          </w:p>
        </w:tc>
        <w:tc>
          <w:tcPr>
            <w:tcW w:type="dxa" w:w="3240"/>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Count of assigned customer accounts across statuses.</w:t>
            </w:r>
          </w:p>
        </w:tc>
        <w:tc>
          <w:tcPr>
            <w:tcW w:type="dxa" w:w="1656"/>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One customer may have several accounts.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Active Accounts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Assigned plans currently active.</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Count with effective Active status.</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Immediate collection workload.</w:t>
            </w:r>
          </w:p>
        </w:tc>
      </w:tr>
      <w:tr>
        <w:tc>
          <w:tcPr>
            <w:tcW w:type="dxa" w:w="194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Payments Today</w:t>
            </w:r>
          </w:p>
        </w:tc>
        <w:tc>
          <w:tcPr>
            <w:tcW w:type="dxa" w:w="338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Payment entries recorded today.</w:t>
            </w:r>
          </w:p>
        </w:tc>
        <w:tc>
          <w:tcPr>
            <w:tcW w:type="dxa" w:w="3240"/>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Count of today’s qualifying payment records.</w:t>
            </w:r>
          </w:p>
        </w:tc>
        <w:tc>
          <w:tcPr>
            <w:tcW w:type="dxa" w:w="1656"/>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Transaction count, not value.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Collected Today</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Value collected today.</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Sum of today’s qualifying payment amounts.</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Compare with receipts and targets.</w:t>
            </w:r>
          </w:p>
        </w:tc>
      </w:tr>
      <w:tr>
        <w:tc>
          <w:tcPr>
            <w:tcW w:type="dxa" w:w="194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Collected This Week</w:t>
            </w:r>
          </w:p>
        </w:tc>
        <w:tc>
          <w:tcPr>
            <w:tcW w:type="dxa" w:w="338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Value collected this week.</w:t>
            </w:r>
          </w:p>
        </w:tc>
        <w:tc>
          <w:tcPr>
            <w:tcW w:type="dxa" w:w="3240"/>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Sum of qualifying payments in the current week.</w:t>
            </w:r>
          </w:p>
        </w:tc>
        <w:tc>
          <w:tcPr>
            <w:tcW w:type="dxa" w:w="1656"/>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Weekly collection performance.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My Deposits This Week</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Staff deposits recorded for the signed-in staff member.</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Sum of that staff member's Staff Deposit amounts by deposit date in the current week.</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Deposits are not customer collections; timing may differ.</w:t>
            </w:r>
          </w:p>
        </w:tc>
      </w:tr>
      <w:tr>
        <w:tc>
          <w:tcPr>
            <w:tcW w:type="dxa" w:w="194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Awaiting Delivery</w:t>
            </w:r>
          </w:p>
        </w:tc>
        <w:tc>
          <w:tcPr>
            <w:tcW w:type="dxa" w:w="338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Assigned plans paid off but not yet handed over.</w:t>
            </w:r>
          </w:p>
        </w:tc>
        <w:tc>
          <w:tcPr>
            <w:tcW w:type="dxa" w:w="3240"/>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Assigned accounts with Completed or Archived status, zero balance and delivery Pending.</w:t>
            </w:r>
          </w:p>
        </w:tc>
        <w:tc>
          <w:tcPr>
            <w:tcW w:type="dxa" w:w="1656"/>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Products to hand over; opens the list.</w:t>
            </w:r>
          </w:p>
        </w:tc>
      </w:tr>
    </w:tbl>
    <w:p>
      <w:pPr>
        <w:spacing w:after="0"/>
      </w:pPr>
    </w:p>
    <w:p>
      <w:pPr>
        <w:pStyle w:val="Heading1"/>
        <w:keepNext/>
      </w:pPr>
      <w:r>
        <w:t>Reports Business Overview</w:t>
      </w:r>
    </w:p>
    <w:p>
      <w:pPr>
        <w:jc w:val="center"/>
      </w:pPr>
      <w:r>
        <w:drawing>
          <wp:inline xmlns:a="http://schemas.openxmlformats.org/drawingml/2006/main" xmlns:pic="http://schemas.openxmlformats.org/drawingml/2006/picture">
            <wp:extent cx="6309360" cy="5301983"/>
            <wp:docPr id="2" name="Picture 2"/>
            <wp:cNvGraphicFramePr>
              <a:graphicFrameLocks noChangeAspect="1"/>
            </wp:cNvGraphicFramePr>
            <a:graphic>
              <a:graphicData uri="http://schemas.openxmlformats.org/drawingml/2006/picture">
                <pic:pic>
                  <pic:nvPicPr>
                    <pic:cNvPr id="0" name="10-reports.png"/>
                    <pic:cNvPicPr/>
                  </pic:nvPicPr>
                  <pic:blipFill>
                    <a:blip r:embed="rId12"/>
                    <a:stretch>
                      <a:fillRect/>
                    </a:stretch>
                  </pic:blipFill>
                  <pic:spPr>
                    <a:xfrm>
                      <a:off x="0" y="0"/>
                      <a:ext cx="6309360" cy="5301983"/>
                    </a:xfrm>
                    <a:prstGeom prst="rect"/>
                  </pic:spPr>
                </pic:pic>
              </a:graphicData>
            </a:graphic>
          </wp:inline>
        </w:drawing>
      </w:r>
    </w:p>
    <w:p>
      <w:pPr>
        <w:jc w:val="center"/>
      </w:pPr>
      <w:r>
        <w:rPr>
          <w:i/>
          <w:sz w:val="16"/>
        </w:rPr>
        <w:t>Reports page showing Business Overview and weekly reporting controls</w:t>
      </w:r>
    </w:p>
    <w:p>
      <w:r>
        <w:t>The Reports page combines lifetime, selected-week, current-month, and due-month measures. Read the period stated below before comparing cards.</w:t>
      </w:r>
    </w:p>
    <w:p>
      <w:r>
        <w:br w:type="page"/>
      </w:r>
    </w:p>
    <w:p>
      <w:pPr>
        <w:pStyle w:val="Heading1"/>
        <w:keepNext/>
      </w:pPr>
      <w:r>
        <w:t>Trend and breakdown charts</w:t>
      </w:r>
    </w:p>
    <w:p>
      <w:r>
        <w:t>Dashboard, Reports, Activity, and Business Management charts use curved trend lines for values over time, with a color key and accessible hover/focus details. Donut charts show category shares with a value and percentage key. Ranked dot plots compare staff and product values along a shared numeric scale. Collections and deposits are separate series because deposit dates may differ from customer payment dates. The Business Management cash movement chart compares recorded payments, salary payments, and operating expenses by calendar month; it is a cash movement view, not an accounting profit statement. Expense category shares use recorded expense dates in the current month.</w:t>
      </w:r>
    </w:p>
    <w:tbl>
      <w:tblPr>
        <w:tblW w:type="auto" w:w="0"/>
        <w:jc w:val="center"/>
        <w:tblLayout w:type="fixed"/>
        <w:tblLook w:firstColumn="1" w:firstRow="1" w:lastColumn="0" w:lastRow="0" w:noHBand="0" w:noVBand="1" w:val="04A0"/>
      </w:tblPr>
      <w:tblGrid>
        <w:gridCol w:w="2556"/>
        <w:gridCol w:w="2556"/>
        <w:gridCol w:w="2556"/>
        <w:gridCol w:w="2556"/>
      </w:tblGrid>
      <w:tr>
        <w:trPr>
          <w:tblHeader/>
        </w:trPr>
        <w:tc>
          <w:tcPr>
            <w:tcW w:type="dxa" w:w="194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7"/>
              </w:rPr>
              <w:t>Figure</w:t>
            </w:r>
          </w:p>
        </w:tc>
        <w:tc>
          <w:tcPr>
            <w:tcW w:type="dxa" w:w="338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7"/>
              </w:rPr>
              <w:t>What it means</w:t>
            </w:r>
          </w:p>
        </w:tc>
        <w:tc>
          <w:tcPr>
            <w:tcW w:type="dxa" w:w="324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7"/>
              </w:rPr>
              <w:t>How GLV calculates it</w:t>
            </w:r>
          </w:p>
        </w:tc>
        <w:tc>
          <w:tcPr>
            <w:tcW w:type="dxa" w:w="165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r>
              <w:rPr>
                <w:b/>
                <w:color w:val="FFFFFF"/>
                <w:sz w:val="17"/>
              </w:rPr>
              <w:t>How to read it</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Total Collected</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All customer payments recorded.</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Sum of all Payment amounts.</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Lifetime recorded collections.</w:t>
            </w:r>
          </w:p>
        </w:tc>
      </w:tr>
      <w:tr>
        <w:tc>
          <w:tcPr>
            <w:tcW w:type="dxa" w:w="194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Recorded This Week</w:t>
            </w:r>
          </w:p>
        </w:tc>
        <w:tc>
          <w:tcPr>
            <w:tcW w:type="dxa" w:w="338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Payments credited to staff activity for the selected week.</w:t>
            </w:r>
          </w:p>
        </w:tc>
        <w:tc>
          <w:tcPr>
            <w:tcW w:type="dxa" w:w="3240"/>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Weekly collection amounts across staff rows.</w:t>
            </w:r>
          </w:p>
        </w:tc>
        <w:tc>
          <w:tcPr>
            <w:tcW w:type="dxa" w:w="1656"/>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Compare with weekly deposits.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Deposited This Week</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Staff deposits entered for the selected week.</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Sum of Staff Deposit amounts dated in that week.</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Deposits, not customer payment entries.</w:t>
            </w:r>
          </w:p>
        </w:tc>
      </w:tr>
      <w:tr>
        <w:tc>
          <w:tcPr>
            <w:tcW w:type="dxa" w:w="194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Weekly Deposit Variance</w:t>
            </w:r>
          </w:p>
        </w:tc>
        <w:tc>
          <w:tcPr>
            <w:tcW w:type="dxa" w:w="338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Difference between deposits and collections.</w:t>
            </w:r>
          </w:p>
        </w:tc>
        <w:tc>
          <w:tcPr>
            <w:tcW w:type="dxa" w:w="3240"/>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Deposited This Week minus Recorded This Week.</w:t>
            </w:r>
          </w:p>
        </w:tc>
        <w:tc>
          <w:tcPr>
            <w:tcW w:type="dxa" w:w="1656"/>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Negative shortage; positive surplus; zero balanced.</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Outstanding Balance</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Balance on all included accounts.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Balances excluding Cancelled and Closed accounts. Archived plans owe nothing, so they add zero.</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Broader than Expected Receivables.</w:t>
            </w:r>
          </w:p>
        </w:tc>
      </w:tr>
      <w:tr>
        <w:tc>
          <w:tcPr>
            <w:tcW w:type="dxa" w:w="194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Expected Receivables</w:t>
            </w:r>
          </w:p>
        </w:tc>
        <w:tc>
          <w:tcPr>
            <w:tcW w:type="dxa" w:w="338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Balance on collectible live plans.</w:t>
            </w:r>
          </w:p>
        </w:tc>
        <w:tc>
          <w:tcPr>
            <w:tcW w:type="dxa" w:w="3240"/>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Balances on Active and Overdue accounts.</w:t>
            </w:r>
          </w:p>
        </w:tc>
        <w:tc>
          <w:tcPr>
            <w:tcW w:type="dxa" w:w="1656"/>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Expected future collections.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Owed on Delivered Goods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Balance still owed on products released before full payment.</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Balances on delivered-with-balance accounts that still owe money.</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Credit extended; watch it fall to zero.</w:t>
            </w:r>
          </w:p>
        </w:tc>
      </w:tr>
      <w:tr>
        <w:tc>
          <w:tcPr>
            <w:tcW w:type="dxa" w:w="194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Product Cost Exposure</w:t>
            </w:r>
          </w:p>
        </w:tc>
        <w:tc>
          <w:tcPr>
            <w:tcW w:type="dxa" w:w="338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Product and transport capital across included plans.</w:t>
            </w:r>
          </w:p>
        </w:tc>
        <w:tc>
          <w:tcPr>
            <w:tcW w:type="dxa" w:w="3240"/>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Product cost plus transport cost, excluding Cancelled and Closed accounts, archived plans included.</w:t>
            </w:r>
          </w:p>
        </w:tc>
        <w:tc>
          <w:tcPr>
            <w:tcW w:type="dxa" w:w="1656"/>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Recorded capital exposure.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Current Month Payroll</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Salary commitment for active staff this month.</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Effective current-month salaries for active staff.</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Paid and unpaid obligation.</w:t>
            </w:r>
          </w:p>
        </w:tc>
      </w:tr>
      <w:tr>
        <w:tc>
          <w:tcPr>
            <w:tcW w:type="dxa" w:w="194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Salary Paid for Due Month</w:t>
            </w:r>
          </w:p>
        </w:tc>
        <w:tc>
          <w:tcPr>
            <w:tcW w:type="dxa" w:w="338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Salary allocated to the previous month.</w:t>
            </w:r>
          </w:p>
        </w:tc>
        <w:tc>
          <w:tcPr>
            <w:tcW w:type="dxa" w:w="3240"/>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Sum by salary month, not payment date.</w:t>
            </w:r>
          </w:p>
        </w:tc>
        <w:tc>
          <w:tcPr>
            <w:tcW w:type="dxa" w:w="1656"/>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Use with Outstanding Salaries.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Outstanding Salaries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Previous-month payroll still unpaid.</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Due payroll minus paid due-month salary, floored at zero.</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Payroll arrears.</w:t>
            </w:r>
          </w:p>
        </w:tc>
      </w:tr>
      <w:tr>
        <w:tc>
          <w:tcPr>
            <w:tcW w:type="dxa" w:w="194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Payroll vs Income</w:t>
            </w:r>
          </w:p>
        </w:tc>
        <w:tc>
          <w:tcPr>
            <w:tcW w:type="dxa" w:w="338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Current-month collections after due-month salary paid.</w:t>
            </w:r>
          </w:p>
        </w:tc>
        <w:tc>
          <w:tcPr>
            <w:tcW w:type="dxa" w:w="3240"/>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Current-month payment income minus due-month salary paid.</w:t>
            </w:r>
          </w:p>
        </w:tc>
        <w:tc>
          <w:tcPr>
            <w:tcW w:type="dxa" w:w="1656"/>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Negative means payroll exceeds compared income.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Payroll % of Revenue</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Share of current-month income used for due-month salary.</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Due-month salary paid divided by current-month income times 100; zero if income is zero.</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Higher leaves less collection headroom.</w:t>
            </w:r>
          </w:p>
        </w:tc>
      </w:tr>
      <w:tr>
        <w:tc>
          <w:tcPr>
            <w:tcW w:type="dxa" w:w="194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Net Profit So Far</w:t>
            </w:r>
          </w:p>
        </w:tc>
        <w:tc>
          <w:tcPr>
            <w:tcW w:type="dxa" w:w="3384"/>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Collections after included product exposure and due-month salary.</w:t>
            </w:r>
          </w:p>
        </w:tc>
        <w:tc>
          <w:tcPr>
            <w:tcW w:type="dxa" w:w="3240"/>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Total Collected minus Product Cost Exposure minus Salary Paid for Due Month.</w:t>
            </w:r>
          </w:p>
        </w:tc>
        <w:tc>
          <w:tcPr>
            <w:tcW w:type="dxa" w:w="1656"/>
            <w:shd w:fill="F4F7FB"/>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Management estimate, not statutory profit.</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sz w:val="16"/>
              </w:rPr>
              <w:t>Projected Profit Loss or Break Even</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Expected profit after current-month payroll.</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Total Expected Profit minus Current Month Payroll; label follows its sign.</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b w:val="0"/>
                <w:sz w:val="16"/>
              </w:rPr>
              <w:t>Forward-looking result from current records.</w:t>
            </w:r>
          </w:p>
        </w:tc>
      </w:tr>
    </w:tbl>
    <w:p>
      <w:pPr>
        <w:spacing w:after="0"/>
      </w:pPr>
    </w:p>
    <w:p>
      <w:pPr>
        <w:pStyle w:val="Heading1"/>
        <w:keepNext/>
      </w:pPr>
      <w:r>
        <w:t>Common reasons a figure changes</w:t>
      </w:r>
    </w:p>
    <w:p>
      <w:pPr>
        <w:pStyle w:val="ListBullet"/>
      </w:pPr>
      <w:r>
        <w:t>Recording, editing, or deleting a customer payment changes collection, balance, receivable, variance, and profit-related views.</w:t>
      </w:r>
    </w:p>
    <w:p>
      <w:pPr>
        <w:pStyle w:val="ListBullet"/>
      </w:pPr>
      <w:r>
        <w:t>Changing account lifecycle or delivery status changes counts and may include or exclude its balance and cost. Archiving a delivered plan does not change any money figure.</w:t>
      </w:r>
    </w:p>
    <w:p>
      <w:pPr>
        <w:pStyle w:val="ListBullet"/>
      </w:pPr>
      <w:r>
        <w:t>Updating product cost price or transport cost changes exposure and expected profit.</w:t>
      </w:r>
    </w:p>
    <w:p>
      <w:pPr>
        <w:pStyle w:val="ListBullet"/>
      </w:pPr>
      <w:r>
        <w:t>Recording salary against a salary month changes due-month figures even when payment happens in another month.</w:t>
      </w:r>
    </w:p>
    <w:p>
      <w:pPr>
        <w:pStyle w:val="ListBullet"/>
      </w:pPr>
      <w:r>
        <w:t>Recording staff deposits changes Deposited This Week and weekly variance; it does not create a customer payment.</w:t>
      </w:r>
    </w:p>
    <w:p>
      <w:pPr>
        <w:pStyle w:val="ListBullet"/>
      </w:pPr>
      <w:r>
        <w:t>Changing an open credit to applied or refunded changes refund cards without changing payment history.</w:t>
      </w:r>
    </w:p>
    <w:p>
      <w:pPr>
        <w:pStyle w:val="Heading1"/>
        <w:keepNext/>
      </w:pPr>
      <w:r>
        <w:t>Checks before relying on the figures</w:t>
      </w:r>
    </w:p>
    <w:p>
      <w:r>
        <w:t>Confirm that payment dates and amounts match receipts, deposits use the correct week, salary payments use the correct salary month, product and transport costs are current, delivered products are marked delivered, and closed or cancelled accounts have been processed correctly. Investigate weekly shortages rather than carrying them forward without explanation.</w:t>
      </w:r>
    </w:p>
    <w:p>
      <w:r>
        <w:t>These figures support daily decisions. Formal financial statements still require complete expense records, bank reconciliation, inventory valuation, tax treatment, and accounting review beyond the operational calculations described here.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GLV Dashboard Figures Guide   •   Internal management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ROCK FROST GROUP  |  GLV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GLV Dashboard and Business Overview Figures Guide</dc:title>
  <dc:subject>Definitions and calculations for GLV management figures</dc:subject>
  <dc:creator>Rock Frost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