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jc w:val="center"/>
      </w:pPr>
      <w:r>
        <w:rPr>
          <w:b/>
          <w:color w:val="176B3A"/>
          <w:sz w:val="18"/>
        </w:rPr>
        <w:t>SYSTEM MANUAL • FEATURE GUIDE • TRAINING RESOURCE</w:t>
      </w:r>
    </w:p>
    <w:p>
      <w:pPr>
        <w:spacing w:before="320" w:after="160"/>
        <w:jc w:val="center"/>
      </w:pPr>
      <w:r>
        <w:rPr>
          <w:rFonts w:ascii="Calibri" w:hAnsi="Calibri"/>
          <w:b/>
          <w:color w:val="17351F"/>
          <w:sz w:val="60"/>
        </w:rPr>
        <w:t>GLV Management System</w:t>
      </w:r>
    </w:p>
    <w:p>
      <w:pPr>
        <w:spacing w:after="560"/>
        <w:jc w:val="center"/>
      </w:pPr>
      <w:r>
        <w:rPr>
          <w:color w:val="176B3A"/>
          <w:sz w:val="28"/>
        </w:rPr>
        <w:t>A visual guide to customer management, installment accounts, collections, procurement, staff control, reporting, and security</w:t>
      </w:r>
    </w:p>
    <w:tbl>
      <w:tblPr>
        <w:tblW w:type="auto" w:w="0"/>
        <w:tblLayout w:type="fixed"/>
        <w:tblLook w:firstColumn="1" w:firstRow="1" w:lastColumn="0" w:lastRow="0" w:noHBand="0" w:noVBand="1" w:val="04A0"/>
      </w:tblPr>
      <w:tblGrid>
        <w:gridCol w:w="3120"/>
        <w:gridCol w:w="3120"/>
        <w:gridCol w:w="3120"/>
      </w:tblGrid>
      <w:tr>
        <w:tc>
          <w:tcPr>
            <w:tcW w:type="dxa" w:w="3053"/>
            <w:shd w:fill="EFF9DD"/>
          </w:tcPr>
          <w:p>
            <w:pPr>
              <w:spacing w:before="160" w:after="160"/>
              <w:jc w:val="center"/>
            </w:pPr>
            <w:r>
              <w:rPr>
                <w:b/>
                <w:color w:val="176B3A"/>
                <w:sz w:val="18"/>
              </w:rPr>
              <w:t>OPERATIONS</w:t>
              <w:br/>
            </w:r>
            <w:r>
              <w:rPr>
                <w:color w:val="17351F"/>
                <w:sz w:val="17"/>
              </w:rPr>
              <w:t>Customers • Accounts • Payments</w:t>
            </w:r>
          </w:p>
        </w:tc>
        <w:tc>
          <w:tcPr>
            <w:tcW w:type="dxa" w:w="3053"/>
            <w:shd w:fill="EFF9DD"/>
          </w:tcPr>
          <w:p>
            <w:pPr>
              <w:spacing w:before="160" w:after="160"/>
              <w:jc w:val="center"/>
            </w:pPr>
            <w:r>
              <w:rPr>
                <w:b/>
                <w:color w:val="176B3A"/>
                <w:sz w:val="18"/>
              </w:rPr>
              <w:t>CONTROL</w:t>
              <w:br/>
            </w:r>
            <w:r>
              <w:rPr>
                <w:color w:val="17351F"/>
                <w:sz w:val="17"/>
              </w:rPr>
              <w:t>Audit • Permissions • Security</w:t>
            </w:r>
          </w:p>
        </w:tc>
        <w:tc>
          <w:tcPr>
            <w:tcW w:type="dxa" w:w="3053"/>
            <w:shd w:fill="EFF9DD"/>
          </w:tcPr>
          <w:p>
            <w:pPr>
              <w:spacing w:before="160" w:after="160"/>
              <w:jc w:val="center"/>
            </w:pPr>
            <w:r>
              <w:rPr>
                <w:b/>
                <w:color w:val="176B3A"/>
                <w:sz w:val="18"/>
              </w:rPr>
              <w:t>INTELLIGENCE</w:t>
              <w:br/>
            </w:r>
            <w:r>
              <w:rPr>
                <w:color w:val="17351F"/>
                <w:sz w:val="17"/>
              </w:rPr>
              <w:t>Reports • Deposits • Profitability</w:t>
            </w:r>
          </w:p>
        </w:tc>
      </w:tr>
    </w:tbl>
    <w:p>
      <w:pPr>
        <w:spacing w:before="840"/>
        <w:jc w:val="center"/>
      </w:pPr>
      <w:r>
        <w:rPr>
          <w:b/>
        </w:rPr>
        <w:t>Prepared for God's Love Ventures</w:t>
        <w:br/>
      </w:r>
      <w:r>
        <w:rPr>
          <w:color w:val="5C6C62"/>
          <w:sz w:val="19"/>
        </w:rPr>
        <w:t>Training, onboarding, demonstrations, and feature communication</w:t>
      </w:r>
    </w:p>
    <w:p>
      <w:r>
        <w:br w:type="page"/>
      </w:r>
    </w:p>
    <w:p>
      <w:pPr>
        <w:pStyle w:val="Heading1"/>
      </w:pPr>
      <w:r>
        <w:t>How to Use This Guide</w:t>
      </w:r>
    </w:p>
    <w:p>
      <w:r>
        <w:t>This guide explains what each major GLV Management System screen does, how it supports daily operations, and where it fits into management control. Screenshots were captured from the live system in read-only fashion; no form was submitted and no business record was created, changed, approved, or deleted.</w:t>
      </w:r>
    </w:p>
    <w:tbl>
      <w:tblPr>
        <w:tblW w:type="auto" w:w="0"/>
        <w:tblLayout w:type="fixed"/>
        <w:tblLook w:firstColumn="1" w:firstRow="1" w:lastColumn="0" w:lastRow="0" w:noHBand="0" w:noVBand="1" w:val="04A0"/>
      </w:tblPr>
      <w:tblGrid>
        <w:gridCol w:w="9360"/>
      </w:tblGrid>
      <w:tr>
        <w:tc>
          <w:tcPr>
            <w:tcW w:type="dxa" w:w="9360"/>
            <w:shd w:fill="FFF4E5"/>
          </w:tcPr>
          <w:p>
            <w:pPr>
              <w:spacing w:before="140" w:after="140"/>
            </w:pPr>
            <w:r>
              <w:rPr>
                <w:b/>
                <w:color w:val="991B1B"/>
              </w:rPr>
              <w:t xml:space="preserve">Privacy note: </w:t>
            </w:r>
            <w:r>
              <w:t>Some screenshots contain live operational names and figures. Before using this guide in public advertising, replace or anonymise sensitive customer, staff, receipt, and financial information.</w:t>
            </w:r>
          </w:p>
        </w:tc>
      </w:tr>
    </w:tbl>
    <w:p>
      <w:pPr>
        <w:pStyle w:val="Heading2"/>
      </w:pPr>
      <w:r>
        <w:t>Core Business Flow</w:t>
      </w:r>
    </w:p>
    <w:p>
      <w:r>
        <w:t>Products define the commercial terms. Staff are assigned customers. Customers receive one or more product accounts. Payments reduce account balances and create receipts. A payment that settles the remaining amount sets the balance to zero and completes the account, including when only a tiny decimal-rounding residue remains. Lifecycle refresh also corrects existing sub-cent rounding residue to zero. Completed accounts move into delivery control and are archived two days after delivery; an archived plan still counts as a completed sale. Collections feed reports, procurement readiness, payroll analysis, deposits, reconciliation, credits, and audits.</w:t>
      </w:r>
    </w:p>
    <w:p>
      <w:pPr>
        <w:pStyle w:val="Heading2"/>
      </w:pPr>
      <w:r>
        <w:t>Guide Contents</w:t>
      </w:r>
    </w:p>
    <w:tbl>
      <w:tblPr>
        <w:tblW w:type="auto" w:w="0"/>
        <w:tblLayout w:type="fixed"/>
        <w:tblLook w:firstColumn="1" w:firstRow="1" w:lastColumn="0" w:lastRow="0" w:noHBand="0" w:noVBand="1" w:val="04A0"/>
      </w:tblPr>
      <w:tblGrid>
        <w:gridCol w:w="1080"/>
        <w:gridCol w:w="8280"/>
      </w:tblGrid>
      <w:tr>
        <w:trPr>
          <w:tblHeader w:val="true"/>
        </w:trPr>
        <w:tc>
          <w:tcPr>
            <w:tcW w:type="dxa" w:w="4680"/>
            <w:shd w:fill="DDEBC0"/>
          </w:tcPr>
          <w:p>
            <w:r>
              <w:rPr>
                <w:b/>
                <w:color w:val="17351F"/>
              </w:rPr>
              <w:t>No.</w:t>
            </w:r>
          </w:p>
        </w:tc>
        <w:tc>
          <w:tcPr>
            <w:tcW w:type="dxa" w:w="4680"/>
            <w:shd w:fill="DDEBC0"/>
          </w:tcPr>
          <w:p>
            <w:r>
              <w:rPr>
                <w:b/>
                <w:color w:val="17351F"/>
              </w:rPr>
              <w:t>Screen / capability</w:t>
            </w:r>
          </w:p>
        </w:tc>
      </w:tr>
      <w:tr>
        <w:tc>
          <w:tcPr>
            <w:tcW w:type="dxa" w:w="1080"/>
          </w:tcPr>
          <w:p>
            <w:pPr>
              <w:jc w:val="center"/>
            </w:pPr>
            <w:r>
              <w:t>1</w:t>
            </w:r>
          </w:p>
        </w:tc>
        <w:tc>
          <w:tcPr>
            <w:tcW w:type="dxa" w:w="8280"/>
          </w:tcPr>
          <w:p>
            <w:r>
              <w:t>Business Dashboard</w:t>
            </w:r>
          </w:p>
        </w:tc>
      </w:tr>
      <w:tr>
        <w:tc>
          <w:tcPr>
            <w:tcW w:type="dxa" w:w="1080"/>
          </w:tcPr>
          <w:p>
            <w:pPr>
              <w:jc w:val="center"/>
            </w:pPr>
            <w:r>
              <w:t>2</w:t>
            </w:r>
          </w:p>
        </w:tc>
        <w:tc>
          <w:tcPr>
            <w:tcW w:type="dxa" w:w="8280"/>
          </w:tcPr>
          <w:p>
            <w:r>
              <w:t>Activity Monitoring</w:t>
            </w:r>
          </w:p>
        </w:tc>
      </w:tr>
      <w:tr>
        <w:tc>
          <w:tcPr>
            <w:tcW w:type="dxa" w:w="1080"/>
          </w:tcPr>
          <w:p>
            <w:pPr>
              <w:jc w:val="center"/>
            </w:pPr>
            <w:r>
              <w:t>3</w:t>
            </w:r>
          </w:p>
        </w:tc>
        <w:tc>
          <w:tcPr>
            <w:tcW w:type="dxa" w:w="8280"/>
          </w:tcPr>
          <w:p>
            <w:r>
              <w:t>Customer Directory</w:t>
            </w:r>
          </w:p>
        </w:tc>
      </w:tr>
      <w:tr>
        <w:tc>
          <w:tcPr>
            <w:tcW w:type="dxa" w:w="1080"/>
          </w:tcPr>
          <w:p>
            <w:pPr>
              <w:jc w:val="center"/>
            </w:pPr>
            <w:r>
              <w:t>4</w:t>
            </w:r>
          </w:p>
        </w:tc>
        <w:tc>
          <w:tcPr>
            <w:tcW w:type="dxa" w:w="8280"/>
          </w:tcPr>
          <w:p>
            <w:r>
              <w:t>Customer Profile</w:t>
            </w:r>
          </w:p>
        </w:tc>
      </w:tr>
      <w:tr>
        <w:tc>
          <w:tcPr>
            <w:tcW w:type="dxa" w:w="1080"/>
          </w:tcPr>
          <w:p>
            <w:pPr>
              <w:jc w:val="center"/>
            </w:pPr>
            <w:r>
              <w:t>5</w:t>
            </w:r>
          </w:p>
        </w:tc>
        <w:tc>
          <w:tcPr>
            <w:tcW w:type="dxa" w:w="8280"/>
          </w:tcPr>
          <w:p>
            <w:r>
              <w:t>Create Customer</w:t>
            </w:r>
          </w:p>
        </w:tc>
      </w:tr>
      <w:tr>
        <w:tc>
          <w:tcPr>
            <w:tcW w:type="dxa" w:w="1080"/>
          </w:tcPr>
          <w:p>
            <w:pPr>
              <w:jc w:val="center"/>
            </w:pPr>
            <w:r>
              <w:t>6</w:t>
            </w:r>
          </w:p>
        </w:tc>
        <w:tc>
          <w:tcPr>
            <w:tcW w:type="dxa" w:w="8280"/>
          </w:tcPr>
          <w:p>
            <w:r>
              <w:t>Edit Customer</w:t>
            </w:r>
          </w:p>
        </w:tc>
      </w:tr>
      <w:tr>
        <w:tc>
          <w:tcPr>
            <w:tcW w:type="dxa" w:w="1080"/>
          </w:tcPr>
          <w:p>
            <w:pPr>
              <w:jc w:val="center"/>
            </w:pPr>
            <w:r>
              <w:t>7</w:t>
            </w:r>
          </w:p>
        </w:tc>
        <w:tc>
          <w:tcPr>
            <w:tcW w:type="dxa" w:w="8280"/>
          </w:tcPr>
          <w:p>
            <w:r>
              <w:t>Account Management</w:t>
            </w:r>
          </w:p>
        </w:tc>
      </w:tr>
      <w:tr>
        <w:tc>
          <w:tcPr>
            <w:tcW w:type="dxa" w:w="1080"/>
          </w:tcPr>
          <w:p>
            <w:pPr>
              <w:jc w:val="center"/>
            </w:pPr>
            <w:r>
              <w:t>8</w:t>
            </w:r>
          </w:p>
        </w:tc>
        <w:tc>
          <w:tcPr>
            <w:tcW w:type="dxa" w:w="8280"/>
          </w:tcPr>
          <w:p>
            <w:r>
              <w:t>Account Details</w:t>
            </w:r>
          </w:p>
        </w:tc>
      </w:tr>
      <w:tr>
        <w:tc>
          <w:tcPr>
            <w:tcW w:type="dxa" w:w="1080"/>
          </w:tcPr>
          <w:p>
            <w:pPr>
              <w:jc w:val="center"/>
            </w:pPr>
            <w:r>
              <w:t>9</w:t>
            </w:r>
          </w:p>
        </w:tc>
        <w:tc>
          <w:tcPr>
            <w:tcW w:type="dxa" w:w="8280"/>
          </w:tcPr>
          <w:p>
            <w:r>
              <w:t>Create Customer Account</w:t>
            </w:r>
          </w:p>
        </w:tc>
      </w:tr>
      <w:tr>
        <w:tc>
          <w:tcPr>
            <w:tcW w:type="dxa" w:w="1080"/>
          </w:tcPr>
          <w:p>
            <w:pPr>
              <w:jc w:val="center"/>
            </w:pPr>
            <w:r>
              <w:t>10</w:t>
            </w:r>
          </w:p>
        </w:tc>
        <w:tc>
          <w:tcPr>
            <w:tcW w:type="dxa" w:w="8280"/>
          </w:tcPr>
          <w:p>
            <w:r>
              <w:t>Payments Ledger</w:t>
            </w:r>
          </w:p>
        </w:tc>
      </w:tr>
      <w:tr>
        <w:tc>
          <w:tcPr>
            <w:tcW w:type="dxa" w:w="1080"/>
          </w:tcPr>
          <w:p>
            <w:pPr>
              <w:jc w:val="center"/>
            </w:pPr>
            <w:r>
              <w:t>11</w:t>
            </w:r>
          </w:p>
        </w:tc>
        <w:tc>
          <w:tcPr>
            <w:tcW w:type="dxa" w:w="8280"/>
          </w:tcPr>
          <w:p>
            <w:r>
              <w:t>Payment Recording Popup</w:t>
            </w:r>
          </w:p>
        </w:tc>
      </w:tr>
      <w:tr>
        <w:tc>
          <w:tcPr>
            <w:tcW w:type="dxa" w:w="1080"/>
          </w:tcPr>
          <w:p>
            <w:pPr>
              <w:jc w:val="center"/>
            </w:pPr>
            <w:r>
              <w:t>12</w:t>
            </w:r>
          </w:p>
        </w:tc>
        <w:tc>
          <w:tcPr>
            <w:tcW w:type="dxa" w:w="8280"/>
          </w:tcPr>
          <w:p>
            <w:r>
              <w:t>Full Payment Form</w:t>
            </w:r>
          </w:p>
        </w:tc>
      </w:tr>
      <w:tr>
        <w:tc>
          <w:tcPr>
            <w:tcW w:type="dxa" w:w="1080"/>
          </w:tcPr>
          <w:p>
            <w:pPr>
              <w:jc w:val="center"/>
            </w:pPr>
            <w:r>
              <w:t>13</w:t>
            </w:r>
          </w:p>
        </w:tc>
        <w:tc>
          <w:tcPr>
            <w:tcW w:type="dxa" w:w="8280"/>
          </w:tcPr>
          <w:p>
            <w:r>
              <w:t>Credits and Refunds</w:t>
            </w:r>
          </w:p>
        </w:tc>
      </w:tr>
      <w:tr>
        <w:tc>
          <w:tcPr>
            <w:tcW w:type="dxa" w:w="1080"/>
          </w:tcPr>
          <w:p>
            <w:pPr>
              <w:jc w:val="center"/>
            </w:pPr>
            <w:r>
              <w:t>14</w:t>
            </w:r>
          </w:p>
        </w:tc>
        <w:tc>
          <w:tcPr>
            <w:tcW w:type="dxa" w:w="8280"/>
          </w:tcPr>
          <w:p>
            <w:r>
              <w:t>Product Catalogue</w:t>
            </w:r>
          </w:p>
        </w:tc>
      </w:tr>
      <w:tr>
        <w:tc>
          <w:tcPr>
            <w:tcW w:type="dxa" w:w="1080"/>
          </w:tcPr>
          <w:p>
            <w:pPr>
              <w:jc w:val="center"/>
            </w:pPr>
            <w:r>
              <w:t>15</w:t>
            </w:r>
          </w:p>
        </w:tc>
        <w:tc>
          <w:tcPr>
            <w:tcW w:type="dxa" w:w="8280"/>
          </w:tcPr>
          <w:p>
            <w:r>
              <w:t>Product Details</w:t>
            </w:r>
          </w:p>
        </w:tc>
      </w:tr>
      <w:tr>
        <w:tc>
          <w:tcPr>
            <w:tcW w:type="dxa" w:w="1080"/>
          </w:tcPr>
          <w:p>
            <w:pPr>
              <w:jc w:val="center"/>
            </w:pPr>
            <w:r>
              <w:t>16</w:t>
            </w:r>
          </w:p>
        </w:tc>
        <w:tc>
          <w:tcPr>
            <w:tcW w:type="dxa" w:w="8280"/>
          </w:tcPr>
          <w:p>
            <w:r>
              <w:t>Create Product</w:t>
            </w:r>
          </w:p>
        </w:tc>
      </w:tr>
      <w:tr>
        <w:tc>
          <w:tcPr>
            <w:tcW w:type="dxa" w:w="1080"/>
          </w:tcPr>
          <w:p>
            <w:pPr>
              <w:jc w:val="center"/>
            </w:pPr>
            <w:r>
              <w:t>17</w:t>
            </w:r>
          </w:p>
        </w:tc>
        <w:tc>
          <w:tcPr>
            <w:tcW w:type="dxa" w:w="8280"/>
          </w:tcPr>
          <w:p>
            <w:r>
              <w:t>Edit Product</w:t>
            </w:r>
          </w:p>
        </w:tc>
      </w:tr>
      <w:tr>
        <w:tc>
          <w:tcPr>
            <w:tcW w:type="dxa" w:w="1080"/>
          </w:tcPr>
          <w:p>
            <w:pPr>
              <w:jc w:val="center"/>
            </w:pPr>
            <w:r>
              <w:t>18</w:t>
            </w:r>
          </w:p>
        </w:tc>
        <w:tc>
          <w:tcPr>
            <w:tcW w:type="dxa" w:w="8280"/>
          </w:tcPr>
          <w:p>
            <w:r>
              <w:t>Procurement Overview</w:t>
            </w:r>
          </w:p>
        </w:tc>
      </w:tr>
      <w:tr>
        <w:tc>
          <w:tcPr>
            <w:tcW w:type="dxa" w:w="1080"/>
          </w:tcPr>
          <w:p>
            <w:pPr>
              <w:jc w:val="center"/>
            </w:pPr>
            <w:r>
              <w:t>19</w:t>
            </w:r>
          </w:p>
        </w:tc>
        <w:tc>
          <w:tcPr>
            <w:tcW w:type="dxa" w:w="8280"/>
          </w:tcPr>
          <w:p>
            <w:r>
              <w:t>Procurement Details</w:t>
            </w:r>
          </w:p>
        </w:tc>
      </w:tr>
      <w:tr>
        <w:tc>
          <w:tcPr>
            <w:tcW w:type="dxa" w:w="1080"/>
          </w:tcPr>
          <w:p>
            <w:pPr>
              <w:jc w:val="center"/>
            </w:pPr>
            <w:r>
              <w:t>20</w:t>
            </w:r>
          </w:p>
        </w:tc>
        <w:tc>
          <w:tcPr>
            <w:tcW w:type="dxa" w:w="8280"/>
          </w:tcPr>
          <w:p>
            <w:r>
              <w:t>Inventory</w:t>
            </w:r>
          </w:p>
        </w:tc>
      </w:tr>
      <w:tr>
        <w:tc>
          <w:tcPr>
            <w:tcW w:type="dxa" w:w="1080"/>
          </w:tcPr>
          <w:p>
            <w:pPr>
              <w:jc w:val="center"/>
            </w:pPr>
            <w:r>
              <w:t>21</w:t>
            </w:r>
          </w:p>
        </w:tc>
        <w:tc>
          <w:tcPr>
            <w:tcW w:type="dxa" w:w="8280"/>
          </w:tcPr>
          <w:p>
            <w:r>
              <w:t>Inventory Movements</w:t>
            </w:r>
          </w:p>
        </w:tc>
      </w:tr>
      <w:tr>
        <w:tc>
          <w:tcPr>
            <w:tcW w:type="dxa" w:w="1080"/>
          </w:tcPr>
          <w:p>
            <w:pPr>
              <w:jc w:val="center"/>
            </w:pPr>
            <w:r>
              <w:t>22</w:t>
            </w:r>
          </w:p>
        </w:tc>
        <w:tc>
          <w:tcPr>
            <w:tcW w:type="dxa" w:w="8280"/>
          </w:tcPr>
          <w:p>
            <w:r>
              <w:t>Staff Management</w:t>
            </w:r>
          </w:p>
        </w:tc>
      </w:tr>
      <w:tr>
        <w:tc>
          <w:tcPr>
            <w:tcW w:type="dxa" w:w="1080"/>
          </w:tcPr>
          <w:p>
            <w:pPr>
              <w:jc w:val="center"/>
            </w:pPr>
            <w:r>
              <w:t>23</w:t>
            </w:r>
          </w:p>
        </w:tc>
        <w:tc>
          <w:tcPr>
            <w:tcW w:type="dxa" w:w="8280"/>
          </w:tcPr>
          <w:p>
            <w:r>
              <w:t>Staff Profile</w:t>
            </w:r>
          </w:p>
        </w:tc>
      </w:tr>
      <w:tr>
        <w:tc>
          <w:tcPr>
            <w:tcW w:type="dxa" w:w="1080"/>
          </w:tcPr>
          <w:p>
            <w:pPr>
              <w:jc w:val="center"/>
            </w:pPr>
            <w:r>
              <w:t>24</w:t>
            </w:r>
          </w:p>
        </w:tc>
        <w:tc>
          <w:tcPr>
            <w:tcW w:type="dxa" w:w="8280"/>
          </w:tcPr>
          <w:p>
            <w:r>
              <w:t>Create Staff</w:t>
            </w:r>
          </w:p>
        </w:tc>
      </w:tr>
      <w:tr>
        <w:tc>
          <w:tcPr>
            <w:tcW w:type="dxa" w:w="1080"/>
          </w:tcPr>
          <w:p>
            <w:pPr>
              <w:jc w:val="center"/>
            </w:pPr>
            <w:r>
              <w:t>25</w:t>
            </w:r>
          </w:p>
        </w:tc>
        <w:tc>
          <w:tcPr>
            <w:tcW w:type="dxa" w:w="8280"/>
          </w:tcPr>
          <w:p>
            <w:r>
              <w:t>Edit Staff and Permissions</w:t>
            </w:r>
          </w:p>
        </w:tc>
      </w:tr>
      <w:tr>
        <w:tc>
          <w:tcPr>
            <w:tcW w:type="dxa" w:w="1080"/>
          </w:tcPr>
          <w:p>
            <w:pPr>
              <w:jc w:val="center"/>
            </w:pPr>
            <w:r>
              <w:t>26</w:t>
            </w:r>
          </w:p>
        </w:tc>
        <w:tc>
          <w:tcPr>
            <w:tcW w:type="dxa" w:w="8280"/>
          </w:tcPr>
          <w:p>
            <w:r>
              <w:t>Financial Intelligence and Reports</w:t>
            </w:r>
          </w:p>
        </w:tc>
      </w:tr>
      <w:tr>
        <w:tc>
          <w:tcPr>
            <w:tcW w:type="dxa" w:w="1080"/>
          </w:tcPr>
          <w:p>
            <w:pPr>
              <w:jc w:val="center"/>
            </w:pPr>
            <w:r>
              <w:t>27</w:t>
            </w:r>
          </w:p>
        </w:tc>
        <w:tc>
          <w:tcPr>
            <w:tcW w:type="dxa" w:w="8280"/>
          </w:tcPr>
          <w:p>
            <w:r>
              <w:t>Audit Logs</w:t>
            </w:r>
          </w:p>
        </w:tc>
      </w:tr>
      <w:tr>
        <w:tc>
          <w:tcPr>
            <w:tcW w:type="dxa" w:w="1080"/>
          </w:tcPr>
          <w:p>
            <w:pPr>
              <w:jc w:val="center"/>
            </w:pPr>
            <w:r>
              <w:t>28</w:t>
            </w:r>
          </w:p>
        </w:tc>
        <w:tc>
          <w:tcPr>
            <w:tcW w:type="dxa" w:w="8280"/>
          </w:tcPr>
          <w:p>
            <w:r>
              <w:t>My Profile</w:t>
            </w:r>
          </w:p>
        </w:tc>
      </w:tr>
      <w:tr>
        <w:tc>
          <w:tcPr>
            <w:tcW w:type="dxa" w:w="1080"/>
          </w:tcPr>
          <w:p>
            <w:pPr>
              <w:jc w:val="center"/>
            </w:pPr>
            <w:r>
              <w:t>29</w:t>
            </w:r>
          </w:p>
        </w:tc>
        <w:tc>
          <w:tcPr>
            <w:tcW w:type="dxa" w:w="8280"/>
          </w:tcPr>
          <w:p>
            <w:r>
              <w:t>Profile Change Approvals</w:t>
            </w:r>
          </w:p>
        </w:tc>
      </w:tr>
      <w:tr>
        <w:tc>
          <w:tcPr>
            <w:tcW w:type="dxa" w:w="1080"/>
          </w:tcPr>
          <w:p>
            <w:pPr>
              <w:jc w:val="center"/>
            </w:pPr>
            <w:r>
              <w:t>30</w:t>
            </w:r>
          </w:p>
        </w:tc>
        <w:tc>
          <w:tcPr>
            <w:tcW w:type="dxa" w:w="8280"/>
          </w:tcPr>
          <w:p>
            <w:r>
              <w:t>System Settings</w:t>
            </w:r>
          </w:p>
        </w:tc>
      </w:tr>
      <w:tr>
        <w:tc>
          <w:tcPr>
            <w:tcW w:type="dxa" w:w="1080"/>
          </w:tcPr>
          <w:p>
            <w:pPr>
              <w:jc w:val="center"/>
            </w:pPr>
            <w:r>
              <w:t>31</w:t>
            </w:r>
          </w:p>
        </w:tc>
        <w:tc>
          <w:tcPr>
            <w:tcW w:type="dxa" w:w="8280"/>
          </w:tcPr>
          <w:p>
            <w:r>
              <w:t>Weekly Report Import and Recovery</w:t>
            </w:r>
          </w:p>
        </w:tc>
      </w:tr>
    </w:tbl>
    <w:p>
      <w:r>
        <w:br w:type="page"/>
      </w:r>
    </w:p>
    <w:p>
      <w:pPr>
        <w:spacing w:after="40"/>
      </w:pPr>
      <w:r>
        <w:rPr>
          <w:b/>
          <w:color w:val="176B3A"/>
          <w:sz w:val="17"/>
        </w:rPr>
        <w:t>FEATURE 01</w:t>
      </w:r>
    </w:p>
    <w:p>
      <w:pPr>
        <w:pStyle w:val="Heading1"/>
        <w:spacing w:before="0"/>
      </w:pPr>
      <w:r>
        <w:t>Business Dashboard</w:t>
      </w:r>
    </w:p>
    <w:p>
      <w:pPr>
        <w:spacing w:after="100"/>
      </w:pPr>
      <w:r>
        <w:rPr>
          <w:sz w:val="21"/>
        </w:rPr>
        <w:t>Provides an executive view of customers, staff, accounts, collections, deposits, receivables, product exposure, payroll, refunds, and projected profitability. Compact administrator KPI cards precede curved weekly lines comparing customer collections with staff deposits and a keyed donut showing account status shares. Staff see scoped KPI indicators and their own deposit trend.</w:t>
      </w:r>
    </w:p>
    <w:p>
      <w:pPr>
        <w:spacing w:after="200"/>
      </w:pPr>
      <w:r>
        <w:rPr>
          <w:b/>
          <w:color w:val="176B3A"/>
        </w:rPr>
        <w:t xml:space="preserve">How it is used: </w:t>
      </w:r>
      <w:r>
        <w:t>Use it as the daily starting point for assessing business position and identifying areas that need attention. Read the chart keys to distinguish customer payments from staff deposits: deposit timing can differ and deposits are not new revenue. Administrator KPI cards show current values; use the trend charts for period comparisons. Staff indicators compare dated values where reliable historical records exist.</w:t>
      </w:r>
    </w:p>
    <w:p>
      <w:pPr>
        <w:keepLines/>
        <w:jc w:val="center"/>
      </w:pPr>
      <w:r>
        <w:drawing>
          <wp:inline xmlns:a="http://schemas.openxmlformats.org/drawingml/2006/main" xmlns:pic="http://schemas.openxmlformats.org/drawingml/2006/picture">
            <wp:extent cx="5669280" cy="4764101"/>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 Business Dashboard</w:t>
      </w:r>
    </w:p>
    <w:p>
      <w:r>
        <w:br w:type="page"/>
      </w:r>
    </w:p>
    <w:p>
      <w:pPr>
        <w:spacing w:after="40"/>
      </w:pPr>
      <w:r>
        <w:rPr>
          <w:b/>
          <w:color w:val="176B3A"/>
          <w:sz w:val="17"/>
        </w:rPr>
        <w:t>FEATURE 02</w:t>
      </w:r>
    </w:p>
    <w:p>
      <w:pPr>
        <w:pStyle w:val="Heading1"/>
        <w:spacing w:before="0"/>
      </w:pPr>
      <w:r>
        <w:t>Activity Monitoring</w:t>
      </w:r>
    </w:p>
    <w:p>
      <w:pPr>
        <w:spacing w:after="100"/>
      </w:pPr>
      <w:r>
        <w:rPr>
          <w:sz w:val="21"/>
        </w:rPr>
        <w:t>Summarises recent customer, account, and payment activity so administrators can see what changed and when.</w:t>
      </w:r>
    </w:p>
    <w:p>
      <w:pPr>
        <w:spacing w:after="200"/>
      </w:pPr>
      <w:r>
        <w:rPr>
          <w:b/>
          <w:color w:val="176B3A"/>
        </w:rPr>
        <w:t xml:space="preserve">How it is used: </w:t>
      </w:r>
      <w:r>
        <w:t>Use it for operational awareness, follow-up, and quick investigation of newly recorded work.</w:t>
      </w:r>
    </w:p>
    <w:p>
      <w:pPr>
        <w:keepLines/>
        <w:jc w:val="center"/>
      </w:pPr>
      <w:r>
        <w:drawing>
          <wp:inline xmlns:a="http://schemas.openxmlformats.org/drawingml/2006/main" xmlns:pic="http://schemas.openxmlformats.org/drawingml/2006/picture">
            <wp:extent cx="5669280" cy="4764101"/>
            <wp:docPr id="2" name="Picture 2"/>
            <wp:cNvGraphicFramePr>
              <a:graphicFrameLocks noChangeAspect="1"/>
            </wp:cNvGraphicFramePr>
            <a:graphic>
              <a:graphicData uri="http://schemas.openxmlformats.org/drawingml/2006/picture">
                <pic:pic>
                  <pic:nvPicPr>
                    <pic:cNvPr id="0" name="02-activity.png"/>
                    <pic:cNvPicPr/>
                  </pic:nvPicPr>
                  <pic:blipFill>
                    <a:blip r:embed="rId12"/>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 Activity Monitoring</w:t>
      </w:r>
    </w:p>
    <w:p>
      <w:r>
        <w:br w:type="page"/>
      </w:r>
    </w:p>
    <w:p>
      <w:pPr>
        <w:spacing w:after="40"/>
      </w:pPr>
      <w:r>
        <w:rPr>
          <w:b/>
          <w:color w:val="176B3A"/>
          <w:sz w:val="17"/>
        </w:rPr>
        <w:t>FEATURE 03</w:t>
      </w:r>
    </w:p>
    <w:p>
      <w:pPr>
        <w:pStyle w:val="Heading1"/>
        <w:spacing w:before="0"/>
      </w:pPr>
      <w:r>
        <w:t>Customer Directory</w:t>
      </w:r>
    </w:p>
    <w:p>
      <w:pPr>
        <w:spacing w:after="100"/>
      </w:pPr>
      <w:r>
        <w:rPr>
          <w:sz w:val="21"/>
        </w:rPr>
        <w:t>Centralises customer records with search, sorting, assignment, account counts, and quick access to customer actions.</w:t>
      </w:r>
    </w:p>
    <w:p>
      <w:pPr>
        <w:spacing w:after="200"/>
      </w:pPr>
      <w:r>
        <w:rPr>
          <w:b/>
          <w:color w:val="176B3A"/>
        </w:rPr>
        <w:t xml:space="preserve">How it is used: </w:t>
      </w:r>
      <w:r>
        <w:t>Use it to locate customers, review ownership, open profiles, create accounts, and manage assignments.</w:t>
      </w:r>
    </w:p>
    <w:p>
      <w:pPr>
        <w:keepLines/>
        <w:jc w:val="center"/>
      </w:pPr>
      <w:r>
        <w:drawing>
          <wp:inline xmlns:a="http://schemas.openxmlformats.org/drawingml/2006/main" xmlns:pic="http://schemas.openxmlformats.org/drawingml/2006/picture">
            <wp:extent cx="5669280" cy="4764101"/>
            <wp:docPr id="3" name="Picture 3"/>
            <wp:cNvGraphicFramePr>
              <a:graphicFrameLocks noChangeAspect="1"/>
            </wp:cNvGraphicFramePr>
            <a:graphic>
              <a:graphicData uri="http://schemas.openxmlformats.org/drawingml/2006/picture">
                <pic:pic>
                  <pic:nvPicPr>
                    <pic:cNvPr id="0" name="03-customers.png"/>
                    <pic:cNvPicPr/>
                  </pic:nvPicPr>
                  <pic:blipFill>
                    <a:blip r:embed="rId13"/>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3. Customer Directory</w:t>
      </w:r>
    </w:p>
    <w:p>
      <w:r>
        <w:br w:type="page"/>
      </w:r>
    </w:p>
    <w:p>
      <w:pPr>
        <w:spacing w:after="40"/>
      </w:pPr>
      <w:r>
        <w:rPr>
          <w:b/>
          <w:color w:val="176B3A"/>
          <w:sz w:val="17"/>
        </w:rPr>
        <w:t>FEATURE 04</w:t>
      </w:r>
    </w:p>
    <w:p>
      <w:pPr>
        <w:pStyle w:val="Heading1"/>
        <w:spacing w:before="0"/>
      </w:pPr>
      <w:r>
        <w:t>Customer Profile</w:t>
      </w:r>
    </w:p>
    <w:p>
      <w:pPr>
        <w:spacing w:after="100"/>
      </w:pPr>
      <w:r>
        <w:rPr>
          <w:sz w:val="21"/>
        </w:rPr>
        <w:t>Combines customer identity, assigned staff, accounts, payment progress, credits, delivery status, and account actions in one profile.</w:t>
      </w:r>
    </w:p>
    <w:p>
      <w:pPr>
        <w:spacing w:after="200"/>
      </w:pPr>
      <w:r>
        <w:rPr>
          <w:b/>
          <w:color w:val="176B3A"/>
        </w:rPr>
        <w:t xml:space="preserve">How it is used: </w:t>
      </w:r>
      <w:r>
        <w:t>Use it when assisting a specific customer or reviewing the customer’s complete relationship with GLV.</w:t>
      </w:r>
    </w:p>
    <w:p>
      <w:pPr>
        <w:keepLines/>
        <w:jc w:val="center"/>
      </w:pPr>
      <w:r>
        <w:drawing>
          <wp:inline xmlns:a="http://schemas.openxmlformats.org/drawingml/2006/main" xmlns:pic="http://schemas.openxmlformats.org/drawingml/2006/picture">
            <wp:extent cx="5669280" cy="4764101"/>
            <wp:docPr id="4" name="Picture 4"/>
            <wp:cNvGraphicFramePr>
              <a:graphicFrameLocks noChangeAspect="1"/>
            </wp:cNvGraphicFramePr>
            <a:graphic>
              <a:graphicData uri="http://schemas.openxmlformats.org/drawingml/2006/picture">
                <pic:pic>
                  <pic:nvPicPr>
                    <pic:cNvPr id="0" name="24-customer-profile.png"/>
                    <pic:cNvPicPr/>
                  </pic:nvPicPr>
                  <pic:blipFill>
                    <a:blip r:embed="rId14"/>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4. Customer Profile</w:t>
      </w:r>
    </w:p>
    <w:p>
      <w:r>
        <w:br w:type="page"/>
      </w:r>
    </w:p>
    <w:p>
      <w:pPr>
        <w:spacing w:after="40"/>
      </w:pPr>
      <w:r>
        <w:rPr>
          <w:b/>
          <w:color w:val="176B3A"/>
          <w:sz w:val="17"/>
        </w:rPr>
        <w:t>FEATURE 05</w:t>
      </w:r>
    </w:p>
    <w:p>
      <w:pPr>
        <w:pStyle w:val="Heading1"/>
        <w:spacing w:before="0"/>
      </w:pPr>
      <w:r>
        <w:t>Create Customer</w:t>
      </w:r>
    </w:p>
    <w:p>
      <w:pPr>
        <w:spacing w:after="100"/>
      </w:pPr>
      <w:r>
        <w:rPr>
          <w:sz w:val="21"/>
        </w:rPr>
        <w:t>Captures the information required to register a customer and assign responsibility to a staff member.</w:t>
      </w:r>
    </w:p>
    <w:p>
      <w:pPr>
        <w:spacing w:after="200"/>
      </w:pPr>
      <w:r>
        <w:rPr>
          <w:b/>
          <w:color w:val="176B3A"/>
        </w:rPr>
        <w:t xml:space="preserve">How it is used: </w:t>
      </w:r>
      <w:r>
        <w:t>Use it for onboarding. Required information and access rules help keep customer records consistent.</w:t>
      </w:r>
    </w:p>
    <w:p>
      <w:pPr>
        <w:keepLines/>
        <w:jc w:val="center"/>
      </w:pPr>
      <w:r>
        <w:drawing>
          <wp:inline xmlns:a="http://schemas.openxmlformats.org/drawingml/2006/main" xmlns:pic="http://schemas.openxmlformats.org/drawingml/2006/picture">
            <wp:extent cx="5669280" cy="4764101"/>
            <wp:docPr id="5" name="Picture 5"/>
            <wp:cNvGraphicFramePr>
              <a:graphicFrameLocks noChangeAspect="1"/>
            </wp:cNvGraphicFramePr>
            <a:graphic>
              <a:graphicData uri="http://schemas.openxmlformats.org/drawingml/2006/picture">
                <pic:pic>
                  <pic:nvPicPr>
                    <pic:cNvPr id="0" name="14-create-customer.png"/>
                    <pic:cNvPicPr/>
                  </pic:nvPicPr>
                  <pic:blipFill>
                    <a:blip r:embed="rId15"/>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5. Create Customer</w:t>
      </w:r>
    </w:p>
    <w:p>
      <w:r>
        <w:br w:type="page"/>
      </w:r>
    </w:p>
    <w:p>
      <w:pPr>
        <w:spacing w:after="40"/>
      </w:pPr>
      <w:r>
        <w:rPr>
          <w:b/>
          <w:color w:val="176B3A"/>
          <w:sz w:val="17"/>
        </w:rPr>
        <w:t>FEATURE 06</w:t>
      </w:r>
    </w:p>
    <w:p>
      <w:pPr>
        <w:pStyle w:val="Heading1"/>
        <w:spacing w:before="0"/>
      </w:pPr>
      <w:r>
        <w:t>Edit Customer</w:t>
      </w:r>
    </w:p>
    <w:p>
      <w:pPr>
        <w:spacing w:after="100"/>
      </w:pPr>
      <w:r>
        <w:rPr>
          <w:sz w:val="21"/>
        </w:rPr>
        <w:t>Allows authorised users to correct or update customer information without recreating the record.</w:t>
      </w:r>
    </w:p>
    <w:p>
      <w:pPr>
        <w:spacing w:after="200"/>
      </w:pPr>
      <w:r>
        <w:rPr>
          <w:b/>
          <w:color w:val="176B3A"/>
        </w:rPr>
        <w:t xml:space="preserve">How it is used: </w:t>
      </w:r>
      <w:r>
        <w:t>Use it when contact, address, identity, or assignment information changes.</w:t>
      </w:r>
    </w:p>
    <w:p>
      <w:pPr>
        <w:keepLines/>
        <w:jc w:val="center"/>
      </w:pPr>
      <w:r>
        <w:drawing>
          <wp:inline xmlns:a="http://schemas.openxmlformats.org/drawingml/2006/main" xmlns:pic="http://schemas.openxmlformats.org/drawingml/2006/picture">
            <wp:extent cx="5669280" cy="4764101"/>
            <wp:docPr id="6" name="Picture 6"/>
            <wp:cNvGraphicFramePr>
              <a:graphicFrameLocks noChangeAspect="1"/>
            </wp:cNvGraphicFramePr>
            <a:graphic>
              <a:graphicData uri="http://schemas.openxmlformats.org/drawingml/2006/picture">
                <pic:pic>
                  <pic:nvPicPr>
                    <pic:cNvPr id="0" name="28-edit-customer.png"/>
                    <pic:cNvPicPr/>
                  </pic:nvPicPr>
                  <pic:blipFill>
                    <a:blip r:embed="rId16"/>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6. Edit Customer</w:t>
      </w:r>
    </w:p>
    <w:p>
      <w:r>
        <w:br w:type="page"/>
      </w:r>
    </w:p>
    <w:p>
      <w:pPr>
        <w:spacing w:after="40"/>
      </w:pPr>
      <w:r>
        <w:rPr>
          <w:b/>
          <w:color w:val="176B3A"/>
          <w:sz w:val="17"/>
        </w:rPr>
        <w:t>FEATURE 07</w:t>
      </w:r>
    </w:p>
    <w:p>
      <w:pPr>
        <w:pStyle w:val="Heading1"/>
        <w:spacing w:before="0"/>
      </w:pPr>
      <w:r>
        <w:t>Account Management</w:t>
      </w:r>
    </w:p>
    <w:p>
      <w:pPr>
        <w:spacing w:after="100"/>
      </w:pPr>
      <w:r>
        <w:rPr>
          <w:sz w:val="21"/>
        </w:rPr>
        <w:t>Lists customer product accounts with balances, progress, lifecycle status, delivery state, filters, and payment shortcuts.</w:t>
      </w:r>
    </w:p>
    <w:p>
      <w:pPr>
        <w:spacing w:after="200"/>
      </w:pPr>
      <w:r>
        <w:rPr>
          <w:b/>
          <w:color w:val="176B3A"/>
        </w:rPr>
        <w:t xml:space="preserve">How it is used: </w:t>
      </w:r>
      <w:r>
        <w:t>Use it to monitor active agreements, overdue exposure, completed accounts, and account-level actions.</w:t>
      </w:r>
    </w:p>
    <w:p>
      <w:pPr>
        <w:keepLines/>
        <w:jc w:val="center"/>
      </w:pPr>
      <w:r>
        <w:drawing>
          <wp:inline xmlns:a="http://schemas.openxmlformats.org/drawingml/2006/main" xmlns:pic="http://schemas.openxmlformats.org/drawingml/2006/picture">
            <wp:extent cx="5669280" cy="4764101"/>
            <wp:docPr id="7" name="Picture 7"/>
            <wp:cNvGraphicFramePr>
              <a:graphicFrameLocks noChangeAspect="1"/>
            </wp:cNvGraphicFramePr>
            <a:graphic>
              <a:graphicData uri="http://schemas.openxmlformats.org/drawingml/2006/picture">
                <pic:pic>
                  <pic:nvPicPr>
                    <pic:cNvPr id="0" name="04-accounts.png"/>
                    <pic:cNvPicPr/>
                  </pic:nvPicPr>
                  <pic:blipFill>
                    <a:blip r:embed="rId17"/>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7. Account Management</w:t>
      </w:r>
    </w:p>
    <w:p>
      <w:r>
        <w:br w:type="page"/>
      </w:r>
    </w:p>
    <w:p>
      <w:pPr>
        <w:spacing w:after="40"/>
      </w:pPr>
      <w:r>
        <w:rPr>
          <w:b/>
          <w:color w:val="176B3A"/>
          <w:sz w:val="17"/>
        </w:rPr>
        <w:t>FEATURE 08</w:t>
      </w:r>
    </w:p>
    <w:p>
      <w:pPr>
        <w:pStyle w:val="Heading1"/>
        <w:spacing w:before="0"/>
      </w:pPr>
      <w:r>
        <w:t>Account Details</w:t>
      </w:r>
    </w:p>
    <w:p>
      <w:pPr>
        <w:spacing w:after="100"/>
      </w:pPr>
      <w:r>
        <w:rPr>
          <w:sz w:val="21"/>
        </w:rPr>
        <w:t>Shows the complete financial and operational history of a single product account, including payments, balance, delivery, credits, and lifecycle controls.</w:t>
      </w:r>
    </w:p>
    <w:p>
      <w:pPr>
        <w:spacing w:after="200"/>
      </w:pPr>
      <w:r>
        <w:rPr>
          <w:b/>
          <w:color w:val="176B3A"/>
        </w:rPr>
        <w:t xml:space="preserve">How it is used: </w:t>
      </w:r>
      <w:r>
        <w:t>Use it to answer account-specific questions and verify the evidence behind the current balance.</w:t>
      </w:r>
    </w:p>
    <w:p>
      <w:pPr>
        <w:keepLines/>
        <w:jc w:val="center"/>
      </w:pPr>
      <w:r>
        <w:drawing>
          <wp:inline xmlns:a="http://schemas.openxmlformats.org/drawingml/2006/main" xmlns:pic="http://schemas.openxmlformats.org/drawingml/2006/picture">
            <wp:extent cx="5669280" cy="4764101"/>
            <wp:docPr id="8" name="Picture 8"/>
            <wp:cNvGraphicFramePr>
              <a:graphicFrameLocks noChangeAspect="1"/>
            </wp:cNvGraphicFramePr>
            <a:graphic>
              <a:graphicData uri="http://schemas.openxmlformats.org/drawingml/2006/picture">
                <pic:pic>
                  <pic:nvPicPr>
                    <pic:cNvPr id="0" name="25-account-details.png"/>
                    <pic:cNvPicPr/>
                  </pic:nvPicPr>
                  <pic:blipFill>
                    <a:blip r:embed="rId18"/>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8. Account Details</w:t>
      </w:r>
    </w:p>
    <w:p>
      <w:r>
        <w:br w:type="page"/>
      </w:r>
    </w:p>
    <w:p>
      <w:pPr>
        <w:spacing w:after="40"/>
      </w:pPr>
      <w:r>
        <w:rPr>
          <w:b/>
          <w:color w:val="176B3A"/>
          <w:sz w:val="17"/>
        </w:rPr>
        <w:t>FEATURE 09</w:t>
      </w:r>
    </w:p>
    <w:p>
      <w:pPr>
        <w:pStyle w:val="Heading1"/>
        <w:spacing w:before="0"/>
      </w:pPr>
      <w:r>
        <w:t>Create Customer Account</w:t>
      </w:r>
    </w:p>
    <w:p>
      <w:pPr>
        <w:spacing w:after="100"/>
      </w:pPr>
      <w:r>
        <w:rPr>
          <w:sz w:val="21"/>
        </w:rPr>
        <w:t>Creates a layaway account by linking a customer to a product and automatically calculating the applicable terms.</w:t>
      </w:r>
    </w:p>
    <w:p>
      <w:pPr>
        <w:spacing w:after="200"/>
      </w:pPr>
      <w:r>
        <w:rPr>
          <w:b/>
          <w:color w:val="176B3A"/>
        </w:rPr>
        <w:t xml:space="preserve">How it is used: </w:t>
      </w:r>
      <w:r>
        <w:t>Use it for first and additional customer accounts. After creation, the same customer can be carried forward to create another account.</w:t>
      </w:r>
    </w:p>
    <w:p>
      <w:pPr>
        <w:keepLines/>
        <w:jc w:val="center"/>
      </w:pPr>
      <w:r>
        <w:drawing>
          <wp:inline xmlns:a="http://schemas.openxmlformats.org/drawingml/2006/main" xmlns:pic="http://schemas.openxmlformats.org/drawingml/2006/picture">
            <wp:extent cx="5669280" cy="4764101"/>
            <wp:docPr id="9" name="Picture 9"/>
            <wp:cNvGraphicFramePr>
              <a:graphicFrameLocks noChangeAspect="1"/>
            </wp:cNvGraphicFramePr>
            <a:graphic>
              <a:graphicData uri="http://schemas.openxmlformats.org/drawingml/2006/picture">
                <pic:pic>
                  <pic:nvPicPr>
                    <pic:cNvPr id="0" name="15-create-account.png"/>
                    <pic:cNvPicPr/>
                  </pic:nvPicPr>
                  <pic:blipFill>
                    <a:blip r:embed="rId19"/>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9. Create Customer Account</w:t>
      </w:r>
    </w:p>
    <w:p>
      <w:r>
        <w:br w:type="page"/>
      </w:r>
    </w:p>
    <w:p>
      <w:pPr>
        <w:spacing w:after="40"/>
      </w:pPr>
      <w:r>
        <w:rPr>
          <w:b/>
          <w:color w:val="176B3A"/>
          <w:sz w:val="17"/>
        </w:rPr>
        <w:t>FEATURE 10</w:t>
      </w:r>
    </w:p>
    <w:p>
      <w:pPr>
        <w:pStyle w:val="Heading1"/>
        <w:spacing w:before="0"/>
      </w:pPr>
      <w:r>
        <w:t>Payments Ledger</w:t>
      </w:r>
    </w:p>
    <w:p>
      <w:pPr>
        <w:spacing w:after="100"/>
      </w:pPr>
      <w:r>
        <w:rPr>
          <w:sz w:val="21"/>
        </w:rPr>
        <w:t>Organises recorded collections by staff and customer, with receipt, method, amount, date, credit, search, and filtering information.</w:t>
      </w:r>
    </w:p>
    <w:p>
      <w:pPr>
        <w:spacing w:after="200"/>
      </w:pPr>
      <w:r>
        <w:rPr>
          <w:b/>
          <w:color w:val="176B3A"/>
        </w:rPr>
        <w:t xml:space="preserve">How it is used: </w:t>
      </w:r>
      <w:r>
        <w:t>Use it to verify collections, locate receipts, review payment history, and investigate recorded amounts.</w:t>
      </w:r>
    </w:p>
    <w:p>
      <w:pPr>
        <w:keepLines/>
        <w:jc w:val="center"/>
      </w:pPr>
      <w:r>
        <w:drawing>
          <wp:inline xmlns:a="http://schemas.openxmlformats.org/drawingml/2006/main" xmlns:pic="http://schemas.openxmlformats.org/drawingml/2006/picture">
            <wp:extent cx="5669280" cy="4764101"/>
            <wp:docPr id="10" name="Picture 10"/>
            <wp:cNvGraphicFramePr>
              <a:graphicFrameLocks noChangeAspect="1"/>
            </wp:cNvGraphicFramePr>
            <a:graphic>
              <a:graphicData uri="http://schemas.openxmlformats.org/drawingml/2006/picture">
                <pic:pic>
                  <pic:nvPicPr>
                    <pic:cNvPr id="0" name="05-payments.png"/>
                    <pic:cNvPicPr/>
                  </pic:nvPicPr>
                  <pic:blipFill>
                    <a:blip r:embed="rId20"/>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10. Payments Ledger</w:t>
      </w:r>
    </w:p>
    <w:p>
      <w:r>
        <w:br w:type="page"/>
      </w:r>
    </w:p>
    <w:p>
      <w:pPr>
        <w:spacing w:after="40"/>
      </w:pPr>
      <w:r>
        <w:rPr>
          <w:b/>
          <w:color w:val="176B3A"/>
          <w:sz w:val="17"/>
        </w:rPr>
        <w:t>FEATURE 11</w:t>
      </w:r>
    </w:p>
    <w:p>
      <w:pPr>
        <w:pStyle w:val="Heading1"/>
        <w:spacing w:before="0"/>
      </w:pPr>
      <w:r>
        <w:t>Payment Recording Popup</w:t>
      </w:r>
    </w:p>
    <w:p>
      <w:pPr>
        <w:spacing w:after="100"/>
      </w:pPr>
      <w:r>
        <w:rPr>
          <w:sz w:val="21"/>
        </w:rPr>
        <w:t>Records a payment without leaving the current operational page, reducing repeated page loading during collection entry.</w:t>
      </w:r>
    </w:p>
    <w:p>
      <w:pPr>
        <w:spacing w:after="200"/>
      </w:pPr>
      <w:r>
        <w:rPr>
          <w:b/>
          <w:color w:val="176B3A"/>
        </w:rPr>
        <w:t xml:space="preserve">How it is used: </w:t>
      </w:r>
      <w:r>
        <w:t>Use it to select an account, enter the amount, date, method, and notes, then confirm the payment and receipt.</w:t>
      </w:r>
    </w:p>
    <w:p>
      <w:pPr>
        <w:keepLines/>
        <w:jc w:val="center"/>
      </w:pPr>
      <w:r>
        <w:drawing>
          <wp:inline xmlns:a="http://schemas.openxmlformats.org/drawingml/2006/main" xmlns:pic="http://schemas.openxmlformats.org/drawingml/2006/picture">
            <wp:extent cx="5669280" cy="4698298"/>
            <wp:docPr id="11" name="Picture 11"/>
            <wp:cNvGraphicFramePr>
              <a:graphicFrameLocks noChangeAspect="1"/>
            </wp:cNvGraphicFramePr>
            <a:graphic>
              <a:graphicData uri="http://schemas.openxmlformats.org/drawingml/2006/picture">
                <pic:pic>
                  <pic:nvPicPr>
                    <pic:cNvPr id="0" name="32-payment-popup.png"/>
                    <pic:cNvPicPr/>
                  </pic:nvPicPr>
                  <pic:blipFill>
                    <a:blip r:embed="rId21"/>
                    <a:stretch>
                      <a:fillRect/>
                    </a:stretch>
                  </pic:blipFill>
                  <pic:spPr>
                    <a:xfrm>
                      <a:off x="0" y="0"/>
                      <a:ext cx="5669280" cy="4698298"/>
                    </a:xfrm>
                    <a:prstGeom prst="rect"/>
                  </pic:spPr>
                </pic:pic>
              </a:graphicData>
            </a:graphic>
          </wp:inline>
        </w:drawing>
      </w:r>
    </w:p>
    <w:p>
      <w:pPr>
        <w:spacing w:before="80" w:after="0"/>
        <w:jc w:val="center"/>
      </w:pPr>
      <w:r>
        <w:rPr>
          <w:i/>
          <w:color w:val="5C6C62"/>
          <w:sz w:val="17"/>
        </w:rPr>
        <w:t>Figure 11. Payment Recording Popup</w:t>
      </w:r>
    </w:p>
    <w:p>
      <w:r>
        <w:br w:type="page"/>
      </w:r>
    </w:p>
    <w:p>
      <w:pPr>
        <w:spacing w:after="40"/>
      </w:pPr>
      <w:r>
        <w:rPr>
          <w:b/>
          <w:color w:val="176B3A"/>
          <w:sz w:val="17"/>
        </w:rPr>
        <w:t>FEATURE 12</w:t>
      </w:r>
    </w:p>
    <w:p>
      <w:pPr>
        <w:pStyle w:val="Heading1"/>
        <w:spacing w:before="0"/>
      </w:pPr>
      <w:r>
        <w:t>Full Payment Form</w:t>
      </w:r>
    </w:p>
    <w:p>
      <w:pPr>
        <w:spacing w:after="100"/>
      </w:pPr>
      <w:r>
        <w:rPr>
          <w:sz w:val="21"/>
        </w:rPr>
        <w:t>Provides the complete standalone payment-entry workflow for selecting customers and eligible accounts.</w:t>
      </w:r>
    </w:p>
    <w:p>
      <w:pPr>
        <w:spacing w:after="200"/>
      </w:pPr>
      <w:r>
        <w:rPr>
          <w:b/>
          <w:color w:val="176B3A"/>
        </w:rPr>
        <w:t xml:space="preserve">How it is used: </w:t>
      </w:r>
      <w:r>
        <w:t>Use it when starting payment recording from a general shortcut rather than a specific customer or account.</w:t>
      </w:r>
    </w:p>
    <w:p>
      <w:pPr>
        <w:keepLines/>
        <w:jc w:val="center"/>
      </w:pPr>
      <w:r>
        <w:drawing>
          <wp:inline xmlns:a="http://schemas.openxmlformats.org/drawingml/2006/main" xmlns:pic="http://schemas.openxmlformats.org/drawingml/2006/picture">
            <wp:extent cx="5669280" cy="4764101"/>
            <wp:docPr id="12" name="Picture 12"/>
            <wp:cNvGraphicFramePr>
              <a:graphicFrameLocks noChangeAspect="1"/>
            </wp:cNvGraphicFramePr>
            <a:graphic>
              <a:graphicData uri="http://schemas.openxmlformats.org/drawingml/2006/picture">
                <pic:pic>
                  <pic:nvPicPr>
                    <pic:cNvPr id="0" name="16-record-payment.png"/>
                    <pic:cNvPicPr/>
                  </pic:nvPicPr>
                  <pic:blipFill>
                    <a:blip r:embed="rId22"/>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12. Full Payment Form</w:t>
      </w:r>
    </w:p>
    <w:p>
      <w:r>
        <w:br w:type="page"/>
      </w:r>
    </w:p>
    <w:p>
      <w:pPr>
        <w:spacing w:after="40"/>
      </w:pPr>
      <w:r>
        <w:rPr>
          <w:b/>
          <w:color w:val="176B3A"/>
          <w:sz w:val="17"/>
        </w:rPr>
        <w:t>FEATURE 13</w:t>
      </w:r>
    </w:p>
    <w:p>
      <w:pPr>
        <w:pStyle w:val="Heading1"/>
        <w:spacing w:before="0"/>
      </w:pPr>
      <w:r>
        <w:t>Credits and Refunds</w:t>
      </w:r>
    </w:p>
    <w:p>
      <w:pPr>
        <w:spacing w:after="100"/>
      </w:pPr>
      <w:r>
        <w:rPr>
          <w:sz w:val="21"/>
        </w:rPr>
        <w:t>Tracks overpayments, closure refunds, remaining credit, and resolution status.</w:t>
      </w:r>
    </w:p>
    <w:p>
      <w:pPr>
        <w:spacing w:after="200"/>
      </w:pPr>
      <w:r>
        <w:rPr>
          <w:b/>
          <w:color w:val="176B3A"/>
        </w:rPr>
        <w:t xml:space="preserve">How it is used: </w:t>
      </w:r>
      <w:r>
        <w:t>Use it to control money owed back or available to customers and to preserve an auditable refund process.</w:t>
      </w:r>
    </w:p>
    <w:p>
      <w:pPr>
        <w:keepLines/>
        <w:jc w:val="center"/>
      </w:pPr>
      <w:r>
        <w:drawing>
          <wp:inline xmlns:a="http://schemas.openxmlformats.org/drawingml/2006/main" xmlns:pic="http://schemas.openxmlformats.org/drawingml/2006/picture">
            <wp:extent cx="5669280" cy="4764101"/>
            <wp:docPr id="13" name="Picture 13"/>
            <wp:cNvGraphicFramePr>
              <a:graphicFrameLocks noChangeAspect="1"/>
            </wp:cNvGraphicFramePr>
            <a:graphic>
              <a:graphicData uri="http://schemas.openxmlformats.org/drawingml/2006/picture">
                <pic:pic>
                  <pic:nvPicPr>
                    <pic:cNvPr id="0" name="06-credits-refunds.png"/>
                    <pic:cNvPicPr/>
                  </pic:nvPicPr>
                  <pic:blipFill>
                    <a:blip r:embed="rId23"/>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13. Credits and Refunds</w:t>
      </w:r>
    </w:p>
    <w:p>
      <w:r>
        <w:br w:type="page"/>
      </w:r>
    </w:p>
    <w:p>
      <w:pPr>
        <w:spacing w:after="40"/>
      </w:pPr>
      <w:r>
        <w:rPr>
          <w:b/>
          <w:color w:val="176B3A"/>
          <w:sz w:val="17"/>
        </w:rPr>
        <w:t>FEATURE 14</w:t>
      </w:r>
    </w:p>
    <w:p>
      <w:pPr>
        <w:pStyle w:val="Heading1"/>
        <w:spacing w:before="0"/>
      </w:pPr>
      <w:r>
        <w:t>Product Catalogue</w:t>
      </w:r>
    </w:p>
    <w:p>
      <w:pPr>
        <w:spacing w:after="100"/>
      </w:pPr>
      <w:r>
        <w:rPr>
          <w:sz w:val="21"/>
        </w:rPr>
        <w:t>Maintains product pricing, cost, transport, layaway terms, images, profitability, and active status.</w:t>
      </w:r>
    </w:p>
    <w:p>
      <w:pPr>
        <w:spacing w:after="200"/>
      </w:pPr>
      <w:r>
        <w:rPr>
          <w:b/>
          <w:color w:val="176B3A"/>
        </w:rPr>
        <w:t xml:space="preserve">How it is used: </w:t>
      </w:r>
      <w:r>
        <w:t>Use it to manage the commercial rules that drive customer accounts and profit calculations.</w:t>
      </w:r>
    </w:p>
    <w:p>
      <w:pPr>
        <w:keepLines/>
        <w:jc w:val="center"/>
      </w:pPr>
      <w:r>
        <w:drawing>
          <wp:inline xmlns:a="http://schemas.openxmlformats.org/drawingml/2006/main" xmlns:pic="http://schemas.openxmlformats.org/drawingml/2006/picture">
            <wp:extent cx="5669280" cy="4764101"/>
            <wp:docPr id="14" name="Picture 14"/>
            <wp:cNvGraphicFramePr>
              <a:graphicFrameLocks noChangeAspect="1"/>
            </wp:cNvGraphicFramePr>
            <a:graphic>
              <a:graphicData uri="http://schemas.openxmlformats.org/drawingml/2006/picture">
                <pic:pic>
                  <pic:nvPicPr>
                    <pic:cNvPr id="0" name="07-products-catalog.png"/>
                    <pic:cNvPicPr/>
                  </pic:nvPicPr>
                  <pic:blipFill>
                    <a:blip r:embed="rId24"/>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14. Product Catalogue</w:t>
      </w:r>
    </w:p>
    <w:p>
      <w:r>
        <w:br w:type="page"/>
      </w:r>
    </w:p>
    <w:p>
      <w:pPr>
        <w:spacing w:after="40"/>
      </w:pPr>
      <w:r>
        <w:rPr>
          <w:b/>
          <w:color w:val="176B3A"/>
          <w:sz w:val="17"/>
        </w:rPr>
        <w:t>FEATURE 15</w:t>
      </w:r>
    </w:p>
    <w:p>
      <w:pPr>
        <w:pStyle w:val="Heading1"/>
        <w:spacing w:before="0"/>
      </w:pPr>
      <w:r>
        <w:t>Product Details</w:t>
      </w:r>
    </w:p>
    <w:p>
      <w:pPr>
        <w:spacing w:after="100"/>
      </w:pPr>
      <w:r>
        <w:rPr>
          <w:sz w:val="21"/>
        </w:rPr>
        <w:t>Explains the pricing and profitability of a single product and provides access to its linked operational information.</w:t>
      </w:r>
    </w:p>
    <w:p>
      <w:pPr>
        <w:spacing w:after="200"/>
      </w:pPr>
      <w:r>
        <w:rPr>
          <w:b/>
          <w:color w:val="176B3A"/>
        </w:rPr>
        <w:t xml:space="preserve">How it is used: </w:t>
      </w:r>
      <w:r>
        <w:t>Use it to validate product economics before selling or procuring additional units.</w:t>
      </w:r>
    </w:p>
    <w:p>
      <w:pPr>
        <w:keepLines/>
        <w:jc w:val="center"/>
      </w:pPr>
      <w:r>
        <w:drawing>
          <wp:inline xmlns:a="http://schemas.openxmlformats.org/drawingml/2006/main" xmlns:pic="http://schemas.openxmlformats.org/drawingml/2006/picture">
            <wp:extent cx="5669280" cy="4764101"/>
            <wp:docPr id="15" name="Picture 15"/>
            <wp:cNvGraphicFramePr>
              <a:graphicFrameLocks noChangeAspect="1"/>
            </wp:cNvGraphicFramePr>
            <a:graphic>
              <a:graphicData uri="http://schemas.openxmlformats.org/drawingml/2006/picture">
                <pic:pic>
                  <pic:nvPicPr>
                    <pic:cNvPr id="0" name="26-product-details.png"/>
                    <pic:cNvPicPr/>
                  </pic:nvPicPr>
                  <pic:blipFill>
                    <a:blip r:embed="rId25"/>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15. Product Details</w:t>
      </w:r>
    </w:p>
    <w:p>
      <w:r>
        <w:br w:type="page"/>
      </w:r>
    </w:p>
    <w:p>
      <w:pPr>
        <w:spacing w:after="40"/>
      </w:pPr>
      <w:r>
        <w:rPr>
          <w:b/>
          <w:color w:val="176B3A"/>
          <w:sz w:val="17"/>
        </w:rPr>
        <w:t>FEATURE 16</w:t>
      </w:r>
    </w:p>
    <w:p>
      <w:pPr>
        <w:pStyle w:val="Heading1"/>
        <w:spacing w:before="0"/>
      </w:pPr>
      <w:r>
        <w:t>Create Product</w:t>
      </w:r>
    </w:p>
    <w:p>
      <w:pPr>
        <w:spacing w:after="100"/>
      </w:pPr>
      <w:r>
        <w:rPr>
          <w:sz w:val="21"/>
        </w:rPr>
        <w:t>Captures product cost, pricing, category, image, duration, and daily installment rules.</w:t>
      </w:r>
    </w:p>
    <w:p>
      <w:pPr>
        <w:spacing w:after="200"/>
      </w:pPr>
      <w:r>
        <w:rPr>
          <w:b/>
          <w:color w:val="176B3A"/>
        </w:rPr>
        <w:t xml:space="preserve">How it is used: </w:t>
      </w:r>
      <w:r>
        <w:t>Use it to introduce a product into the catalogue with consistent financial terms.</w:t>
      </w:r>
    </w:p>
    <w:p>
      <w:pPr>
        <w:keepLines/>
        <w:jc w:val="center"/>
      </w:pPr>
      <w:r>
        <w:drawing>
          <wp:inline xmlns:a="http://schemas.openxmlformats.org/drawingml/2006/main" xmlns:pic="http://schemas.openxmlformats.org/drawingml/2006/picture">
            <wp:extent cx="5669280" cy="4764101"/>
            <wp:docPr id="16" name="Picture 16"/>
            <wp:cNvGraphicFramePr>
              <a:graphicFrameLocks noChangeAspect="1"/>
            </wp:cNvGraphicFramePr>
            <a:graphic>
              <a:graphicData uri="http://schemas.openxmlformats.org/drawingml/2006/picture">
                <pic:pic>
                  <pic:nvPicPr>
                    <pic:cNvPr id="0" name="17-create-product.png"/>
                    <pic:cNvPicPr/>
                  </pic:nvPicPr>
                  <pic:blipFill>
                    <a:blip r:embed="rId26"/>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16. Create Product</w:t>
      </w:r>
    </w:p>
    <w:p>
      <w:r>
        <w:br w:type="page"/>
      </w:r>
    </w:p>
    <w:p>
      <w:pPr>
        <w:spacing w:after="40"/>
      </w:pPr>
      <w:r>
        <w:rPr>
          <w:b/>
          <w:color w:val="176B3A"/>
          <w:sz w:val="17"/>
        </w:rPr>
        <w:t>FEATURE 17</w:t>
      </w:r>
    </w:p>
    <w:p>
      <w:pPr>
        <w:pStyle w:val="Heading1"/>
        <w:spacing w:before="0"/>
      </w:pPr>
      <w:r>
        <w:t>Edit Product</w:t>
      </w:r>
    </w:p>
    <w:p>
      <w:pPr>
        <w:spacing w:after="100"/>
      </w:pPr>
      <w:r>
        <w:rPr>
          <w:sz w:val="21"/>
        </w:rPr>
        <w:t>Allows authorised correction of product descriptions, pricing inputs, images, and operating rules.</w:t>
      </w:r>
    </w:p>
    <w:p>
      <w:pPr>
        <w:spacing w:after="200"/>
      </w:pPr>
      <w:r>
        <w:rPr>
          <w:b/>
          <w:color w:val="176B3A"/>
        </w:rPr>
        <w:t xml:space="preserve">How it is used: </w:t>
      </w:r>
      <w:r>
        <w:t>Use it when the commercial terms or product presentation changes.</w:t>
      </w:r>
    </w:p>
    <w:p>
      <w:pPr>
        <w:keepLines/>
        <w:jc w:val="center"/>
      </w:pPr>
      <w:r>
        <w:drawing>
          <wp:inline xmlns:a="http://schemas.openxmlformats.org/drawingml/2006/main" xmlns:pic="http://schemas.openxmlformats.org/drawingml/2006/picture">
            <wp:extent cx="5669280" cy="4764101"/>
            <wp:docPr id="17" name="Picture 17"/>
            <wp:cNvGraphicFramePr>
              <a:graphicFrameLocks noChangeAspect="1"/>
            </wp:cNvGraphicFramePr>
            <a:graphic>
              <a:graphicData uri="http://schemas.openxmlformats.org/drawingml/2006/picture">
                <pic:pic>
                  <pic:nvPicPr>
                    <pic:cNvPr id="0" name="29-edit-product.png"/>
                    <pic:cNvPicPr/>
                  </pic:nvPicPr>
                  <pic:blipFill>
                    <a:blip r:embed="rId27"/>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17. Edit Product</w:t>
      </w:r>
    </w:p>
    <w:p>
      <w:r>
        <w:br w:type="page"/>
      </w:r>
    </w:p>
    <w:p>
      <w:pPr>
        <w:spacing w:after="40"/>
      </w:pPr>
      <w:r>
        <w:rPr>
          <w:b/>
          <w:color w:val="176B3A"/>
          <w:sz w:val="17"/>
        </w:rPr>
        <w:t>FEATURE 18</w:t>
      </w:r>
    </w:p>
    <w:p>
      <w:pPr>
        <w:pStyle w:val="Heading1"/>
        <w:spacing w:before="0"/>
      </w:pPr>
      <w:r>
        <w:t>Procurement Overview</w:t>
      </w:r>
    </w:p>
    <w:p>
      <w:pPr>
        <w:spacing w:after="100"/>
      </w:pPr>
      <w:r>
        <w:rPr>
          <w:sz w:val="21"/>
        </w:rPr>
        <w:t>Lists products whose customers are owed more units than the store room currently holds, so it shows only what still has to be bought.</w:t>
      </w:r>
    </w:p>
    <w:p>
      <w:pPr>
        <w:spacing w:after="200"/>
      </w:pPr>
      <w:r>
        <w:rPr>
          <w:b/>
          <w:color w:val="176B3A"/>
        </w:rPr>
        <w:t xml:space="preserve">How it is used: </w:t>
      </w:r>
      <w:r>
        <w:t>Use it to plan a buying trip from customer commitments and money already collected, then receive the stock so the list reflects what is still outstanding.</w:t>
      </w:r>
    </w:p>
    <w:p>
      <w:pPr>
        <w:keepLines/>
        <w:jc w:val="center"/>
      </w:pPr>
      <w:r>
        <w:drawing>
          <wp:inline xmlns:a="http://schemas.openxmlformats.org/drawingml/2006/main" xmlns:pic="http://schemas.openxmlformats.org/drawingml/2006/picture">
            <wp:extent cx="5669280" cy="3906563"/>
            <wp:docPr id="18" name="Picture 18"/>
            <wp:cNvGraphicFramePr>
              <a:graphicFrameLocks noChangeAspect="1"/>
            </wp:cNvGraphicFramePr>
            <a:graphic>
              <a:graphicData uri="http://schemas.openxmlformats.org/drawingml/2006/picture">
                <pic:pic>
                  <pic:nvPicPr>
                    <pic:cNvPr id="0" name="08-procurement.png"/>
                    <pic:cNvPicPr/>
                  </pic:nvPicPr>
                  <pic:blipFill>
                    <a:blip r:embed="rId28"/>
                    <a:stretch>
                      <a:fillRect/>
                    </a:stretch>
                  </pic:blipFill>
                  <pic:spPr>
                    <a:xfrm>
                      <a:off x="0" y="0"/>
                      <a:ext cx="5669280" cy="3906563"/>
                    </a:xfrm>
                    <a:prstGeom prst="rect"/>
                  </pic:spPr>
                </pic:pic>
              </a:graphicData>
            </a:graphic>
          </wp:inline>
        </w:drawing>
      </w:r>
    </w:p>
    <w:p>
      <w:pPr>
        <w:spacing w:before="80" w:after="0"/>
        <w:jc w:val="center"/>
      </w:pPr>
      <w:r>
        <w:rPr>
          <w:i/>
          <w:color w:val="5C6C62"/>
          <w:sz w:val="17"/>
        </w:rPr>
        <w:t>Figure 18. Procurement Overview</w:t>
      </w:r>
    </w:p>
    <w:p>
      <w:r>
        <w:br w:type="page"/>
      </w:r>
    </w:p>
    <w:p>
      <w:pPr>
        <w:spacing w:after="40"/>
      </w:pPr>
      <w:r>
        <w:rPr>
          <w:b/>
          <w:color w:val="176B3A"/>
          <w:sz w:val="17"/>
        </w:rPr>
        <w:t>FEATURE 19</w:t>
      </w:r>
    </w:p>
    <w:p>
      <w:pPr>
        <w:pStyle w:val="Heading1"/>
        <w:spacing w:before="0"/>
      </w:pPr>
      <w:r>
        <w:t>Procurement Details</w:t>
      </w:r>
    </w:p>
    <w:p>
      <w:pPr>
        <w:spacing w:after="100"/>
      </w:pPr>
      <w:r>
        <w:rPr>
          <w:sz w:val="21"/>
        </w:rPr>
        <w:t>Shows the customer accounts contributing to procurement demand for a selected product, marking each one In stock or To buy.</w:t>
      </w:r>
    </w:p>
    <w:p>
      <w:pPr>
        <w:spacing w:after="200"/>
      </w:pPr>
      <w:r>
        <w:rPr>
          <w:b/>
          <w:color w:val="176B3A"/>
        </w:rPr>
        <w:t xml:space="preserve">How it is used: </w:t>
      </w:r>
      <w:r>
        <w:t>Use it to validate quantities, collection progress, and the evidence behind a procurement decision. It is a read-only breakdown; receive stock from the Procurement List tab or the Inventory page.</w:t>
      </w:r>
    </w:p>
    <w:p>
      <w:pPr>
        <w:keepLines/>
        <w:jc w:val="center"/>
      </w:pPr>
      <w:r>
        <w:drawing>
          <wp:inline xmlns:a="http://schemas.openxmlformats.org/drawingml/2006/main" xmlns:pic="http://schemas.openxmlformats.org/drawingml/2006/picture">
            <wp:extent cx="5669280" cy="3573076"/>
            <wp:docPr id="19" name="Picture 19"/>
            <wp:cNvGraphicFramePr>
              <a:graphicFrameLocks noChangeAspect="1"/>
            </wp:cNvGraphicFramePr>
            <a:graphic>
              <a:graphicData uri="http://schemas.openxmlformats.org/drawingml/2006/picture">
                <pic:pic>
                  <pic:nvPicPr>
                    <pic:cNvPr id="0" name="31-procurement-details.png"/>
                    <pic:cNvPicPr/>
                  </pic:nvPicPr>
                  <pic:blipFill>
                    <a:blip r:embed="rId29"/>
                    <a:stretch>
                      <a:fillRect/>
                    </a:stretch>
                  </pic:blipFill>
                  <pic:spPr>
                    <a:xfrm>
                      <a:off x="0" y="0"/>
                      <a:ext cx="5669280" cy="3573076"/>
                    </a:xfrm>
                    <a:prstGeom prst="rect"/>
                  </pic:spPr>
                </pic:pic>
              </a:graphicData>
            </a:graphic>
          </wp:inline>
        </w:drawing>
      </w:r>
    </w:p>
    <w:p>
      <w:pPr>
        <w:spacing w:before="80" w:after="0"/>
        <w:jc w:val="center"/>
      </w:pPr>
      <w:r>
        <w:rPr>
          <w:i/>
          <w:color w:val="5C6C62"/>
          <w:sz w:val="17"/>
        </w:rPr>
        <w:t>Figure 19. Procurement Details</w:t>
      </w:r>
    </w:p>
    <w:p>
      <w:r>
        <w:br w:type="page"/>
      </w:r>
    </w:p>
    <w:p>
      <w:pPr>
        <w:spacing w:after="40"/>
      </w:pPr>
      <w:r>
        <w:rPr>
          <w:b/>
          <w:color w:val="176B3A"/>
          <w:sz w:val="17"/>
        </w:rPr>
        <w:t>FEATURE 20</w:t>
      </w:r>
    </w:p>
    <w:p>
      <w:pPr>
        <w:pStyle w:val="Heading1"/>
        <w:spacing w:before="0"/>
      </w:pPr>
      <w:r>
        <w:t>Inventory</w:t>
      </w:r>
    </w:p>
    <w:p>
      <w:pPr>
        <w:spacing w:after="100"/>
      </w:pPr>
      <w:r>
        <w:rPr>
          <w:sz w:val="21"/>
        </w:rPr>
        <w:t>Shows how many units of each product are physically in the store room, how many customers are owed, and how many still have to be bought.</w:t>
      </w:r>
    </w:p>
    <w:p>
      <w:pPr>
        <w:spacing w:after="200"/>
      </w:pPr>
      <w:r>
        <w:rPr>
          <w:b/>
          <w:color w:val="176B3A"/>
        </w:rPr>
        <w:t xml:space="preserve">How it is used: </w:t>
      </w:r>
      <w:r>
        <w:t>Use it to receive purchased stock, correct a shelf count after a stock take, and check the stock value held.</w:t>
      </w:r>
    </w:p>
    <w:p>
      <w:pPr>
        <w:keepLines/>
        <w:jc w:val="center"/>
      </w:pPr>
      <w:r>
        <w:drawing>
          <wp:inline xmlns:a="http://schemas.openxmlformats.org/drawingml/2006/main" xmlns:pic="http://schemas.openxmlformats.org/drawingml/2006/picture">
            <wp:extent cx="5669280" cy="4240050"/>
            <wp:docPr id="20" name="Picture 20"/>
            <wp:cNvGraphicFramePr>
              <a:graphicFrameLocks noChangeAspect="1"/>
            </wp:cNvGraphicFramePr>
            <a:graphic>
              <a:graphicData uri="http://schemas.openxmlformats.org/drawingml/2006/picture">
                <pic:pic>
                  <pic:nvPicPr>
                    <pic:cNvPr id="0" name="36-inventory.png"/>
                    <pic:cNvPicPr/>
                  </pic:nvPicPr>
                  <pic:blipFill>
                    <a:blip r:embed="rId30"/>
                    <a:stretch>
                      <a:fillRect/>
                    </a:stretch>
                  </pic:blipFill>
                  <pic:spPr>
                    <a:xfrm>
                      <a:off x="0" y="0"/>
                      <a:ext cx="5669280" cy="4240050"/>
                    </a:xfrm>
                    <a:prstGeom prst="rect"/>
                  </pic:spPr>
                </pic:pic>
              </a:graphicData>
            </a:graphic>
          </wp:inline>
        </w:drawing>
      </w:r>
    </w:p>
    <w:p>
      <w:pPr>
        <w:spacing w:before="80" w:after="0"/>
        <w:jc w:val="center"/>
      </w:pPr>
      <w:r>
        <w:rPr>
          <w:i/>
          <w:color w:val="5C6C62"/>
          <w:sz w:val="17"/>
        </w:rPr>
        <w:t>Figure 20. Inventory</w:t>
      </w:r>
    </w:p>
    <w:p>
      <w:r>
        <w:br w:type="page"/>
      </w:r>
    </w:p>
    <w:p>
      <w:pPr>
        <w:spacing w:after="40"/>
      </w:pPr>
      <w:r>
        <w:rPr>
          <w:b/>
          <w:color w:val="176B3A"/>
          <w:sz w:val="17"/>
        </w:rPr>
        <w:t>FEATURE 21</w:t>
      </w:r>
    </w:p>
    <w:p>
      <w:pPr>
        <w:pStyle w:val="Heading1"/>
        <w:spacing w:before="0"/>
      </w:pPr>
      <w:r>
        <w:t>Inventory Movements</w:t>
      </w:r>
    </w:p>
    <w:p>
      <w:pPr>
        <w:spacing w:after="100"/>
      </w:pPr>
      <w:r>
        <w:rPr>
          <w:sz w:val="21"/>
        </w:rPr>
        <w:t>Lists every change to stock: units received, units delivered to customers, reversals, and corrections, each with the person, the time, the reason and the resulting balance.</w:t>
      </w:r>
    </w:p>
    <w:p>
      <w:pPr>
        <w:spacing w:after="200"/>
      </w:pPr>
      <w:r>
        <w:rPr>
          <w:b/>
          <w:color w:val="176B3A"/>
        </w:rPr>
        <w:t xml:space="preserve">How it is used: </w:t>
      </w:r>
      <w:r>
        <w:t>Use it to explain any stock figure, investigate a discrepancy, and trace who changed a count and why.</w:t>
      </w:r>
    </w:p>
    <w:p>
      <w:pPr>
        <w:keepLines/>
        <w:jc w:val="center"/>
      </w:pPr>
      <w:r>
        <w:drawing>
          <wp:inline xmlns:a="http://schemas.openxmlformats.org/drawingml/2006/main" xmlns:pic="http://schemas.openxmlformats.org/drawingml/2006/picture">
            <wp:extent cx="5669280" cy="4144768"/>
            <wp:docPr id="21" name="Picture 21"/>
            <wp:cNvGraphicFramePr>
              <a:graphicFrameLocks noChangeAspect="1"/>
            </wp:cNvGraphicFramePr>
            <a:graphic>
              <a:graphicData uri="http://schemas.openxmlformats.org/drawingml/2006/picture">
                <pic:pic>
                  <pic:nvPicPr>
                    <pic:cNvPr id="0" name="37-inventory-movements.png"/>
                    <pic:cNvPicPr/>
                  </pic:nvPicPr>
                  <pic:blipFill>
                    <a:blip r:embed="rId31"/>
                    <a:stretch>
                      <a:fillRect/>
                    </a:stretch>
                  </pic:blipFill>
                  <pic:spPr>
                    <a:xfrm>
                      <a:off x="0" y="0"/>
                      <a:ext cx="5669280" cy="4144768"/>
                    </a:xfrm>
                    <a:prstGeom prst="rect"/>
                  </pic:spPr>
                </pic:pic>
              </a:graphicData>
            </a:graphic>
          </wp:inline>
        </w:drawing>
      </w:r>
    </w:p>
    <w:p>
      <w:pPr>
        <w:spacing w:before="80" w:after="0"/>
        <w:jc w:val="center"/>
      </w:pPr>
      <w:r>
        <w:rPr>
          <w:i/>
          <w:color w:val="5C6C62"/>
          <w:sz w:val="17"/>
        </w:rPr>
        <w:t>Figure 21. Inventory Movements</w:t>
      </w:r>
    </w:p>
    <w:p>
      <w:r>
        <w:br w:type="page"/>
      </w:r>
    </w:p>
    <w:p>
      <w:pPr>
        <w:spacing w:after="40"/>
      </w:pPr>
      <w:r>
        <w:rPr>
          <w:b/>
          <w:color w:val="176B3A"/>
          <w:sz w:val="17"/>
        </w:rPr>
        <w:t>FEATURE 22</w:t>
      </w:r>
    </w:p>
    <w:p>
      <w:pPr>
        <w:pStyle w:val="Heading1"/>
        <w:spacing w:before="0"/>
      </w:pPr>
      <w:r>
        <w:t>Staff Management</w:t>
      </w:r>
    </w:p>
    <w:p>
      <w:pPr>
        <w:spacing w:after="100"/>
      </w:pPr>
      <w:r>
        <w:rPr>
          <w:sz w:val="21"/>
        </w:rPr>
        <w:t>Maintains staff records, roles, permissions, status, customer assignments, inventory, and access-related actions.</w:t>
      </w:r>
    </w:p>
    <w:p>
      <w:pPr>
        <w:spacing w:after="200"/>
      </w:pPr>
      <w:r>
        <w:rPr>
          <w:b/>
          <w:color w:val="176B3A"/>
        </w:rPr>
        <w:t xml:space="preserve">How it is used: </w:t>
      </w:r>
      <w:r>
        <w:t>Use it to administer the workforce and control what each user can see or manage.</w:t>
      </w:r>
    </w:p>
    <w:p>
      <w:pPr>
        <w:keepLines/>
        <w:jc w:val="center"/>
      </w:pPr>
      <w:r>
        <w:drawing>
          <wp:inline xmlns:a="http://schemas.openxmlformats.org/drawingml/2006/main" xmlns:pic="http://schemas.openxmlformats.org/drawingml/2006/picture">
            <wp:extent cx="5669280" cy="4764101"/>
            <wp:docPr id="22" name="Picture 22"/>
            <wp:cNvGraphicFramePr>
              <a:graphicFrameLocks noChangeAspect="1"/>
            </wp:cNvGraphicFramePr>
            <a:graphic>
              <a:graphicData uri="http://schemas.openxmlformats.org/drawingml/2006/picture">
                <pic:pic>
                  <pic:nvPicPr>
                    <pic:cNvPr id="0" name="09-staff.png"/>
                    <pic:cNvPicPr/>
                  </pic:nvPicPr>
                  <pic:blipFill>
                    <a:blip r:embed="rId32"/>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22. Staff Management</w:t>
      </w:r>
    </w:p>
    <w:p>
      <w:r>
        <w:br w:type="page"/>
      </w:r>
    </w:p>
    <w:p>
      <w:pPr>
        <w:spacing w:after="40"/>
      </w:pPr>
      <w:r>
        <w:rPr>
          <w:b/>
          <w:color w:val="176B3A"/>
          <w:sz w:val="17"/>
        </w:rPr>
        <w:t>FEATURE 23</w:t>
      </w:r>
    </w:p>
    <w:p>
      <w:pPr>
        <w:pStyle w:val="Heading1"/>
        <w:spacing w:before="0"/>
      </w:pPr>
      <w:r>
        <w:t>Staff Profile</w:t>
      </w:r>
    </w:p>
    <w:p>
      <w:pPr>
        <w:spacing w:after="100"/>
      </w:pPr>
      <w:r>
        <w:rPr>
          <w:sz w:val="21"/>
        </w:rPr>
        <w:t>Combines staff identity, assigned customers, performance information, permissions, and related operational records.</w:t>
      </w:r>
    </w:p>
    <w:p>
      <w:pPr>
        <w:spacing w:after="200"/>
      </w:pPr>
      <w:r>
        <w:rPr>
          <w:b/>
          <w:color w:val="176B3A"/>
        </w:rPr>
        <w:t xml:space="preserve">How it is used: </w:t>
      </w:r>
      <w:r>
        <w:t>Use it for staff supervision, responsibility reviews, and access-control decisions.</w:t>
      </w:r>
    </w:p>
    <w:p>
      <w:pPr>
        <w:keepLines/>
        <w:jc w:val="center"/>
      </w:pPr>
      <w:r>
        <w:drawing>
          <wp:inline xmlns:a="http://schemas.openxmlformats.org/drawingml/2006/main" xmlns:pic="http://schemas.openxmlformats.org/drawingml/2006/picture">
            <wp:extent cx="5669280" cy="4764101"/>
            <wp:docPr id="23" name="Picture 23"/>
            <wp:cNvGraphicFramePr>
              <a:graphicFrameLocks noChangeAspect="1"/>
            </wp:cNvGraphicFramePr>
            <a:graphic>
              <a:graphicData uri="http://schemas.openxmlformats.org/drawingml/2006/picture">
                <pic:pic>
                  <pic:nvPicPr>
                    <pic:cNvPr id="0" name="27-staff-profile.png"/>
                    <pic:cNvPicPr/>
                  </pic:nvPicPr>
                  <pic:blipFill>
                    <a:blip r:embed="rId33"/>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23. Staff Profile</w:t>
      </w:r>
    </w:p>
    <w:p>
      <w:r>
        <w:br w:type="page"/>
      </w:r>
    </w:p>
    <w:p>
      <w:pPr>
        <w:spacing w:after="40"/>
      </w:pPr>
      <w:r>
        <w:rPr>
          <w:b/>
          <w:color w:val="176B3A"/>
          <w:sz w:val="17"/>
        </w:rPr>
        <w:t>FEATURE 24</w:t>
      </w:r>
    </w:p>
    <w:p>
      <w:pPr>
        <w:pStyle w:val="Heading1"/>
        <w:spacing w:before="0"/>
      </w:pPr>
      <w:r>
        <w:t>Create Staff</w:t>
      </w:r>
    </w:p>
    <w:p>
      <w:pPr>
        <w:spacing w:after="100"/>
      </w:pPr>
      <w:r>
        <w:rPr>
          <w:sz w:val="21"/>
        </w:rPr>
        <w:t>Registers a staff profile with the core information needed for assignment and system access.</w:t>
      </w:r>
    </w:p>
    <w:p>
      <w:pPr>
        <w:spacing w:after="200"/>
      </w:pPr>
      <w:r>
        <w:rPr>
          <w:b/>
          <w:color w:val="176B3A"/>
        </w:rPr>
        <w:t xml:space="preserve">How it is used: </w:t>
      </w:r>
      <w:r>
        <w:t>Use it during onboarding before creating or linking the corresponding user account.</w:t>
      </w:r>
    </w:p>
    <w:p>
      <w:pPr>
        <w:keepLines/>
        <w:jc w:val="center"/>
      </w:pPr>
      <w:r>
        <w:drawing>
          <wp:inline xmlns:a="http://schemas.openxmlformats.org/drawingml/2006/main" xmlns:pic="http://schemas.openxmlformats.org/drawingml/2006/picture">
            <wp:extent cx="5669280" cy="4764101"/>
            <wp:docPr id="24" name="Picture 24"/>
            <wp:cNvGraphicFramePr>
              <a:graphicFrameLocks noChangeAspect="1"/>
            </wp:cNvGraphicFramePr>
            <a:graphic>
              <a:graphicData uri="http://schemas.openxmlformats.org/drawingml/2006/picture">
                <pic:pic>
                  <pic:nvPicPr>
                    <pic:cNvPr id="0" name="18-create-staff.png"/>
                    <pic:cNvPicPr/>
                  </pic:nvPicPr>
                  <pic:blipFill>
                    <a:blip r:embed="rId34"/>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24. Create Staff</w:t>
      </w:r>
    </w:p>
    <w:p>
      <w:r>
        <w:br w:type="page"/>
      </w:r>
    </w:p>
    <w:p>
      <w:pPr>
        <w:spacing w:after="40"/>
      </w:pPr>
      <w:r>
        <w:rPr>
          <w:b/>
          <w:color w:val="176B3A"/>
          <w:sz w:val="17"/>
        </w:rPr>
        <w:t>FEATURE 25</w:t>
      </w:r>
    </w:p>
    <w:p>
      <w:pPr>
        <w:pStyle w:val="Heading1"/>
        <w:spacing w:before="0"/>
      </w:pPr>
      <w:r>
        <w:t>Edit Staff and Permissions</w:t>
      </w:r>
    </w:p>
    <w:p>
      <w:pPr>
        <w:spacing w:after="100"/>
      </w:pPr>
      <w:r>
        <w:rPr>
          <w:sz w:val="21"/>
        </w:rPr>
        <w:t>Allows authorised administrators to maintain staff details and operational privileges.</w:t>
      </w:r>
    </w:p>
    <w:p>
      <w:pPr>
        <w:spacing w:after="200"/>
      </w:pPr>
      <w:r>
        <w:rPr>
          <w:b/>
          <w:color w:val="176B3A"/>
        </w:rPr>
        <w:t xml:space="preserve">How it is used: </w:t>
      </w:r>
      <w:r>
        <w:t>Use it to adjust responsibilities carefully; permission changes affect which modules and actions the staff member can access.</w:t>
      </w:r>
    </w:p>
    <w:p>
      <w:pPr>
        <w:keepLines/>
        <w:jc w:val="center"/>
      </w:pPr>
      <w:r>
        <w:drawing>
          <wp:inline xmlns:a="http://schemas.openxmlformats.org/drawingml/2006/main" xmlns:pic="http://schemas.openxmlformats.org/drawingml/2006/picture">
            <wp:extent cx="5669280" cy="4764101"/>
            <wp:docPr id="25" name="Picture 25"/>
            <wp:cNvGraphicFramePr>
              <a:graphicFrameLocks noChangeAspect="1"/>
            </wp:cNvGraphicFramePr>
            <a:graphic>
              <a:graphicData uri="http://schemas.openxmlformats.org/drawingml/2006/picture">
                <pic:pic>
                  <pic:nvPicPr>
                    <pic:cNvPr id="0" name="30-edit-staff.png"/>
                    <pic:cNvPicPr/>
                  </pic:nvPicPr>
                  <pic:blipFill>
                    <a:blip r:embed="rId35"/>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25. Edit Staff and Permissions</w:t>
      </w:r>
    </w:p>
    <w:p>
      <w:r>
        <w:br w:type="page"/>
      </w:r>
    </w:p>
    <w:p>
      <w:pPr>
        <w:spacing w:after="40"/>
      </w:pPr>
      <w:r>
        <w:rPr>
          <w:b/>
          <w:color w:val="176B3A"/>
          <w:sz w:val="17"/>
        </w:rPr>
        <w:t>FEATURE 26</w:t>
      </w:r>
    </w:p>
    <w:p>
      <w:pPr>
        <w:pStyle w:val="Heading1"/>
        <w:spacing w:before="0"/>
      </w:pPr>
      <w:r>
        <w:t>Financial Intelligence and Reports</w:t>
      </w:r>
    </w:p>
    <w:p>
      <w:pPr>
        <w:spacing w:after="100"/>
      </w:pPr>
      <w:r>
        <w:rPr>
          <w:sz w:val="21"/>
        </w:rPr>
        <w:t>Combines business performance, weekly staff collections, physical deposits, shortage or surplus, payroll, product profitability, and Excel export. The page opens with a section menu and groups the headline figures under Collections and Banking, Receivables and Exposure, Payroll, and Profitability.</w:t>
      </w:r>
    </w:p>
    <w:p>
      <w:pPr>
        <w:spacing w:after="200"/>
      </w:pPr>
      <w:r>
        <w:rPr>
          <w:b/>
          <w:color w:val="176B3A"/>
        </w:rPr>
        <w:t xml:space="preserve">How it is used: </w:t>
      </w:r>
      <w:r>
        <w:t>Use it for weekly control meetings, staff accountability, salary tracking, reconciliation, and management reporting. Jump straight to a section from the menu under the page title, and read each group together rather than card by card.</w:t>
      </w:r>
    </w:p>
    <w:p>
      <w:pPr>
        <w:keepLines/>
        <w:jc w:val="center"/>
      </w:pPr>
      <w:r>
        <w:drawing>
          <wp:inline xmlns:a="http://schemas.openxmlformats.org/drawingml/2006/main" xmlns:pic="http://schemas.openxmlformats.org/drawingml/2006/picture">
            <wp:extent cx="5669280" cy="4764101"/>
            <wp:docPr id="26" name="Picture 26"/>
            <wp:cNvGraphicFramePr>
              <a:graphicFrameLocks noChangeAspect="1"/>
            </wp:cNvGraphicFramePr>
            <a:graphic>
              <a:graphicData uri="http://schemas.openxmlformats.org/drawingml/2006/picture">
                <pic:pic>
                  <pic:nvPicPr>
                    <pic:cNvPr id="0" name="10-reports.png"/>
                    <pic:cNvPicPr/>
                  </pic:nvPicPr>
                  <pic:blipFill>
                    <a:blip r:embed="rId36"/>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26. Financial Intelligence and Reports</w:t>
      </w:r>
    </w:p>
    <w:p>
      <w:r>
        <w:br w:type="page"/>
      </w:r>
    </w:p>
    <w:p>
      <w:pPr>
        <w:spacing w:after="40"/>
      </w:pPr>
      <w:r>
        <w:rPr>
          <w:b/>
          <w:color w:val="176B3A"/>
          <w:sz w:val="17"/>
        </w:rPr>
        <w:t>FEATURE 27</w:t>
      </w:r>
    </w:p>
    <w:p>
      <w:pPr>
        <w:pStyle w:val="Heading1"/>
        <w:spacing w:before="0"/>
      </w:pPr>
      <w:r>
        <w:t>Audit Logs</w:t>
      </w:r>
    </w:p>
    <w:p>
      <w:pPr>
        <w:spacing w:after="100"/>
      </w:pPr>
      <w:r>
        <w:rPr>
          <w:sz w:val="21"/>
        </w:rPr>
        <w:t>Records important system actions with user, entity, action, and timing information.</w:t>
      </w:r>
    </w:p>
    <w:p>
      <w:pPr>
        <w:spacing w:after="200"/>
      </w:pPr>
      <w:r>
        <w:rPr>
          <w:b/>
          <w:color w:val="176B3A"/>
        </w:rPr>
        <w:t xml:space="preserve">How it is used: </w:t>
      </w:r>
      <w:r>
        <w:t>Use it to investigate changes, support accountability, and demonstrate operational traceability.</w:t>
      </w:r>
    </w:p>
    <w:p>
      <w:pPr>
        <w:keepLines/>
        <w:jc w:val="center"/>
      </w:pPr>
      <w:r>
        <w:drawing>
          <wp:inline xmlns:a="http://schemas.openxmlformats.org/drawingml/2006/main" xmlns:pic="http://schemas.openxmlformats.org/drawingml/2006/picture">
            <wp:extent cx="5669280" cy="4764101"/>
            <wp:docPr id="27" name="Picture 27"/>
            <wp:cNvGraphicFramePr>
              <a:graphicFrameLocks noChangeAspect="1"/>
            </wp:cNvGraphicFramePr>
            <a:graphic>
              <a:graphicData uri="http://schemas.openxmlformats.org/drawingml/2006/picture">
                <pic:pic>
                  <pic:nvPicPr>
                    <pic:cNvPr id="0" name="11-audit-logs.png"/>
                    <pic:cNvPicPr/>
                  </pic:nvPicPr>
                  <pic:blipFill>
                    <a:blip r:embed="rId37"/>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27. Audit Logs</w:t>
      </w:r>
    </w:p>
    <w:p>
      <w:r>
        <w:br w:type="page"/>
      </w:r>
    </w:p>
    <w:p>
      <w:pPr>
        <w:spacing w:after="40"/>
      </w:pPr>
      <w:r>
        <w:rPr>
          <w:b/>
          <w:color w:val="176B3A"/>
          <w:sz w:val="17"/>
        </w:rPr>
        <w:t>FEATURE 28</w:t>
      </w:r>
    </w:p>
    <w:p>
      <w:pPr>
        <w:pStyle w:val="Heading1"/>
        <w:spacing w:before="0"/>
      </w:pPr>
      <w:r>
        <w:t>My Profile</w:t>
      </w:r>
    </w:p>
    <w:p>
      <w:pPr>
        <w:spacing w:after="100"/>
      </w:pPr>
      <w:r>
        <w:rPr>
          <w:sz w:val="21"/>
        </w:rPr>
        <w:t>Provides personal profile information and controlled requests for sensitive profile changes.</w:t>
      </w:r>
    </w:p>
    <w:p>
      <w:pPr>
        <w:spacing w:after="200"/>
      </w:pPr>
      <w:r>
        <w:rPr>
          <w:b/>
          <w:color w:val="176B3A"/>
        </w:rPr>
        <w:t xml:space="preserve">How it is used: </w:t>
      </w:r>
      <w:r>
        <w:t>Use it to review account identity, request permitted updates, and access personal security controls.</w:t>
      </w:r>
    </w:p>
    <w:p>
      <w:pPr>
        <w:keepLines/>
        <w:jc w:val="center"/>
      </w:pPr>
      <w:r>
        <w:drawing>
          <wp:inline xmlns:a="http://schemas.openxmlformats.org/drawingml/2006/main" xmlns:pic="http://schemas.openxmlformats.org/drawingml/2006/picture">
            <wp:extent cx="5669280" cy="4764101"/>
            <wp:docPr id="28" name="Picture 28"/>
            <wp:cNvGraphicFramePr>
              <a:graphicFrameLocks noChangeAspect="1"/>
            </wp:cNvGraphicFramePr>
            <a:graphic>
              <a:graphicData uri="http://schemas.openxmlformats.org/drawingml/2006/picture">
                <pic:pic>
                  <pic:nvPicPr>
                    <pic:cNvPr id="0" name="12-profile.png"/>
                    <pic:cNvPicPr/>
                  </pic:nvPicPr>
                  <pic:blipFill>
                    <a:blip r:embed="rId38"/>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28. My Profile</w:t>
      </w:r>
    </w:p>
    <w:p>
      <w:r>
        <w:br w:type="page"/>
      </w:r>
    </w:p>
    <w:p>
      <w:pPr>
        <w:spacing w:after="40"/>
      </w:pPr>
      <w:r>
        <w:rPr>
          <w:b/>
          <w:color w:val="176B3A"/>
          <w:sz w:val="17"/>
        </w:rPr>
        <w:t>FEATURE 29</w:t>
      </w:r>
    </w:p>
    <w:p>
      <w:pPr>
        <w:pStyle w:val="Heading1"/>
        <w:spacing w:before="0"/>
      </w:pPr>
      <w:r>
        <w:t>Profile Change Approvals</w:t>
      </w:r>
    </w:p>
    <w:p>
      <w:pPr>
        <w:spacing w:after="100"/>
      </w:pPr>
      <w:r>
        <w:rPr>
          <w:sz w:val="21"/>
        </w:rPr>
        <w:t>Allows authorised administrators to review pending email and profile-image change requests.</w:t>
      </w:r>
    </w:p>
    <w:p>
      <w:pPr>
        <w:spacing w:after="200"/>
      </w:pPr>
      <w:r>
        <w:rPr>
          <w:b/>
          <w:color w:val="176B3A"/>
        </w:rPr>
        <w:t xml:space="preserve">How it is used: </w:t>
      </w:r>
      <w:r>
        <w:t>Use it to keep sensitive identity changes controlled rather than immediately self-approved.</w:t>
      </w:r>
    </w:p>
    <w:p>
      <w:pPr>
        <w:keepLines/>
        <w:jc w:val="center"/>
      </w:pPr>
      <w:r>
        <w:drawing>
          <wp:inline xmlns:a="http://schemas.openxmlformats.org/drawingml/2006/main" xmlns:pic="http://schemas.openxmlformats.org/drawingml/2006/picture">
            <wp:extent cx="5669280" cy="4698298"/>
            <wp:docPr id="29" name="Picture 29"/>
            <wp:cNvGraphicFramePr>
              <a:graphicFrameLocks noChangeAspect="1"/>
            </wp:cNvGraphicFramePr>
            <a:graphic>
              <a:graphicData uri="http://schemas.openxmlformats.org/drawingml/2006/picture">
                <pic:pic>
                  <pic:nvPicPr>
                    <pic:cNvPr id="0" name="20-profile-approvals.png"/>
                    <pic:cNvPicPr/>
                  </pic:nvPicPr>
                  <pic:blipFill>
                    <a:blip r:embed="rId39"/>
                    <a:stretch>
                      <a:fillRect/>
                    </a:stretch>
                  </pic:blipFill>
                  <pic:spPr>
                    <a:xfrm>
                      <a:off x="0" y="0"/>
                      <a:ext cx="5669280" cy="4698298"/>
                    </a:xfrm>
                    <a:prstGeom prst="rect"/>
                  </pic:spPr>
                </pic:pic>
              </a:graphicData>
            </a:graphic>
          </wp:inline>
        </w:drawing>
      </w:r>
    </w:p>
    <w:p>
      <w:pPr>
        <w:spacing w:before="80" w:after="0"/>
        <w:jc w:val="center"/>
      </w:pPr>
      <w:r>
        <w:rPr>
          <w:i/>
          <w:color w:val="5C6C62"/>
          <w:sz w:val="17"/>
        </w:rPr>
        <w:t>Figure 29. Profile Change Approvals</w:t>
      </w:r>
    </w:p>
    <w:p>
      <w:r>
        <w:br w:type="page"/>
      </w:r>
    </w:p>
    <w:p>
      <w:pPr>
        <w:spacing w:after="40"/>
      </w:pPr>
      <w:r>
        <w:rPr>
          <w:b/>
          <w:color w:val="176B3A"/>
          <w:sz w:val="17"/>
        </w:rPr>
        <w:t>FEATURE 30</w:t>
      </w:r>
    </w:p>
    <w:p>
      <w:pPr>
        <w:pStyle w:val="Heading1"/>
        <w:spacing w:before="0"/>
      </w:pPr>
      <w:r>
        <w:t>System Settings</w:t>
      </w:r>
    </w:p>
    <w:p>
      <w:pPr>
        <w:spacing w:after="100"/>
      </w:pPr>
      <w:r>
        <w:rPr>
          <w:sz w:val="21"/>
        </w:rPr>
        <w:t>Centralises company identity, business rules, payroll, notifications, security, appearance, product categories, and data administration, organised as tabs across the top of the page.</w:t>
      </w:r>
    </w:p>
    <w:p>
      <w:pPr>
        <w:spacing w:after="200"/>
      </w:pPr>
      <w:r>
        <w:rPr>
          <w:b/>
          <w:color w:val="176B3A"/>
        </w:rPr>
        <w:t xml:space="preserve">How it is used: </w:t>
      </w:r>
      <w:r>
        <w:t>Use it for system-wide administration, including addressed Terms and Conditions. Each tab has its own Save button and saves only that tab, so finish one tab before moving to the next. Changes here can affect all users and workflows.</w:t>
      </w:r>
    </w:p>
    <w:p>
      <w:pPr>
        <w:keepLines/>
        <w:jc w:val="center"/>
      </w:pPr>
      <w:r>
        <w:drawing>
          <wp:inline xmlns:a="http://schemas.openxmlformats.org/drawingml/2006/main" xmlns:pic="http://schemas.openxmlformats.org/drawingml/2006/picture">
            <wp:extent cx="5669280" cy="4764101"/>
            <wp:docPr id="30" name="Picture 30"/>
            <wp:cNvGraphicFramePr>
              <a:graphicFrameLocks noChangeAspect="1"/>
            </wp:cNvGraphicFramePr>
            <a:graphic>
              <a:graphicData uri="http://schemas.openxmlformats.org/drawingml/2006/picture">
                <pic:pic>
                  <pic:nvPicPr>
                    <pic:cNvPr id="0" name="13-settings.png"/>
                    <pic:cNvPicPr/>
                  </pic:nvPicPr>
                  <pic:blipFill>
                    <a:blip r:embed="rId40"/>
                    <a:stretch>
                      <a:fillRect/>
                    </a:stretch>
                  </pic:blipFill>
                  <pic:spPr>
                    <a:xfrm>
                      <a:off x="0" y="0"/>
                      <a:ext cx="5669280" cy="4764101"/>
                    </a:xfrm>
                    <a:prstGeom prst="rect"/>
                  </pic:spPr>
                </pic:pic>
              </a:graphicData>
            </a:graphic>
          </wp:inline>
        </w:drawing>
      </w:r>
    </w:p>
    <w:p>
      <w:pPr>
        <w:spacing w:before="80" w:after="0"/>
        <w:jc w:val="center"/>
      </w:pPr>
      <w:r>
        <w:rPr>
          <w:i/>
          <w:color w:val="5C6C62"/>
          <w:sz w:val="17"/>
        </w:rPr>
        <w:t>Figure 30. System Settings</w:t>
      </w:r>
    </w:p>
    <w:p>
      <w:r>
        <w:br w:type="page"/>
      </w:r>
    </w:p>
    <w:p>
      <w:pPr>
        <w:spacing w:after="40"/>
      </w:pPr>
      <w:r>
        <w:rPr>
          <w:b/>
          <w:color w:val="176B3A"/>
          <w:sz w:val="17"/>
        </w:rPr>
        <w:t>FEATURE 31</w:t>
      </w:r>
    </w:p>
    <w:p>
      <w:pPr>
        <w:pStyle w:val="Heading1"/>
        <w:spacing w:before="0"/>
      </w:pPr>
      <w:r>
        <w:t>Weekly Report Import and Recovery</w:t>
      </w:r>
    </w:p>
    <w:p>
      <w:pPr>
        <w:spacing w:after="100"/>
      </w:pPr>
      <w:r>
        <w:rPr>
          <w:sz w:val="21"/>
        </w:rPr>
        <w:t>Provides a controlled preview-and-import workflow for recovering supported data from exported weekly reports.</w:t>
      </w:r>
    </w:p>
    <w:p>
      <w:pPr>
        <w:spacing w:after="200"/>
      </w:pPr>
      <w:r>
        <w:rPr>
          <w:b/>
          <w:color w:val="176B3A"/>
        </w:rPr>
        <w:t xml:space="preserve">How it is used: </w:t>
      </w:r>
      <w:r>
        <w:t>Use it only after reviewing the preview and matching recovered records to current staff and products.</w:t>
      </w:r>
    </w:p>
    <w:p>
      <w:pPr>
        <w:keepLines/>
        <w:jc w:val="center"/>
      </w:pPr>
      <w:r>
        <w:drawing>
          <wp:inline xmlns:a="http://schemas.openxmlformats.org/drawingml/2006/main" xmlns:pic="http://schemas.openxmlformats.org/drawingml/2006/picture">
            <wp:extent cx="5669280" cy="4698298"/>
            <wp:docPr id="31" name="Picture 31"/>
            <wp:cNvGraphicFramePr>
              <a:graphicFrameLocks noChangeAspect="1"/>
            </wp:cNvGraphicFramePr>
            <a:graphic>
              <a:graphicData uri="http://schemas.openxmlformats.org/drawingml/2006/picture">
                <pic:pic>
                  <pic:nvPicPr>
                    <pic:cNvPr id="0" name="21-import-recovery.png"/>
                    <pic:cNvPicPr/>
                  </pic:nvPicPr>
                  <pic:blipFill>
                    <a:blip r:embed="rId41"/>
                    <a:stretch>
                      <a:fillRect/>
                    </a:stretch>
                  </pic:blipFill>
                  <pic:spPr>
                    <a:xfrm>
                      <a:off x="0" y="0"/>
                      <a:ext cx="5669280" cy="4698298"/>
                    </a:xfrm>
                    <a:prstGeom prst="rect"/>
                  </pic:spPr>
                </pic:pic>
              </a:graphicData>
            </a:graphic>
          </wp:inline>
        </w:drawing>
      </w:r>
    </w:p>
    <w:p>
      <w:pPr>
        <w:spacing w:before="80" w:after="0"/>
        <w:jc w:val="center"/>
      </w:pPr>
      <w:r>
        <w:rPr>
          <w:i/>
          <w:color w:val="5C6C62"/>
          <w:sz w:val="17"/>
        </w:rPr>
        <w:t>Figure 31. Weekly Report Import and Recovery</w:t>
      </w:r>
    </w:p>
    <w:p>
      <w:r>
        <w:br w:type="page"/>
      </w:r>
    </w:p>
    <w:p>
      <w:pPr>
        <w:pStyle w:val="Heading1"/>
      </w:pPr>
      <w:r>
        <w:t>Operational Training Notes</w:t>
      </w:r>
    </w:p>
    <w:p>
      <w:pPr>
        <w:pStyle w:val="Heading2"/>
      </w:pPr>
      <w:r>
        <w:t>Accuracy before speed</w:t>
      </w:r>
    </w:p>
    <w:p>
      <w:r>
        <w:t>Confirm the customer, product account, amount, and payment date before submitting financial information. Use the confirmation summary before final payment recording.</w:t>
      </w:r>
    </w:p>
    <w:p>
      <w:pPr>
        <w:pStyle w:val="Heading2"/>
      </w:pPr>
      <w:r>
        <w:t>Use assigned ownership</w:t>
      </w:r>
    </w:p>
    <w:p>
      <w:r>
        <w:t>Customer and account reporting attributes collections to the staff member responsible for the customer. Keep staff assignments current so performance reports remain meaningful.</w:t>
      </w:r>
    </w:p>
    <w:p>
      <w:pPr>
        <w:pStyle w:val="Heading2"/>
      </w:pPr>
      <w:r>
        <w:t>Reconcile collections and deposits</w:t>
      </w:r>
    </w:p>
    <w:p>
      <w:r>
        <w:t>Recorded weekly collections represent payments entered for a staff member’s assigned customers. Staff deposits represent money physically deposited into company accounts. A negative variance is a shortage; a positive variance is a surplus.</w:t>
      </w:r>
    </w:p>
    <w:p>
      <w:pPr>
        <w:pStyle w:val="Heading2"/>
      </w:pPr>
      <w:r>
        <w:t>Protect administrator access</w:t>
      </w:r>
    </w:p>
    <w:p>
      <w:r>
        <w:t>Use the least privilege necessary. Super administrator and administrator functions include sensitive configuration, deletion, approvals, payroll, deposits, recovery, and access management.</w:t>
      </w:r>
    </w:p>
    <w:p>
      <w:pPr>
        <w:pStyle w:val="Heading2"/>
      </w:pPr>
      <w:r>
        <w:t>Preserve the audit trail</w:t>
      </w:r>
    </w:p>
    <w:p>
      <w:r>
        <w:t>Correct records through authorised edit or controlled delete workflows. Avoid informal workarounds that leave financial information outside the system.</w:t>
      </w:r>
    </w:p>
    <w:p>
      <w:pPr>
        <w:pStyle w:val="Heading2"/>
      </w:pPr>
      <w:r>
        <w:t>Use exports and backups</w:t>
      </w:r>
    </w:p>
    <w:p>
      <w:r>
        <w:t>Weekly Excel exports support analysis and recovery, while database backups provide broader protection. Exports are useful business records but should not be treated as a full substitute for tested database restoration.</w:t>
      </w:r>
    </w:p>
    <w:p>
      <w:pPr>
        <w:pStyle w:val="Heading2"/>
      </w:pPr>
      <w:r>
        <w:t>Issue customer legal documents at the correct stage</w:t>
      </w:r>
    </w:p>
    <w:p>
      <w:r>
        <w:t>A new product account automatically creates addressed Terms and Conditions. Administrators regenerate terms from Settings. Cancellation calculations are available only for closed or cancelled accounts, while reactivation calculations require lifecycle eligibility. Generated documents remain attached to the account for audit and PDF access.</w:t>
      </w:r>
    </w:p>
    <w:p>
      <w:pPr>
        <w:pStyle w:val="Heading2"/>
      </w:pPr>
      <w:r>
        <w:t>Know what reactivation does to a closed account</w:t>
      </w:r>
    </w:p>
    <w:p>
      <w:r>
        <w:t>An administrator can bring back a dormant, probation or closed account once six months of inactivity have passed, using the amber Reactivate panel on the account page and confirming with an administrator password. GLV deducts a 32 percent service fee from what the customer had already paid, recalculates the balance, sends the customer a reactivation calculation, and voids any closure refund credit still open on that account, because the customer cannot keep the refund and the plan. A product already handed over stays delivered; an undelivered plan returns to pending. The account then restarts the dormancy ladder from the day it was reactivated, so it is not closed again by the next lifecycle check and is not charged the deduction twice. Collect a payment as soon as the plan restarts.</w:t>
      </w:r>
    </w:p>
    <w:p>
      <w:pPr>
        <w:pStyle w:val="Heading2"/>
      </w:pPr>
      <w:r>
        <w:t>Retract a mistake within three hours</w:t>
      </w:r>
    </w:p>
    <w:p>
      <w:r>
        <w:t>Five actions can be taken back after they are done: reactivating an account, deleting a payment, deleting a staff deposit, deleting a salary payment, and marking a customer credit as refunded. For three hours afterwards an administrator sees the action listed with an Undo button, on the page where it was done and on the Activity page, with the time remaining shown. Retracting puts the affected records back exactly as they were. If something has changed in the meantime, such as a payment recorded against a reactivated account, GLV refuses the retraction and asks you to correct the record directly, so a retraction never quietly erases newer work. Messages and documents already sent to a customer are not withdrawn. After three hours the record stands and must be corrected through the normal workflow.</w:t>
      </w:r>
    </w:p>
    <w:p>
      <w:pPr>
        <w:pStyle w:val="Heading2"/>
      </w:pPr>
      <w:r>
        <w:t>Use the correct customer communication channel</w:t>
      </w:r>
    </w:p>
    <w:p>
      <w:r>
        <w:t>The system queues only one enabled channel. Legal and document messages prefer email, then WhatsApp, then SMS. Payment receipts prefer WhatsApp, then SMS, then email. If the customer has neither email nor phone, nothing is queued; staff explain the terms verbally and show the in-system receipt and product tracking information.</w:t>
      </w:r>
    </w:p>
    <w:p>
      <w:pPr>
        <w:pStyle w:val="Heading2"/>
      </w:pPr>
      <w:r>
        <w:t>Wait for the button to finish saving</w:t>
      </w:r>
    </w:p>
    <w:p>
      <w:r>
        <w:t>Every Save, Record, Approve, Reject, and Delete button shows a brief loading state and disables itself while GLV processes the request. Wait for that state to clear before moving on. Clicking the same button again while it is disabled does not start a second request, so it no longer creates duplicate payments, deposits, or other records.</w:t>
      </w:r>
    </w:p>
    <w:p>
      <w:pPr>
        <w:pStyle w:val="Heading2"/>
      </w:pPr>
      <w:r>
        <w:t>Receive stock after every buying trip</w:t>
      </w:r>
    </w:p>
    <w:p>
      <w:r>
        <w:t>Inventory and procurement are one loop. A product reaches the procurement list only when the units its customers are owed are more than the units already in the store room, so anything on that list is genuinely still to buy. On the Accounts page, choose Payment threshold met (up to 100%) in the status filter to see every pending-delivery account at or above the configured procurement payment threshold, including fully paid accounts. The threshold defaults to 70 percent. Paid Progress on Accounts measures installment days covered out of the plan duration. The threshold filter separately compares the amount paid with the account target, in currency cents, so only accounts meeting the configured amount threshold appear. Stock allocation does not affect this account filter; stock only determines the products and quantities shown on the buying list. After a buying trip, press Receive on the product's row, either on the Procurement List tab or on the Inventory page, and enter how many units you bought. Those units go into stock and the list reduces by exactly that quantity, so a part purchase leaves the rest outstanding instead of clearing the whole product. Receiving stock is not the same as delivering: you still confirm delivery on the customer's account when they receive the product, and that is what takes the unit back off the shelf.</w:t>
      </w:r>
    </w:p>
    <w:p>
      <w:pPr>
        <w:pStyle w:val="Heading2"/>
      </w:pPr>
      <w:r>
        <w:t>Keep the shelf count honest</w:t>
      </w:r>
    </w:p>
    <w:p>
      <w:r>
        <w:t>Confirming a delivery reduces stock by one automatically, and reversing a delivery puts the unit back if that delivery took one. If stock shows zero when you confirm a delivery, GLV still records the delivery, because the customer is standing there and must not be turned away, but it warns you that the count did not have the unit. Fix it on the Inventory page using the correct-count action, which asks for the counted figure and a written reason. Every receipt, delivery, reversal and correction is kept in the movement history against your name, so any figure can be explained later.</w:t>
      </w:r>
    </w:p>
    <w:p>
      <w:pPr>
        <w:pStyle w:val="Heading2"/>
      </w:pPr>
      <w:r>
        <w:t>Work the delivery queue and trust the archive</w:t>
      </w:r>
    </w:p>
    <w:p>
      <w:r>
        <w:t>When a customer pays off a plan it waits for delivery. Find every such plan with the Awaiting delivery filter on the Accounts page, the Paid, Awaiting Delivery card on the dashboard, or the sidebar alert. Press the package icon in the list, or Mark delivered on the account or customer page, when the customer receives the product. Two days after delivery the plan moves to the archive. The archive only ever holds plans that are paid off and handed over: if an archived plan is found to be still owed its product, GLV returns it to the delivery queue automatically, and if it owes money again, for example after a payment is deleted, it returns to collection. Archived plans still count as completed and delivered on the dashboard and in reports, and their profit stays in the profit figures. If a product was handed over earlier and nobody recorded it, an administrator opens the account and uses Handed over earlier and never recorded to enter the real date; this records the delivery without taking a unit off the shelf, because that unit already left. Marking an archived plan pending again is an administrator correction and puts the plan back in the delivery queue.</w:t>
      </w:r>
    </w:p>
    <w:p>
      <w:pPr>
        <w:pStyle w:val="Heading2"/>
      </w:pPr>
      <w:r>
        <w:t>Deliver before full payment only for customers who have earned it</w:t>
      </w:r>
    </w:p>
    <w:p>
      <w:r>
        <w:t>Some long-standing customers receive their product before they finish paying. Only an Admin or Super Administrator can do this, from the account page, using Deliver with balance owing. GLV asks for a written reason and an explicit confirmation, and records how much was still owed at the moment of handover. The account stays open: the customer must keep paying until the balance reaches zero, and the outstanding amount stays visible on the accounts list, the customer profile and in reports. An account delivered this way shows a blue delivery badge instead of the green one, so anyone reviewing the records can see at a glance that money is still owed on a product the customer already has. Use this sparingly, for consistent and well-behaved customers, and never as a way to clear a slow-paying account.</w:t>
      </w:r>
    </w:p>
    <w:p>
      <w:pPr>
        <w:pStyle w:val="Heading2"/>
      </w:pPr>
      <w:r>
        <w:t>Save one settings tab at a time</w:t>
      </w:r>
    </w:p>
    <w:p>
      <w:r>
        <w:t>Settings is split into tabs: Company, Business Rules, Payroll, Notifications, Security, Appearance, Product Categories, and Data and System. Each tab has its own Save button and saves only the fields on that tab, so changes on one tab are never affected by another. Finish and save the tab you are on before switching. On a brand-new system, save Company Information first, because the company name and phone number are required before anything else can be stored. The System Notes fields on the Data and System tab are labels the operator maintains by hand; editing them records a note and does not change anything about the live database or storage.</w:t>
      </w:r>
    </w:p>
    <w:p>
      <w:pPr>
        <w:pStyle w:val="Heading2"/>
      </w:pPr>
      <w:r>
        <w:t>Read the dashboard trend charts and comparison indicators</w:t>
      </w:r>
    </w:p>
    <w:p>
      <w:r>
        <w:t>Dashboard, Reports, Activity, and Business Management use curved trend lines for time series, donut charts with labeled keys for category shares, and ranked dot plots for comparisons. Collections and deposits are shown as separate series because deposit timing can differ from payment timing. Administrator KPI cards with a valid prior-period comparison use animated semicircular gauges; the trend charts carry longer period comparisons. The Amount Deposited This Week gauge compares the current-week total with last week. Staff KPI indicators compare dated values where reliable historical records exist.</w:t>
      </w:r>
    </w:p>
    <w:p>
      <w:pPr>
        <w:pStyle w:val="Heading1"/>
      </w:pPr>
      <w:r>
        <w:t>Automatic SMS notifications</w:t>
      </w:r>
    </w:p>
    <w:p>
      <w:r>
        <w:t>Enable SMS Notifications in Settings after configuring BMS Africa. The approved GLV sender is GODS LOVE V. New salary payment records send a staff alert. New product payment plans send one welcome message at their start date. Payments reaching at least 70 percent of the target send one progress message per plan, including payments that jump beyond 70 percent.</w:t>
      </w:r>
    </w:p>
    <w:p>
      <w:r>
        <w:t>Active or overdue plans with an outstanding balance receive a missed-payment reminder after fourteen full days without payment, which is two full weeks, then at most once per further two-week period. A newly entered payment, including a backdated one, restarts the interval, and so does reactivating an account, so a reactivated plan is never texted about the months it spent dormant. Completed, closed, cancelled, archived, suspended, dormant and probation accounts do not receive missed-payment reminders. The Missed payment template supports staffName, which inserts the assigned staff member's first name. A daily job checks at 09:00 Ghana time; messages are also dispatched after qualifying actions and during signed-in use.</w:t>
      </w:r>
    </w:p>
    <w:p>
      <w:r>
        <w:t>When a staff deposit is recorded for a week, GLV totals each assigned customer's payments from Monday through Sunday across all product accounts. Each customer who paid receives one weekly summary. Customers with no payment receive no summary. The staff, customer and week key prevents duplicates if another deposit is recorded; a pending summary may be refreshed, but an accepted summary is never resent automatically.</w:t>
      </w:r>
    </w:p>
    <w:p>
      <w:r>
        <w:t>The weekly summary comes in two versions and GLV chooses the right one for each customer. A customer's expected weekly amount is the daily amount of every plan they are still paying on, multiplied by seven. If the customer paid that amount or more, GLV sends the encouraging version that congratulates them for meeting the target. If the customer paid less, GLV sends a different, respectful version that states the weekly target, states how much is still short, and asks the customer to contact their staff member to catch up. This means a customer who fell short is never congratulated for a good week. A customer with no plan currently being collected on counts as on target.</w:t>
      </w:r>
    </w:p>
    <w:p>
      <w:r>
        <w:t>Super administrators open Settings &gt; Notifications &gt; Open SMS settings and delivery to reach the dedicated SMS configuration and delivery page. It shows provider, API key status, approved sender, schedule and all the automatic rules; the master switch is saved there. The same page lists the latest 100 messages and retries failures after correcting a phone number, credit balance or provider setup. Accepted means BMS accepted the campaign; verify delivery in BMS campaign history. Unknown outcomes require operator reconciliation before resending. Turning SMS off pauses new alerts and queued delivery. Old welcome and salary events are not backfilled. Restored pending messages are held as Unknown to prevent duplicate sends.</w:t>
      </w:r>
    </w:p>
    <w:p>
      <w:r>
        <w:t>The SMS page also lets super administrators edit six messages: Salary payment, Customer welcome, 70 percent progress, Missed payment, Weekly summary - target met, and Weekly summary - below target. Each editor shows the placeholders allowed for that event and a sample preview. Both weekly messages can show the expected weekly amount; only the below-target message can show the shortfall. Messages must contain text, stay within 612 template characters and use only the listed placeholders. Reset all restores GLV defaults. Saved changes apply only to notifications queued afterward; an already queued message keeps its reviewed wording. Salary messages go only to the staff member on the salary payment. The customer messages go only to the customer on the qualifying account or weekly payment total.</w:t>
      </w:r>
    </w:p>
    <w:p>
      <w:r>
        <w:t>A customer or staff member with no phone number, or with a number GLV cannot read as a valid Ghana number, is skipped completely. No message is queued for them, no message is attempted, and no failed entry appears in the delivery list. So if an expected message is missing, check the phone number on the customer or staff record first rather than looking for a failure to retry. Correct the number and the next qualifying event will queue normally. If a number is removed after a message was already queued, GLV cancels that message instead of trying to send it.</w:t>
      </w:r>
    </w:p>
    <w:p>
      <w:r>
        <w:t>Default message text is branded Rock Frost Group. Staff and customer name placeholders always render only the first name. The BMS handset sender is Rock Frost, which fits the provider's 11-character limit and must remain approved in BMS before it is configured in production.</w:t>
      </w:r>
    </w:p>
    <w:p>
      <w:r>
        <w:t>Server setup requires MNOTIFY_API_KEY, MNOTIFY_SENDER_ID and CRON_SECRET, plus the SMS queue database migration. Deploy migrations explicitly with npm run db:deploy from a trusted operator environment using DATABASE_URL_UNPOOLED before releasing dependent code. Vercel builds do not migrate through the port 6543 transaction pooler. Store secrets only in approved environments. These alerts use a separate SMS queue; existing document and receipt channel preferences remain separate. Provider configuration and live delivery must be verified before describing the feature as operational.</w:t>
      </w:r>
    </w:p>
    <w:p>
      <w:pPr>
        <w:pStyle w:val="Heading1"/>
      </w:pPr>
      <w:r>
        <w:t>Integrated Business Management</w:t>
      </w:r>
    </w:p>
    <w:p>
      <w:r>
        <w:t>Administrators use one Business Management page for People, Payroll, Accounting and Analytics. These sections share GLV staff, customer payment, salary and expense records; they are not separate modules and do not require duplicate setup.</w:t>
      </w:r>
    </w:p>
    <w:p>
      <w:r>
        <w:t>People records leave requests with approve or reject decisions and dated performance reviews scored from one to five. Payroll records salary payments using the existing salary history and sends the existing salary SMS only to the paid staff member. Accounting records operating expenses and builds a cash position from customer collections less salary payments and expenses; staff deposits are reconciliation records and are not counted again as revenue. In the expense cashbook, administrators can review all recorded entries or filter by date range, then edit an entry to correct a mistake. The system records the before and after values and the editor in the audit log. Analytics shows current month revenue, payroll, expenses, net cash, headcount, leave and performance figures from the same records.</w:t>
      </w:r>
    </w:p>
    <w:p>
      <w:r>
        <w:t>Only administrators can open this page or change its records. Writes are audit logged. Apply migration 20260909183000_integrated_business_management before release. Version 1 application backup and restore does not yet carry the new leave, performance review and expense records, so operators must retain database-level backups and must not rely on an older application backup to recover this data.</w:t>
      </w:r>
    </w:p>
    <w:p>
      <w:pPr>
        <w:pStyle w:val="Heading1"/>
      </w:pPr>
      <w:r>
        <w:t>Feature Summary for Demonstrations</w:t>
      </w:r>
    </w:p>
    <w:p>
      <w:r>
        <w:t>GLV Management System brings customer onboarding, installment account management, payment collection, receipt tracking, product profitability, procurement readiness, staff accountability, physical deposit reconciliation, payroll, refunds, audit logs, security, backups, and recovery into one role-controlled platform.</w:t>
      </w:r>
    </w:p>
    <w:p>
      <w:r>
        <w:t>The system is designed for organisations that collect many small installments and need a reliable way to connect every payment to a customer, account, product, staff member, receipt, balance, and management report.</w:t>
      </w:r>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C62"/>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C62"/>
        <w:sz w:val="16"/>
      </w:rPr>
      <w:t>GLV MANAGEMENT SYSTEM  |  TRAINING AND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3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6B3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6B3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5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GLV Management System Training and Feature Guide</dc:title>
  <dc:subject>Visual system documentation, training guide, and feature overview</dc:subject>
  <dc:creator>God's Love Ventures</dc:creator>
  <cp:keywords>GLV, management system, layaway, payments, staff, reports, training</cp:keywords>
  <dc:description>generated by python-docx</dc:description>
  <cp:lastModifiedBy/>
  <cp:revision>1</cp:revision>
  <dcterms:created xsi:type="dcterms:W3CDTF">2013-12-23T23:15:00Z</dcterms:created>
  <dcterms:modified xsi:type="dcterms:W3CDTF">2013-12-23T23:15:00Z</dcterms:modified>
  <cp:category/>
</cp:coreProperties>
</file>