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Staff Management</w:t>
            </w:r>
          </w:p>
        </w:tc>
      </w:tr>
      <w:tr>
        <w:tc>
          <w:tcPr>
            <w:tcW w:type="dxa" w:w="1080"/>
          </w:tcPr>
          <w:p>
            <w:pPr>
              <w:jc w:val="center"/>
            </w:pPr>
            <w:r>
              <w:t>21</w:t>
            </w:r>
          </w:p>
        </w:tc>
        <w:tc>
          <w:tcPr>
            <w:tcW w:type="dxa" w:w="8280"/>
          </w:tcPr>
          <w:p>
            <w:r>
              <w:t>Staff Profile</w:t>
            </w:r>
          </w:p>
        </w:tc>
      </w:tr>
      <w:tr>
        <w:tc>
          <w:tcPr>
            <w:tcW w:type="dxa" w:w="1080"/>
          </w:tcPr>
          <w:p>
            <w:pPr>
              <w:jc w:val="center"/>
            </w:pPr>
            <w:r>
              <w:t>22</w:t>
            </w:r>
          </w:p>
        </w:tc>
        <w:tc>
          <w:tcPr>
            <w:tcW w:type="dxa" w:w="8280"/>
          </w:tcPr>
          <w:p>
            <w:r>
              <w:t>Create Staff</w:t>
            </w:r>
          </w:p>
        </w:tc>
      </w:tr>
      <w:tr>
        <w:tc>
          <w:tcPr>
            <w:tcW w:type="dxa" w:w="1080"/>
          </w:tcPr>
          <w:p>
            <w:pPr>
              <w:jc w:val="center"/>
            </w:pPr>
            <w:r>
              <w:t>23</w:t>
            </w:r>
          </w:p>
        </w:tc>
        <w:tc>
          <w:tcPr>
            <w:tcW w:type="dxa" w:w="8280"/>
          </w:tcPr>
          <w:p>
            <w:r>
              <w:t>Edit Staff and Permissions</w:t>
            </w:r>
          </w:p>
        </w:tc>
      </w:tr>
      <w:tr>
        <w:tc>
          <w:tcPr>
            <w:tcW w:type="dxa" w:w="1080"/>
          </w:tcPr>
          <w:p>
            <w:pPr>
              <w:jc w:val="center"/>
            </w:pPr>
            <w:r>
              <w:t>24</w:t>
            </w:r>
          </w:p>
        </w:tc>
        <w:tc>
          <w:tcPr>
            <w:tcW w:type="dxa" w:w="8280"/>
          </w:tcPr>
          <w:p>
            <w:r>
              <w:t>Financial Intelligence and Reports</w:t>
            </w:r>
          </w:p>
        </w:tc>
      </w:tr>
      <w:tr>
        <w:tc>
          <w:tcPr>
            <w:tcW w:type="dxa" w:w="1080"/>
          </w:tcPr>
          <w:p>
            <w:pPr>
              <w:jc w:val="center"/>
            </w:pPr>
            <w:r>
              <w:t>25</w:t>
            </w:r>
          </w:p>
        </w:tc>
        <w:tc>
          <w:tcPr>
            <w:tcW w:type="dxa" w:w="8280"/>
          </w:tcPr>
          <w:p>
            <w:r>
              <w:t>Audit Logs</w:t>
            </w:r>
          </w:p>
        </w:tc>
      </w:tr>
      <w:tr>
        <w:tc>
          <w:tcPr>
            <w:tcW w:type="dxa" w:w="1080"/>
          </w:tcPr>
          <w:p>
            <w:pPr>
              <w:jc w:val="center"/>
            </w:pPr>
            <w:r>
              <w:t>26</w:t>
            </w:r>
          </w:p>
        </w:tc>
        <w:tc>
          <w:tcPr>
            <w:tcW w:type="dxa" w:w="8280"/>
          </w:tcPr>
          <w:p>
            <w:r>
              <w:t>My Profile</w:t>
            </w:r>
          </w:p>
        </w:tc>
      </w:tr>
      <w:tr>
        <w:tc>
          <w:tcPr>
            <w:tcW w:type="dxa" w:w="1080"/>
          </w:tcPr>
          <w:p>
            <w:pPr>
              <w:jc w:val="center"/>
            </w:pPr>
            <w:r>
              <w:t>27</w:t>
            </w:r>
          </w:p>
        </w:tc>
        <w:tc>
          <w:tcPr>
            <w:tcW w:type="dxa" w:w="8280"/>
          </w:tcPr>
          <w:p>
            <w:r>
              <w:t>Profile Change Approvals</w:t>
            </w:r>
          </w:p>
        </w:tc>
      </w:tr>
      <w:tr>
        <w:tc>
          <w:tcPr>
            <w:tcW w:type="dxa" w:w="1080"/>
          </w:tcPr>
          <w:p>
            <w:pPr>
              <w:jc w:val="center"/>
            </w:pPr>
            <w:r>
              <w:t>28</w:t>
            </w:r>
          </w:p>
        </w:tc>
        <w:tc>
          <w:tcPr>
            <w:tcW w:type="dxa" w:w="8280"/>
          </w:tcPr>
          <w:p>
            <w:r>
              <w:t>System Settings</w:t>
            </w:r>
          </w:p>
        </w:tc>
      </w:tr>
      <w:tr>
        <w:tc>
          <w:tcPr>
            <w:tcW w:type="dxa" w:w="1080"/>
          </w:tcPr>
          <w:p>
            <w:pPr>
              <w:jc w:val="center"/>
            </w:pPr>
            <w:r>
              <w:t>29</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w:t>
      </w:r>
    </w:p>
    <w:p>
      <w:pPr>
        <w:spacing w:after="200"/>
      </w:pPr>
      <w:r>
        <w:rPr>
          <w:b/>
          <w:color w:val="176B3A"/>
        </w:rPr>
        <w:t xml:space="preserve">How it is used: </w:t>
      </w:r>
      <w:r>
        <w:t>Use it as the daily starting point for assessing business position and identifying areas that need attention.</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Identifies products that have crossed the configured collection threshold and may be ready for purchasing.</w:t>
      </w:r>
    </w:p>
    <w:p>
      <w:pPr>
        <w:spacing w:after="200"/>
      </w:pPr>
      <w:r>
        <w:rPr>
          <w:b/>
          <w:color w:val="176B3A"/>
        </w:rPr>
        <w:t xml:space="preserve">How it is used: </w:t>
      </w:r>
      <w:r>
        <w:t>Use it to prioritise procurement based on customer commitments and money already collected.</w:t>
      </w:r>
    </w:p>
    <w:p>
      <w:pPr>
        <w:keepLines/>
        <w:jc w:val="center"/>
      </w:pPr>
      <w:r>
        <w:drawing>
          <wp:inline xmlns:a="http://schemas.openxmlformats.org/drawingml/2006/main" xmlns:pic="http://schemas.openxmlformats.org/drawingml/2006/picture">
            <wp:extent cx="5669280" cy="4764101"/>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w:t>
      </w:r>
    </w:p>
    <w:p>
      <w:pPr>
        <w:spacing w:after="200"/>
      </w:pPr>
      <w:r>
        <w:rPr>
          <w:b/>
          <w:color w:val="176B3A"/>
        </w:rPr>
        <w:t xml:space="preserve">How it is used: </w:t>
      </w:r>
      <w:r>
        <w:t>Use it to validate quantities, collection progress, and the evidence behind a procurement decision.</w:t>
      </w:r>
    </w:p>
    <w:p>
      <w:pPr>
        <w:keepLines/>
        <w:jc w:val="center"/>
      </w:pPr>
      <w:r>
        <w:drawing>
          <wp:inline xmlns:a="http://schemas.openxmlformats.org/drawingml/2006/main" xmlns:pic="http://schemas.openxmlformats.org/drawingml/2006/picture">
            <wp:extent cx="5669280" cy="4764101"/>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0" name="Picture 20"/>
            <wp:cNvGraphicFramePr>
              <a:graphicFrameLocks noChangeAspect="1"/>
            </wp:cNvGraphicFramePr>
            <a:graphic>
              <a:graphicData uri="http://schemas.openxmlformats.org/drawingml/2006/picture">
                <pic:pic>
                  <pic:nvPicPr>
                    <pic:cNvPr id="0" name="09-staff.png"/>
                    <pic:cNvPicPr/>
                  </pic:nvPicPr>
                  <pic:blipFill>
                    <a:blip r:embed="rId3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20. Staff Management</w:t>
      </w:r>
    </w:p>
    <w:p>
      <w:r>
        <w:br w:type="page"/>
      </w:r>
    </w:p>
    <w:p>
      <w:pPr>
        <w:spacing w:after="40"/>
      </w:pPr>
      <w:r>
        <w:rPr>
          <w:b/>
          <w:color w:val="176B3A"/>
          <w:sz w:val="17"/>
        </w:rPr>
        <w:t>FEATURE 21</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1" name="Picture 21"/>
            <wp:cNvGraphicFramePr>
              <a:graphicFrameLocks noChangeAspect="1"/>
            </wp:cNvGraphicFramePr>
            <a:graphic>
              <a:graphicData uri="http://schemas.openxmlformats.org/drawingml/2006/picture">
                <pic:pic>
                  <pic:nvPicPr>
                    <pic:cNvPr id="0" name="27-staff-profile.png"/>
                    <pic:cNvPicPr/>
                  </pic:nvPicPr>
                  <pic:blipFill>
                    <a:blip r:embed="rId3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21. Staff Profile</w:t>
      </w:r>
    </w:p>
    <w:p>
      <w:r>
        <w:br w:type="page"/>
      </w:r>
    </w:p>
    <w:p>
      <w:pPr>
        <w:spacing w:after="40"/>
      </w:pPr>
      <w:r>
        <w:rPr>
          <w:b/>
          <w:color w:val="176B3A"/>
          <w:sz w:val="17"/>
        </w:rPr>
        <w:t>FEATURE 22</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18-create-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Create Staff</w:t>
      </w:r>
    </w:p>
    <w:p>
      <w:r>
        <w:br w:type="page"/>
      </w:r>
    </w:p>
    <w:p>
      <w:pPr>
        <w:spacing w:after="40"/>
      </w:pPr>
      <w:r>
        <w:rPr>
          <w:b/>
          <w:color w:val="176B3A"/>
          <w:sz w:val="17"/>
        </w:rPr>
        <w:t>FEATURE 23</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30-edit-staff.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Edit Staff and Permissions</w:t>
      </w:r>
    </w:p>
    <w:p>
      <w:r>
        <w:br w:type="page"/>
      </w:r>
    </w:p>
    <w:p>
      <w:pPr>
        <w:spacing w:after="40"/>
      </w:pPr>
      <w:r>
        <w:rPr>
          <w:b/>
          <w:color w:val="176B3A"/>
          <w:sz w:val="17"/>
        </w:rPr>
        <w:t>FEATURE 24</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w:t>
      </w:r>
    </w:p>
    <w:p>
      <w:pPr>
        <w:spacing w:after="200"/>
      </w:pPr>
      <w:r>
        <w:rPr>
          <w:b/>
          <w:color w:val="176B3A"/>
        </w:rPr>
        <w:t xml:space="preserve">How it is used: </w:t>
      </w:r>
      <w:r>
        <w:t>Use it for weekly control meetings, staff accountability, salary tracking, reconciliation, and management reporting.</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0-reports.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Financial Intelligence and Reports</w:t>
      </w:r>
    </w:p>
    <w:p>
      <w:r>
        <w:br w:type="page"/>
      </w:r>
    </w:p>
    <w:p>
      <w:pPr>
        <w:spacing w:after="40"/>
      </w:pPr>
      <w:r>
        <w:rPr>
          <w:b/>
          <w:color w:val="176B3A"/>
          <w:sz w:val="17"/>
        </w:rPr>
        <w:t>FEATURE 25</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11-audit-logs.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Audit Logs</w:t>
      </w:r>
    </w:p>
    <w:p>
      <w:r>
        <w:br w:type="page"/>
      </w:r>
    </w:p>
    <w:p>
      <w:pPr>
        <w:spacing w:after="40"/>
      </w:pPr>
      <w:r>
        <w:rPr>
          <w:b/>
          <w:color w:val="176B3A"/>
          <w:sz w:val="17"/>
        </w:rPr>
        <w:t>FEATURE 26</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2-profile.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My Profile</w:t>
      </w:r>
    </w:p>
    <w:p>
      <w:r>
        <w:br w:type="page"/>
      </w:r>
    </w:p>
    <w:p>
      <w:pPr>
        <w:spacing w:after="40"/>
      </w:pPr>
      <w:r>
        <w:rPr>
          <w:b/>
          <w:color w:val="176B3A"/>
          <w:sz w:val="17"/>
        </w:rPr>
        <w:t>FEATURE 27</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7" name="Picture 27"/>
            <wp:cNvGraphicFramePr>
              <a:graphicFrameLocks noChangeAspect="1"/>
            </wp:cNvGraphicFramePr>
            <a:graphic>
              <a:graphicData uri="http://schemas.openxmlformats.org/drawingml/2006/picture">
                <pic:pic>
                  <pic:nvPicPr>
                    <pic:cNvPr id="0" name="20-profile-approvals.png"/>
                    <pic:cNvPicPr/>
                  </pic:nvPicPr>
                  <pic:blipFill>
                    <a:blip r:embed="rId37"/>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27. Profile Change Approvals</w:t>
      </w:r>
    </w:p>
    <w:p>
      <w:r>
        <w:br w:type="page"/>
      </w:r>
    </w:p>
    <w:p>
      <w:pPr>
        <w:spacing w:after="40"/>
      </w:pPr>
      <w:r>
        <w:rPr>
          <w:b/>
          <w:color w:val="176B3A"/>
          <w:sz w:val="17"/>
        </w:rPr>
        <w:t>FEATURE 28</w:t>
      </w:r>
    </w:p>
    <w:p>
      <w:pPr>
        <w:pStyle w:val="Heading1"/>
        <w:spacing w:before="0"/>
      </w:pPr>
      <w:r>
        <w:t>System Settings</w:t>
      </w:r>
    </w:p>
    <w:p>
      <w:pPr>
        <w:spacing w:after="100"/>
      </w:pPr>
      <w:r>
        <w:rPr>
          <w:sz w:val="21"/>
        </w:rPr>
        <w:t>Centralises company identity, receipt rules, account controls, security settings, legal templates, customer communications, backup, import, and operational configuration.</w:t>
      </w:r>
    </w:p>
    <w:p>
      <w:pPr>
        <w:spacing w:after="200"/>
      </w:pPr>
      <w:r>
        <w:rPr>
          <w:b/>
          <w:color w:val="176B3A"/>
        </w:rPr>
        <w:t xml:space="preserve">How it is used: </w:t>
      </w:r>
      <w:r>
        <w:t>Use it for system-wide administration, including addressed Terms and Conditions. Changes here can affect all users and workflows.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3-settings.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System Settings</w:t>
      </w:r>
    </w:p>
    <w:p>
      <w:r>
        <w:br w:type="page"/>
      </w:r>
    </w:p>
    <w:p>
      <w:pPr>
        <w:spacing w:after="40"/>
      </w:pPr>
      <w:r>
        <w:rPr>
          <w:b/>
          <w:color w:val="176B3A"/>
          <w:sz w:val="17"/>
        </w:rPr>
        <w:t>FEATURE 29</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1-import-recovery.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reminder after seven full days without payment, then at most once per further unpaid week. A newly entered payment, including a backdated one, restarts the reminder interval. Completed, closed, cancelled, archived, suspended, dormant and probation accounts do not receive weekly reminders. A daily job checks at 09:00 Ghana time; messages are also dispatched after qualifying actions and during signed-in use.</w:t>
      </w:r>
    </w:p>
    <w:p>
      <w:r>
        <w:t>Super administrators use Settings &gt; View SMS status and failed messages to open the dedicated SMS configuration and delivery page. It shows provider, API key status, approved sender, schedule and all four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the Salary payment, Customer welcome, 70 percent progress and Missed payment messages. Each editor shows the placeholders allowed for that event and a sample preview.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Welcome, progress and missed-payment messages go only to the customer on the qualifying account. Invalid or missing phone numbers appear as failures and are never redirected to another person.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